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2" w:rsidRDefault="00064478">
      <w:r>
        <w:rPr>
          <w:b/>
          <w:i/>
        </w:rPr>
        <w:t>Chapitre 12</w:t>
      </w:r>
      <w:r w:rsidR="005B0A2B" w:rsidRPr="005B0A2B">
        <w:rPr>
          <w:b/>
          <w:i/>
        </w:rPr>
        <w:t> : La stabilisation conjoncturelle</w:t>
      </w:r>
      <w:r w:rsidR="007056BB">
        <w:rPr>
          <w:b/>
          <w:i/>
        </w:rPr>
        <w:t xml:space="preserve"> (2)</w:t>
      </w:r>
      <w:r w:rsidR="005B0A2B" w:rsidRPr="005B0A2B">
        <w:rPr>
          <w:b/>
          <w:i/>
        </w:rPr>
        <w:t> : la politique monétaire</w:t>
      </w:r>
      <w:r w:rsidR="005B0A2B">
        <w:rPr>
          <w:b/>
          <w:i/>
        </w:rPr>
        <w:t>.</w:t>
      </w:r>
    </w:p>
    <w:p w:rsidR="005B0A2B" w:rsidRDefault="005B0A2B"/>
    <w:p w:rsidR="005B0A2B" w:rsidRDefault="007F7678" w:rsidP="007F7678">
      <w:r>
        <w:t>I) Les mécanismes de la politique monétaire.</w:t>
      </w:r>
    </w:p>
    <w:p w:rsidR="007F7678" w:rsidRDefault="007F7678" w:rsidP="007F7678">
      <w:r>
        <w:t>Le cadre d’intervention opérationnel de la politique monétaire.</w:t>
      </w:r>
    </w:p>
    <w:p w:rsidR="007F7678" w:rsidRDefault="007F7678" w:rsidP="007F7678">
      <w:pPr>
        <w:pStyle w:val="Paragraphedeliste"/>
        <w:numPr>
          <w:ilvl w:val="0"/>
          <w:numId w:val="2"/>
        </w:numPr>
      </w:pPr>
      <w:r>
        <w:t>Le réglage de l’offre de monnaie banque centrale.</w:t>
      </w:r>
    </w:p>
    <w:p w:rsidR="007F7678" w:rsidRDefault="00C35D46" w:rsidP="007F7678">
      <w:pPr>
        <w:pStyle w:val="Paragraphedeliste"/>
        <w:numPr>
          <w:ilvl w:val="0"/>
          <w:numId w:val="2"/>
        </w:numPr>
      </w:pPr>
      <w:r>
        <w:t>Le réglage de la demande de monnaie banque centrale.</w:t>
      </w:r>
    </w:p>
    <w:p w:rsidR="00C35D46" w:rsidRDefault="00C35D46" w:rsidP="007F7678">
      <w:pPr>
        <w:pStyle w:val="Paragraphedeliste"/>
        <w:numPr>
          <w:ilvl w:val="0"/>
          <w:numId w:val="2"/>
        </w:numPr>
      </w:pPr>
      <w:r>
        <w:t>La communication de la banque centrale.</w:t>
      </w:r>
    </w:p>
    <w:p w:rsidR="00C35D46" w:rsidRDefault="00C35D46" w:rsidP="00C35D46">
      <w:r>
        <w:t>Les canaux de transmission des impulsions de politique monétaire à la sphère réelle.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Le canal des taux d’intérêt.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Le canal des prix d’actifs.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Le canal du crédit.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Le canal du taux de change.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Le canal des anticipations.</w:t>
      </w:r>
    </w:p>
    <w:p w:rsidR="00C35D46" w:rsidRDefault="00C35D46" w:rsidP="00C35D46">
      <w:pPr>
        <w:pStyle w:val="Paragraphedeliste"/>
        <w:numPr>
          <w:ilvl w:val="0"/>
          <w:numId w:val="3"/>
        </w:numPr>
      </w:pPr>
      <w:r>
        <w:t>La hiérarchie des taux et les délais de transmission monétaire.</w:t>
      </w:r>
    </w:p>
    <w:p w:rsidR="00C35D46" w:rsidRDefault="00C35D46" w:rsidP="00C35D46"/>
    <w:p w:rsidR="00C35D46" w:rsidRDefault="00C35D46" w:rsidP="00C35D46">
      <w:r>
        <w:t>II) Les objectifs de la politique monétaire</w:t>
      </w:r>
    </w:p>
    <w:p w:rsidR="00C35D46" w:rsidRDefault="009B1252" w:rsidP="00C35D46">
      <w:r>
        <w:t>Les objectifs finaux de la politique monétaire et leur évaluation.</w:t>
      </w:r>
    </w:p>
    <w:p w:rsidR="009B1252" w:rsidRDefault="009B1252" w:rsidP="009B1252">
      <w:pPr>
        <w:pStyle w:val="Paragraphedeliste"/>
        <w:numPr>
          <w:ilvl w:val="0"/>
          <w:numId w:val="4"/>
        </w:numPr>
      </w:pPr>
      <w:r>
        <w:t>Les objectifs finaux.</w:t>
      </w:r>
    </w:p>
    <w:p w:rsidR="009B1252" w:rsidRDefault="009B1252" w:rsidP="009B1252">
      <w:pPr>
        <w:pStyle w:val="Paragraphedeliste"/>
        <w:numPr>
          <w:ilvl w:val="0"/>
          <w:numId w:val="4"/>
        </w:numPr>
      </w:pPr>
      <w:r>
        <w:t>L’évaluation de l’orientation des politiques monétaires.</w:t>
      </w:r>
    </w:p>
    <w:p w:rsidR="009B1252" w:rsidRDefault="009B1252" w:rsidP="009B1252">
      <w:pPr>
        <w:pStyle w:val="Paragraphedeliste"/>
        <w:numPr>
          <w:ilvl w:val="0"/>
          <w:numId w:val="4"/>
        </w:numPr>
      </w:pPr>
      <w:r>
        <w:t>Les objectifs intermédiaires des politiques monétaires.</w:t>
      </w:r>
    </w:p>
    <w:p w:rsidR="009B1252" w:rsidRDefault="009B1252" w:rsidP="009B1252">
      <w:r>
        <w:t>Le renouvellement des objectifs intermédiaires : le taux de change et les prix des actifs.</w:t>
      </w:r>
    </w:p>
    <w:p w:rsidR="009B1252" w:rsidRDefault="009B1252" w:rsidP="009B1252">
      <w:pPr>
        <w:pStyle w:val="Paragraphedeliste"/>
        <w:numPr>
          <w:ilvl w:val="0"/>
          <w:numId w:val="5"/>
        </w:numPr>
      </w:pPr>
      <w:r>
        <w:t>Les objectifs intermédiaires exprimés en terme de taux de change nominal.</w:t>
      </w:r>
    </w:p>
    <w:p w:rsidR="009B1252" w:rsidRDefault="009B1252" w:rsidP="009B1252">
      <w:pPr>
        <w:pStyle w:val="Paragraphedeliste"/>
        <w:numPr>
          <w:ilvl w:val="0"/>
          <w:numId w:val="5"/>
        </w:numPr>
      </w:pPr>
      <w:r>
        <w:t>Un objectif intermédiaire implicite : le prix des actifs.</w:t>
      </w:r>
    </w:p>
    <w:p w:rsidR="009B1252" w:rsidRDefault="009B1252" w:rsidP="009B1252">
      <w:r>
        <w:t>La fin des objectifs intermédiaires ? Les stratégies de ciblage d’inflation.</w:t>
      </w:r>
    </w:p>
    <w:p w:rsidR="009B1252" w:rsidRDefault="009B1252" w:rsidP="009B1252">
      <w:pPr>
        <w:pStyle w:val="Paragraphedeliste"/>
        <w:numPr>
          <w:ilvl w:val="0"/>
          <w:numId w:val="6"/>
        </w:numPr>
      </w:pPr>
      <w:r>
        <w:t>Le fonctionnement des stratégies de ciblage d’inflation.</w:t>
      </w:r>
    </w:p>
    <w:p w:rsidR="009B1252" w:rsidRDefault="009B1252" w:rsidP="009B1252">
      <w:pPr>
        <w:pStyle w:val="Paragraphedeliste"/>
        <w:numPr>
          <w:ilvl w:val="0"/>
          <w:numId w:val="6"/>
        </w:numPr>
      </w:pPr>
      <w:r>
        <w:t>Les avantage des stratégies de ciblage d’inflation.</w:t>
      </w:r>
    </w:p>
    <w:p w:rsidR="00106738" w:rsidRDefault="00106738" w:rsidP="009B1252">
      <w:pPr>
        <w:pStyle w:val="Paragraphedeliste"/>
        <w:numPr>
          <w:ilvl w:val="0"/>
          <w:numId w:val="6"/>
        </w:numPr>
      </w:pPr>
      <w:r>
        <w:t>Les contraintes de mise en œuvre des politiques de ciblage d’inflation.</w:t>
      </w:r>
    </w:p>
    <w:p w:rsidR="00106738" w:rsidRDefault="00106738" w:rsidP="00106738"/>
    <w:p w:rsidR="00106738" w:rsidRDefault="00106738" w:rsidP="00106738">
      <w:r>
        <w:t>III) Le cadre institutionnel de mise en œuvre de la politique monétaire.</w:t>
      </w:r>
    </w:p>
    <w:p w:rsidR="00106738" w:rsidRDefault="00106738" w:rsidP="00106738">
      <w:r>
        <w:t>La crédibilité des politiques monétaires dans un contexte de lutte contre l’inflation : règles, indépendance et réputation.</w:t>
      </w:r>
    </w:p>
    <w:p w:rsidR="00106738" w:rsidRDefault="00106738" w:rsidP="00106738">
      <w:pPr>
        <w:pStyle w:val="Paragraphedeliste"/>
        <w:numPr>
          <w:ilvl w:val="0"/>
          <w:numId w:val="7"/>
        </w:numPr>
      </w:pPr>
      <w:r>
        <w:t>La justification des règles.</w:t>
      </w:r>
    </w:p>
    <w:p w:rsidR="00106738" w:rsidRDefault="00106738" w:rsidP="00106738">
      <w:pPr>
        <w:pStyle w:val="Paragraphedeliste"/>
        <w:numPr>
          <w:ilvl w:val="0"/>
          <w:numId w:val="7"/>
        </w:numPr>
      </w:pPr>
      <w:r>
        <w:t>L’indépendance des banques centrales.</w:t>
      </w:r>
    </w:p>
    <w:p w:rsidR="00106738" w:rsidRDefault="00106738" w:rsidP="00106738">
      <w:pPr>
        <w:pStyle w:val="Paragraphedeliste"/>
        <w:numPr>
          <w:ilvl w:val="0"/>
          <w:numId w:val="7"/>
        </w:numPr>
      </w:pPr>
      <w:r>
        <w:t>La réputation.</w:t>
      </w:r>
    </w:p>
    <w:p w:rsidR="00A37957" w:rsidRDefault="00A37957" w:rsidP="00A37957"/>
    <w:p w:rsidR="00A37957" w:rsidRDefault="00A37957" w:rsidP="00A37957">
      <w:r>
        <w:t>IV) La crédibilité des politiques monétaires dans un contexte de risques équilibrés : coopération, transparence et réactivité</w:t>
      </w:r>
    </w:p>
    <w:p w:rsidR="00A37957" w:rsidRDefault="00A37957" w:rsidP="00A37957">
      <w:pPr>
        <w:pStyle w:val="Paragraphedeliste"/>
        <w:numPr>
          <w:ilvl w:val="0"/>
          <w:numId w:val="8"/>
        </w:numPr>
      </w:pPr>
      <w:r>
        <w:t>L’institution d’une relation coopérative avec les agents économiques.</w:t>
      </w:r>
    </w:p>
    <w:p w:rsidR="00A37957" w:rsidRDefault="00A37957" w:rsidP="00A37957">
      <w:pPr>
        <w:pStyle w:val="Paragraphedeliste"/>
        <w:numPr>
          <w:ilvl w:val="0"/>
          <w:numId w:val="8"/>
        </w:numPr>
      </w:pPr>
      <w:r>
        <w:t>La transparence du processus de décision monétaire.</w:t>
      </w:r>
    </w:p>
    <w:p w:rsidR="00A37957" w:rsidRDefault="00A37957" w:rsidP="00A37957">
      <w:pPr>
        <w:pStyle w:val="Paragraphedeliste"/>
        <w:numPr>
          <w:ilvl w:val="0"/>
          <w:numId w:val="8"/>
        </w:numPr>
      </w:pPr>
      <w:r>
        <w:t>La réactivité des décisions monétaires.</w:t>
      </w:r>
    </w:p>
    <w:p w:rsidR="007056BB" w:rsidRDefault="007056BB" w:rsidP="007056BB"/>
    <w:p w:rsidR="007056BB" w:rsidRDefault="007056BB" w:rsidP="007056BB"/>
    <w:p w:rsidR="007056BB" w:rsidRDefault="007056BB" w:rsidP="007056BB">
      <w:pPr>
        <w:rPr>
          <w:b/>
          <w:i/>
        </w:rPr>
      </w:pPr>
      <w:r w:rsidRPr="007056BB">
        <w:rPr>
          <w:b/>
          <w:i/>
        </w:rPr>
        <w:t xml:space="preserve">Chapitre </w:t>
      </w:r>
      <w:r w:rsidR="00064478">
        <w:rPr>
          <w:b/>
          <w:i/>
        </w:rPr>
        <w:t>13</w:t>
      </w:r>
      <w:bookmarkStart w:id="0" w:name="_GoBack"/>
      <w:bookmarkEnd w:id="0"/>
      <w:r w:rsidRPr="007056BB">
        <w:rPr>
          <w:b/>
          <w:i/>
        </w:rPr>
        <w:t xml:space="preserve"> : la stabilisation conjoncturelle (3) : la combinaison des politiques économiques : le </w:t>
      </w:r>
      <w:proofErr w:type="spellStart"/>
      <w:r w:rsidRPr="007056BB">
        <w:rPr>
          <w:b/>
          <w:i/>
        </w:rPr>
        <w:t>policy</w:t>
      </w:r>
      <w:proofErr w:type="spellEnd"/>
      <w:r w:rsidRPr="007056BB">
        <w:rPr>
          <w:b/>
          <w:i/>
        </w:rPr>
        <w:t xml:space="preserve"> mix.</w:t>
      </w:r>
    </w:p>
    <w:p w:rsidR="007056BB" w:rsidRDefault="007056BB" w:rsidP="007056BB"/>
    <w:p w:rsidR="00A851CE" w:rsidRDefault="00A851CE" w:rsidP="00A851CE">
      <w:r>
        <w:t>I) Le menu d’option de la politique conjoncturelle en économie fermée : le modèle IS/LM</w:t>
      </w:r>
    </w:p>
    <w:p w:rsidR="00A851CE" w:rsidRDefault="00A851CE" w:rsidP="00A851CE">
      <w:r>
        <w:t>Le cadre d’analyse du modèle</w:t>
      </w:r>
    </w:p>
    <w:p w:rsidR="00A851CE" w:rsidRDefault="00A851CE" w:rsidP="00A851CE">
      <w:pPr>
        <w:pStyle w:val="Paragraphedeliste"/>
        <w:numPr>
          <w:ilvl w:val="0"/>
          <w:numId w:val="10"/>
        </w:numPr>
      </w:pPr>
      <w:r>
        <w:t>L’équilibre sur les marchés de biens : la fonction IS.</w:t>
      </w:r>
    </w:p>
    <w:p w:rsidR="00A851CE" w:rsidRDefault="00A851CE" w:rsidP="00A851CE">
      <w:pPr>
        <w:pStyle w:val="Paragraphedeliste"/>
        <w:numPr>
          <w:ilvl w:val="0"/>
          <w:numId w:val="10"/>
        </w:numPr>
      </w:pPr>
      <w:r>
        <w:t>L’équilibre sur le marché de la monnaie : la fonction LM.</w:t>
      </w:r>
    </w:p>
    <w:p w:rsidR="00A851CE" w:rsidRDefault="00A851CE" w:rsidP="00A851CE">
      <w:pPr>
        <w:pStyle w:val="Paragraphedeliste"/>
        <w:numPr>
          <w:ilvl w:val="0"/>
          <w:numId w:val="10"/>
        </w:numPr>
      </w:pPr>
      <w:r>
        <w:t>L’équilibre général.</w:t>
      </w:r>
    </w:p>
    <w:p w:rsidR="00A851CE" w:rsidRDefault="00A851CE" w:rsidP="00A851CE">
      <w:r>
        <w:t>L’entrée en jeu de l’intervention publique</w:t>
      </w:r>
    </w:p>
    <w:p w:rsidR="00A851CE" w:rsidRDefault="00A851CE" w:rsidP="00A851CE">
      <w:pPr>
        <w:pStyle w:val="Paragraphedeliste"/>
        <w:numPr>
          <w:ilvl w:val="0"/>
          <w:numId w:val="11"/>
        </w:numPr>
      </w:pPr>
      <w:r>
        <w:t xml:space="preserve">L’effet de la stimulation </w:t>
      </w:r>
      <w:r w:rsidR="006A67D5">
        <w:t>monétaire.</w:t>
      </w:r>
    </w:p>
    <w:p w:rsidR="006A67D5" w:rsidRDefault="006A67D5" w:rsidP="00A851CE">
      <w:pPr>
        <w:pStyle w:val="Paragraphedeliste"/>
        <w:numPr>
          <w:ilvl w:val="0"/>
          <w:numId w:val="11"/>
        </w:numPr>
      </w:pPr>
      <w:r>
        <w:t>L’effet de la stimulation budgétaire et fiscale.</w:t>
      </w:r>
    </w:p>
    <w:p w:rsidR="006A67D5" w:rsidRDefault="006A67D5" w:rsidP="006A67D5">
      <w:r>
        <w:lastRenderedPageBreak/>
        <w:t xml:space="preserve">II) le menu d’option de la politique conjoncturelle en économie ouverte : le modèle </w:t>
      </w:r>
      <w:proofErr w:type="spellStart"/>
      <w:r>
        <w:t>Mundell</w:t>
      </w:r>
      <w:proofErr w:type="spellEnd"/>
      <w:r>
        <w:t xml:space="preserve"> Fleming.</w:t>
      </w:r>
    </w:p>
    <w:p w:rsidR="006A67D5" w:rsidRDefault="006A67D5" w:rsidP="006A67D5">
      <w:r>
        <w:t>Le menu d’option de politique conjoncturelle en régime de changes flottant.</w:t>
      </w:r>
    </w:p>
    <w:p w:rsidR="006A67D5" w:rsidRDefault="006A67D5" w:rsidP="006A67D5">
      <w:pPr>
        <w:pStyle w:val="Paragraphedeliste"/>
        <w:numPr>
          <w:ilvl w:val="0"/>
          <w:numId w:val="12"/>
        </w:numPr>
      </w:pPr>
      <w:r>
        <w:t>L’effet de la politique budgétaire et fiscale.</w:t>
      </w:r>
    </w:p>
    <w:p w:rsidR="006A67D5" w:rsidRDefault="006A67D5" w:rsidP="006A67D5">
      <w:pPr>
        <w:pStyle w:val="Paragraphedeliste"/>
        <w:numPr>
          <w:ilvl w:val="0"/>
          <w:numId w:val="12"/>
        </w:numPr>
      </w:pPr>
      <w:r>
        <w:t>L’effet de la politique monétaire.</w:t>
      </w:r>
    </w:p>
    <w:p w:rsidR="006A67D5" w:rsidRDefault="006A67D5" w:rsidP="006A67D5">
      <w:r>
        <w:t>Le menu d’option de politique conjoncturelle en régime de change fixe.</w:t>
      </w:r>
    </w:p>
    <w:p w:rsidR="006A67D5" w:rsidRDefault="006A67D5" w:rsidP="006A67D5">
      <w:pPr>
        <w:pStyle w:val="Paragraphedeliste"/>
        <w:numPr>
          <w:ilvl w:val="0"/>
          <w:numId w:val="13"/>
        </w:numPr>
      </w:pPr>
      <w:r>
        <w:t>L’effet de la politique budgétaire et fiscale.</w:t>
      </w:r>
    </w:p>
    <w:p w:rsidR="006A67D5" w:rsidRDefault="006A67D5" w:rsidP="006A67D5">
      <w:pPr>
        <w:pStyle w:val="Paragraphedeliste"/>
        <w:numPr>
          <w:ilvl w:val="0"/>
          <w:numId w:val="13"/>
        </w:numPr>
      </w:pPr>
      <w:r>
        <w:t>L’effet de la politique monétaire.</w:t>
      </w:r>
    </w:p>
    <w:p w:rsidR="006A67D5" w:rsidRDefault="006A67D5" w:rsidP="006A67D5">
      <w:r>
        <w:t>La synthèse du modèle : le menu d’option de politique conjoncturelle en économie ouverte.</w:t>
      </w:r>
    </w:p>
    <w:p w:rsidR="00ED7289" w:rsidRDefault="00ED7289" w:rsidP="006A67D5"/>
    <w:p w:rsidR="00ED7289" w:rsidRDefault="00ED7289" w:rsidP="006A67D5">
      <w:r>
        <w:t xml:space="preserve">III) l’influence des modalités de mise en œuvre dans l’efficacité du </w:t>
      </w:r>
      <w:proofErr w:type="spellStart"/>
      <w:r>
        <w:t>policy</w:t>
      </w:r>
      <w:proofErr w:type="spellEnd"/>
      <w:r>
        <w:t xml:space="preserve"> mix</w:t>
      </w:r>
    </w:p>
    <w:p w:rsidR="00ED7289" w:rsidRDefault="00ED7289" w:rsidP="006A67D5">
      <w:r>
        <w:t>Le risque d’erreur de timing.</w:t>
      </w:r>
    </w:p>
    <w:p w:rsidR="00ED7289" w:rsidRDefault="00ED7289" w:rsidP="006A67D5">
      <w:r>
        <w:t>L’asymétrie des instruments.</w:t>
      </w:r>
    </w:p>
    <w:p w:rsidR="00ED7289" w:rsidRPr="007056BB" w:rsidRDefault="00ED7289" w:rsidP="006A67D5">
      <w:r>
        <w:t>La coordination entre les autorités budgétaires et monétaires.</w:t>
      </w:r>
    </w:p>
    <w:sectPr w:rsidR="00ED7289" w:rsidRPr="00705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08F"/>
    <w:multiLevelType w:val="hybridMultilevel"/>
    <w:tmpl w:val="0D549844"/>
    <w:lvl w:ilvl="0" w:tplc="54C8E8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013D"/>
    <w:multiLevelType w:val="hybridMultilevel"/>
    <w:tmpl w:val="44502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957"/>
    <w:multiLevelType w:val="hybridMultilevel"/>
    <w:tmpl w:val="530EA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1378"/>
    <w:multiLevelType w:val="hybridMultilevel"/>
    <w:tmpl w:val="141CF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62DE"/>
    <w:multiLevelType w:val="hybridMultilevel"/>
    <w:tmpl w:val="5F469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A25EC"/>
    <w:multiLevelType w:val="hybridMultilevel"/>
    <w:tmpl w:val="03124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204B0"/>
    <w:multiLevelType w:val="hybridMultilevel"/>
    <w:tmpl w:val="9902780A"/>
    <w:lvl w:ilvl="0" w:tplc="AF168F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63991"/>
    <w:multiLevelType w:val="hybridMultilevel"/>
    <w:tmpl w:val="6B249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35AAB"/>
    <w:multiLevelType w:val="hybridMultilevel"/>
    <w:tmpl w:val="2FEA78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60EE6"/>
    <w:multiLevelType w:val="hybridMultilevel"/>
    <w:tmpl w:val="64D6E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B5ECA"/>
    <w:multiLevelType w:val="hybridMultilevel"/>
    <w:tmpl w:val="7436B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77CBD"/>
    <w:multiLevelType w:val="hybridMultilevel"/>
    <w:tmpl w:val="4432B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13012"/>
    <w:multiLevelType w:val="hybridMultilevel"/>
    <w:tmpl w:val="D9C4F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8B"/>
    <w:rsid w:val="00064478"/>
    <w:rsid w:val="00106738"/>
    <w:rsid w:val="00291142"/>
    <w:rsid w:val="005B0A2B"/>
    <w:rsid w:val="006A67D5"/>
    <w:rsid w:val="007056BB"/>
    <w:rsid w:val="007F7678"/>
    <w:rsid w:val="009B1252"/>
    <w:rsid w:val="00A37957"/>
    <w:rsid w:val="00A851CE"/>
    <w:rsid w:val="00C35D46"/>
    <w:rsid w:val="00C408BB"/>
    <w:rsid w:val="00D57A8B"/>
    <w:rsid w:val="00E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5906"/>
  <w15:chartTrackingRefBased/>
  <w15:docId w15:val="{FD97A51B-7F0F-4598-8919-441F02C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10</cp:revision>
  <dcterms:created xsi:type="dcterms:W3CDTF">2023-08-08T14:33:00Z</dcterms:created>
  <dcterms:modified xsi:type="dcterms:W3CDTF">2023-08-08T17:23:00Z</dcterms:modified>
</cp:coreProperties>
</file>