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42" w:rsidRDefault="00DF40AA">
      <w:pPr>
        <w:rPr>
          <w:b/>
          <w:i/>
        </w:rPr>
      </w:pPr>
      <w:r>
        <w:rPr>
          <w:b/>
          <w:i/>
        </w:rPr>
        <w:t xml:space="preserve">Chapitre </w:t>
      </w:r>
      <w:r w:rsidR="00BA22DF">
        <w:rPr>
          <w:b/>
          <w:i/>
        </w:rPr>
        <w:t>14</w:t>
      </w:r>
      <w:r>
        <w:rPr>
          <w:b/>
          <w:i/>
        </w:rPr>
        <w:t> : la politique économique en économie ouverte (1) : la stratégie de change</w:t>
      </w:r>
    </w:p>
    <w:p w:rsidR="00C77925" w:rsidRDefault="00C77925">
      <w:pPr>
        <w:rPr>
          <w:b/>
        </w:rPr>
      </w:pPr>
    </w:p>
    <w:p w:rsidR="00C77925" w:rsidRDefault="00C77925" w:rsidP="00C77925">
      <w:r w:rsidRPr="00C77925">
        <w:t xml:space="preserve">I) </w:t>
      </w:r>
      <w:r>
        <w:t>La définition de la stratégie de change.</w:t>
      </w:r>
    </w:p>
    <w:p w:rsidR="00C77925" w:rsidRDefault="00C77925" w:rsidP="00C77925">
      <w:r>
        <w:t>L’utilisation conjoncturelle de la politique de change : les politiques de dévaluation/dépréciation compétitive.</w:t>
      </w:r>
    </w:p>
    <w:p w:rsidR="00C77925" w:rsidRDefault="00C77925" w:rsidP="00C77925">
      <w:pPr>
        <w:pStyle w:val="Paragraphedeliste"/>
        <w:numPr>
          <w:ilvl w:val="0"/>
          <w:numId w:val="2"/>
        </w:numPr>
      </w:pPr>
      <w:r>
        <w:t>L’effet d’une dévaluation/dépréciation du taux de change sur le solde courant : la courbe en J.</w:t>
      </w:r>
    </w:p>
    <w:p w:rsidR="00C77925" w:rsidRDefault="00C77925" w:rsidP="00C77925">
      <w:pPr>
        <w:pStyle w:val="Paragraphedeliste"/>
        <w:numPr>
          <w:ilvl w:val="0"/>
          <w:numId w:val="2"/>
        </w:numPr>
      </w:pPr>
      <w:r>
        <w:t>La condition de réussite des stratégies de dévaluation/dépréciation compétitive.</w:t>
      </w:r>
    </w:p>
    <w:p w:rsidR="00C77925" w:rsidRDefault="00C77925" w:rsidP="00C77925">
      <w:pPr>
        <w:pStyle w:val="Paragraphedeliste"/>
        <w:numPr>
          <w:ilvl w:val="0"/>
          <w:numId w:val="2"/>
        </w:numPr>
      </w:pPr>
      <w:r>
        <w:t>Les coûts structurels des stratégies de dévaluation/dépréciation compétitive.</w:t>
      </w:r>
    </w:p>
    <w:p w:rsidR="00C77925" w:rsidRDefault="00C77925" w:rsidP="00C77925">
      <w:r>
        <w:t>L’utilisation structurelle de la politique de change.</w:t>
      </w:r>
    </w:p>
    <w:p w:rsidR="00C77925" w:rsidRDefault="00C77925" w:rsidP="00C77925"/>
    <w:p w:rsidR="00C77925" w:rsidRDefault="00C77925" w:rsidP="00C77925">
      <w:r>
        <w:t>II) La mise en œuvre de la politique de change</w:t>
      </w:r>
    </w:p>
    <w:p w:rsidR="00C77925" w:rsidRDefault="00C77925" w:rsidP="00C77925">
      <w:r>
        <w:t>L’ajustement des taux d’intérêt directeurs.</w:t>
      </w:r>
    </w:p>
    <w:p w:rsidR="00C77925" w:rsidRDefault="00C77925" w:rsidP="00C77925">
      <w:r>
        <w:t>Les interventions de change.</w:t>
      </w:r>
    </w:p>
    <w:p w:rsidR="00C77925" w:rsidRDefault="00C77925" w:rsidP="00C77925">
      <w:pPr>
        <w:pStyle w:val="Paragraphedeliste"/>
        <w:numPr>
          <w:ilvl w:val="0"/>
          <w:numId w:val="3"/>
        </w:numPr>
      </w:pPr>
      <w:r>
        <w:t>Les mécanismes d’intervention sur le marché des changes.</w:t>
      </w:r>
    </w:p>
    <w:p w:rsidR="00C77925" w:rsidRDefault="00C77925" w:rsidP="00C77925">
      <w:pPr>
        <w:pStyle w:val="Paragraphedeliste"/>
        <w:numPr>
          <w:ilvl w:val="0"/>
          <w:numId w:val="3"/>
        </w:numPr>
      </w:pPr>
      <w:r>
        <w:t>Intervention sur le marché des changes et politiques monétaire.</w:t>
      </w:r>
    </w:p>
    <w:p w:rsidR="00C77925" w:rsidRDefault="00C77925" w:rsidP="00C77925">
      <w:pPr>
        <w:pStyle w:val="Paragraphedeliste"/>
        <w:numPr>
          <w:ilvl w:val="0"/>
          <w:numId w:val="3"/>
        </w:numPr>
      </w:pPr>
      <w:r>
        <w:t>Les conditions d’efficacité des interventions de change.</w:t>
      </w:r>
    </w:p>
    <w:p w:rsidR="00F8218D" w:rsidRDefault="00F8218D" w:rsidP="00F8218D"/>
    <w:p w:rsidR="00F8218D" w:rsidRDefault="00F8218D" w:rsidP="00F8218D">
      <w:r>
        <w:t>III) Le choix d’un régime de change</w:t>
      </w:r>
    </w:p>
    <w:p w:rsidR="00F8218D" w:rsidRDefault="00F8218D" w:rsidP="00F8218D">
      <w:r>
        <w:t>Inventaire des régimes de change.</w:t>
      </w:r>
    </w:p>
    <w:p w:rsidR="00F8218D" w:rsidRDefault="00F8218D" w:rsidP="00F8218D">
      <w:pPr>
        <w:pStyle w:val="Paragraphedeliste"/>
        <w:numPr>
          <w:ilvl w:val="0"/>
          <w:numId w:val="4"/>
        </w:numPr>
      </w:pPr>
      <w:r>
        <w:t>Les ancrages fixes.</w:t>
      </w:r>
    </w:p>
    <w:p w:rsidR="00F8218D" w:rsidRDefault="00F8218D" w:rsidP="00F8218D">
      <w:pPr>
        <w:pStyle w:val="Paragraphedeliste"/>
        <w:numPr>
          <w:ilvl w:val="0"/>
          <w:numId w:val="4"/>
        </w:numPr>
      </w:pPr>
      <w:r>
        <w:t>Le flottement des taux de change.</w:t>
      </w:r>
    </w:p>
    <w:p w:rsidR="00F8218D" w:rsidRDefault="00F8218D" w:rsidP="00F8218D">
      <w:r>
        <w:t>La sélection du régime de change approprié.</w:t>
      </w:r>
    </w:p>
    <w:p w:rsidR="00F8218D" w:rsidRDefault="00F8218D" w:rsidP="00F8218D">
      <w:pPr>
        <w:pStyle w:val="Paragraphedeliste"/>
        <w:numPr>
          <w:ilvl w:val="0"/>
          <w:numId w:val="5"/>
        </w:numPr>
      </w:pPr>
      <w:r>
        <w:t>Le rôle de la hiérarchie des objectifs assignés à la politique de change.</w:t>
      </w:r>
    </w:p>
    <w:p w:rsidR="00F8218D" w:rsidRDefault="00F8218D" w:rsidP="00F8218D">
      <w:pPr>
        <w:pStyle w:val="Paragraphedeliste"/>
        <w:numPr>
          <w:ilvl w:val="0"/>
          <w:numId w:val="5"/>
        </w:numPr>
      </w:pPr>
      <w:r>
        <w:t>L’importance clef de l’adéquation du régime de change à la situation de l’économie.</w:t>
      </w:r>
    </w:p>
    <w:p w:rsidR="00083526" w:rsidRDefault="00083526" w:rsidP="00083526"/>
    <w:p w:rsidR="00083526" w:rsidRDefault="00083526" w:rsidP="00083526"/>
    <w:p w:rsidR="00083526" w:rsidRPr="00673CDE" w:rsidRDefault="00083526" w:rsidP="00083526">
      <w:pPr>
        <w:rPr>
          <w:b/>
          <w:i/>
        </w:rPr>
      </w:pPr>
      <w:r w:rsidRPr="00673CDE">
        <w:rPr>
          <w:b/>
          <w:i/>
        </w:rPr>
        <w:t xml:space="preserve">Chapitre </w:t>
      </w:r>
      <w:r w:rsidR="00BA22DF">
        <w:rPr>
          <w:b/>
          <w:i/>
        </w:rPr>
        <w:t>15</w:t>
      </w:r>
      <w:bookmarkStart w:id="0" w:name="_GoBack"/>
      <w:bookmarkEnd w:id="0"/>
      <w:r w:rsidRPr="00673CDE">
        <w:rPr>
          <w:b/>
          <w:i/>
        </w:rPr>
        <w:t> : la politique économique en économie ouverte (2) : les politiques économiques en Union Economique et Monétaire (UEM).</w:t>
      </w:r>
    </w:p>
    <w:p w:rsidR="00673CDE" w:rsidRDefault="00673CDE" w:rsidP="00083526"/>
    <w:p w:rsidR="00673CDE" w:rsidRDefault="00673CDE" w:rsidP="00673CDE">
      <w:r>
        <w:t>I) Les justifications d’une union monétaire.</w:t>
      </w:r>
    </w:p>
    <w:p w:rsidR="00673CDE" w:rsidRDefault="00673CDE" w:rsidP="00673CDE">
      <w:r>
        <w:t>L’UEM prolonge l’intégration des économies.</w:t>
      </w:r>
    </w:p>
    <w:p w:rsidR="00673CDE" w:rsidRDefault="00673CDE" w:rsidP="00673CDE">
      <w:r>
        <w:t>La théorie des zones monétaire</w:t>
      </w:r>
      <w:r w:rsidR="00F9036A">
        <w:t>s</w:t>
      </w:r>
      <w:r>
        <w:t xml:space="preserve"> optimales de </w:t>
      </w:r>
      <w:proofErr w:type="spellStart"/>
      <w:r>
        <w:t>Mundell</w:t>
      </w:r>
      <w:proofErr w:type="spellEnd"/>
      <w:r>
        <w:t>.</w:t>
      </w:r>
    </w:p>
    <w:p w:rsidR="00F9036A" w:rsidRDefault="00F9036A" w:rsidP="00F9036A">
      <w:pPr>
        <w:pStyle w:val="Paragraphedeliste"/>
        <w:numPr>
          <w:ilvl w:val="0"/>
          <w:numId w:val="7"/>
        </w:numPr>
      </w:pPr>
      <w:r>
        <w:t>Les gains d’une union monétaire</w:t>
      </w:r>
    </w:p>
    <w:p w:rsidR="00F9036A" w:rsidRDefault="00F9036A" w:rsidP="00F9036A">
      <w:pPr>
        <w:pStyle w:val="Paragraphedeliste"/>
        <w:numPr>
          <w:ilvl w:val="0"/>
          <w:numId w:val="7"/>
        </w:numPr>
      </w:pPr>
      <w:r>
        <w:t>L’ajustement d’une union monétaire aux chocs.</w:t>
      </w:r>
    </w:p>
    <w:p w:rsidR="00F9036A" w:rsidRDefault="00F9036A" w:rsidP="00F9036A">
      <w:r>
        <w:t>L’approfondissement des critères d’optimalité.</w:t>
      </w:r>
    </w:p>
    <w:p w:rsidR="00F9036A" w:rsidRDefault="00F9036A" w:rsidP="00F9036A">
      <w:pPr>
        <w:pStyle w:val="Paragraphedeliste"/>
        <w:numPr>
          <w:ilvl w:val="0"/>
          <w:numId w:val="8"/>
        </w:numPr>
      </w:pPr>
      <w:r>
        <w:t>Le coût de renonciation à l’instrument du taux de change.</w:t>
      </w:r>
    </w:p>
    <w:p w:rsidR="00F9036A" w:rsidRDefault="00F9036A" w:rsidP="00F9036A">
      <w:pPr>
        <w:pStyle w:val="Paragraphedeliste"/>
        <w:numPr>
          <w:ilvl w:val="0"/>
          <w:numId w:val="8"/>
        </w:numPr>
      </w:pPr>
      <w:r>
        <w:t>Les facteurs de prévalence des risques de chocs symétriques.</w:t>
      </w:r>
    </w:p>
    <w:p w:rsidR="00F9036A" w:rsidRDefault="00F9036A" w:rsidP="00F9036A">
      <w:pPr>
        <w:pStyle w:val="Paragraphedeliste"/>
        <w:numPr>
          <w:ilvl w:val="0"/>
          <w:numId w:val="8"/>
        </w:numPr>
      </w:pPr>
      <w:r>
        <w:t>Les mécanismes d’absorption des chocs asymétriques résiduels.</w:t>
      </w:r>
    </w:p>
    <w:p w:rsidR="00F9036A" w:rsidRDefault="00F9036A" w:rsidP="00F9036A">
      <w:pPr>
        <w:pStyle w:val="Paragraphedeliste"/>
        <w:numPr>
          <w:ilvl w:val="0"/>
          <w:numId w:val="8"/>
        </w:numPr>
      </w:pPr>
      <w:r>
        <w:t>L’interaction entre l’union monétaire et l’intégration économique.</w:t>
      </w:r>
    </w:p>
    <w:p w:rsidR="00673CDE" w:rsidRDefault="00673CDE" w:rsidP="00673CDE"/>
    <w:p w:rsidR="00B04EBB" w:rsidRDefault="00B04EBB" w:rsidP="00673CDE">
      <w:r>
        <w:t>II) Les politiques économiques en UEM.</w:t>
      </w:r>
    </w:p>
    <w:p w:rsidR="00B04EBB" w:rsidRDefault="00B04EBB" w:rsidP="00673CDE">
      <w:r>
        <w:t xml:space="preserve">Le pilotage du </w:t>
      </w:r>
      <w:proofErr w:type="spellStart"/>
      <w:r>
        <w:t>policy</w:t>
      </w:r>
      <w:proofErr w:type="spellEnd"/>
      <w:r>
        <w:t xml:space="preserve"> mix.</w:t>
      </w:r>
    </w:p>
    <w:p w:rsidR="00B04EBB" w:rsidRDefault="00B04EBB" w:rsidP="00B04EBB">
      <w:pPr>
        <w:pStyle w:val="Paragraphedeliste"/>
        <w:numPr>
          <w:ilvl w:val="0"/>
          <w:numId w:val="9"/>
        </w:numPr>
      </w:pPr>
      <w:r>
        <w:t>La détermination de la politique monétaire.</w:t>
      </w:r>
    </w:p>
    <w:p w:rsidR="00B04EBB" w:rsidRDefault="00B04EBB" w:rsidP="00B04EBB">
      <w:pPr>
        <w:pStyle w:val="Paragraphedeliste"/>
        <w:numPr>
          <w:ilvl w:val="0"/>
          <w:numId w:val="9"/>
        </w:numPr>
      </w:pPr>
      <w:r>
        <w:t>Le rôle de la politique budgétaire et fiscale.</w:t>
      </w:r>
    </w:p>
    <w:p w:rsidR="00B04EBB" w:rsidRDefault="00B04EBB" w:rsidP="00B04EBB">
      <w:r>
        <w:t>Le rôle des politiques structurelles</w:t>
      </w:r>
    </w:p>
    <w:p w:rsidR="00B04EBB" w:rsidRDefault="00B04EBB" w:rsidP="00B04EBB">
      <w:pPr>
        <w:pStyle w:val="Paragraphedeliste"/>
        <w:numPr>
          <w:ilvl w:val="0"/>
          <w:numId w:val="10"/>
        </w:numPr>
      </w:pPr>
      <w:r>
        <w:t>Le renforcement de l’intégration de la zone.</w:t>
      </w:r>
    </w:p>
    <w:p w:rsidR="00B04EBB" w:rsidRDefault="00B04EBB" w:rsidP="00B04EBB">
      <w:pPr>
        <w:pStyle w:val="Paragraphedeliste"/>
        <w:numPr>
          <w:ilvl w:val="0"/>
          <w:numId w:val="10"/>
        </w:numPr>
      </w:pPr>
      <w:r>
        <w:t>L’absorption des chocs asymétriques résiduels.</w:t>
      </w:r>
    </w:p>
    <w:p w:rsidR="00B04EBB" w:rsidRDefault="00B04EBB" w:rsidP="00B04EBB">
      <w:pPr>
        <w:pStyle w:val="Paragraphedeliste"/>
        <w:numPr>
          <w:ilvl w:val="0"/>
          <w:numId w:val="10"/>
        </w:numPr>
      </w:pPr>
      <w:r>
        <w:t>Le cas de la politique fiscale.</w:t>
      </w:r>
    </w:p>
    <w:p w:rsidR="00B04EBB" w:rsidRDefault="00B04EBB" w:rsidP="00B04EBB"/>
    <w:p w:rsidR="00B04EBB" w:rsidRDefault="00B04EBB" w:rsidP="00B04EBB"/>
    <w:p w:rsidR="00B04EBB" w:rsidRPr="00C77925" w:rsidRDefault="00B04EBB" w:rsidP="00B04EBB">
      <w:r>
        <w:t>Conclusion générale.</w:t>
      </w:r>
    </w:p>
    <w:sectPr w:rsidR="00B04EBB" w:rsidRPr="00C77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2096"/>
    <w:multiLevelType w:val="hybridMultilevel"/>
    <w:tmpl w:val="953EF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F4BC2"/>
    <w:multiLevelType w:val="hybridMultilevel"/>
    <w:tmpl w:val="1326EE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E5E1F"/>
    <w:multiLevelType w:val="hybridMultilevel"/>
    <w:tmpl w:val="20828F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1658A"/>
    <w:multiLevelType w:val="hybridMultilevel"/>
    <w:tmpl w:val="45FAE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2004F"/>
    <w:multiLevelType w:val="hybridMultilevel"/>
    <w:tmpl w:val="2EA61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A1F03"/>
    <w:multiLevelType w:val="hybridMultilevel"/>
    <w:tmpl w:val="BBCC28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46A84"/>
    <w:multiLevelType w:val="hybridMultilevel"/>
    <w:tmpl w:val="EC64374E"/>
    <w:lvl w:ilvl="0" w:tplc="FFF6421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13263"/>
    <w:multiLevelType w:val="hybridMultilevel"/>
    <w:tmpl w:val="6B7AC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244AA"/>
    <w:multiLevelType w:val="hybridMultilevel"/>
    <w:tmpl w:val="E2DE15CA"/>
    <w:lvl w:ilvl="0" w:tplc="6BEA736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963FF"/>
    <w:multiLevelType w:val="hybridMultilevel"/>
    <w:tmpl w:val="EAA66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7D"/>
    <w:rsid w:val="00083526"/>
    <w:rsid w:val="00291142"/>
    <w:rsid w:val="00673CDE"/>
    <w:rsid w:val="009F1C7D"/>
    <w:rsid w:val="00B04EBB"/>
    <w:rsid w:val="00BA22DF"/>
    <w:rsid w:val="00C408BB"/>
    <w:rsid w:val="00C77925"/>
    <w:rsid w:val="00DF40AA"/>
    <w:rsid w:val="00F8218D"/>
    <w:rsid w:val="00F9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3C9E"/>
  <w15:chartTrackingRefBased/>
  <w15:docId w15:val="{9F120854-F15A-456A-B834-A6F4D1C0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fr-F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Corpsdetexte"/>
    <w:link w:val="Titre1Car"/>
    <w:uiPriority w:val="9"/>
    <w:qFormat/>
    <w:rsid w:val="00C408BB"/>
    <w:pPr>
      <w:jc w:val="center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te1">
    <w:name w:val="Date1"/>
    <w:basedOn w:val="Normal"/>
    <w:next w:val="Corpsdetexte"/>
    <w:link w:val="dateCar"/>
    <w:qFormat/>
    <w:rsid w:val="00C408BB"/>
    <w:rPr>
      <w:i/>
      <w:color w:val="231F20"/>
      <w:sz w:val="20"/>
    </w:rPr>
  </w:style>
  <w:style w:type="character" w:customStyle="1" w:styleId="dateCar">
    <w:name w:val="date Car"/>
    <w:basedOn w:val="Policepardfaut"/>
    <w:link w:val="Date1"/>
    <w:rsid w:val="00C408BB"/>
    <w:rPr>
      <w:i/>
      <w:color w:val="231F20"/>
      <w:sz w:val="20"/>
    </w:rPr>
  </w:style>
  <w:style w:type="paragraph" w:styleId="Corpsdetexte">
    <w:name w:val="Body Text"/>
    <w:basedOn w:val="Normal"/>
    <w:link w:val="CorpsdetexteCar"/>
    <w:uiPriority w:val="1"/>
    <w:qFormat/>
    <w:rsid w:val="00C408BB"/>
    <w:pPr>
      <w:jc w:val="both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408BB"/>
    <w:rPr>
      <w:sz w:val="20"/>
      <w:szCs w:val="20"/>
    </w:rPr>
  </w:style>
  <w:style w:type="paragraph" w:customStyle="1" w:styleId="Objet">
    <w:name w:val="Objet"/>
    <w:basedOn w:val="Corpsdetexte"/>
    <w:next w:val="Corpsdetexte"/>
    <w:link w:val="ObjetCar"/>
    <w:qFormat/>
    <w:rsid w:val="00C408BB"/>
    <w:pPr>
      <w:spacing w:before="103" w:line="242" w:lineRule="exact"/>
    </w:pPr>
    <w:rPr>
      <w:b/>
      <w:color w:val="231F20"/>
    </w:rPr>
  </w:style>
  <w:style w:type="character" w:customStyle="1" w:styleId="ObjetCar">
    <w:name w:val="Objet Car"/>
    <w:basedOn w:val="CorpsdetexteCar"/>
    <w:link w:val="Objet"/>
    <w:rsid w:val="00C408BB"/>
    <w:rPr>
      <w:b/>
      <w:color w:val="231F20"/>
      <w:sz w:val="20"/>
      <w:szCs w:val="20"/>
    </w:rPr>
  </w:style>
  <w:style w:type="paragraph" w:customStyle="1" w:styleId="Signat">
    <w:name w:val="Signat"/>
    <w:basedOn w:val="Titre1"/>
    <w:next w:val="Corpsdetexte"/>
    <w:link w:val="SignatCar"/>
    <w:qFormat/>
    <w:rsid w:val="00C408BB"/>
    <w:pPr>
      <w:jc w:val="right"/>
    </w:pPr>
    <w:rPr>
      <w:bCs w:val="0"/>
      <w:color w:val="231F20"/>
      <w:sz w:val="16"/>
      <w:szCs w:val="16"/>
    </w:rPr>
  </w:style>
  <w:style w:type="character" w:customStyle="1" w:styleId="SignatCar">
    <w:name w:val="Signat Car"/>
    <w:basedOn w:val="Titre1Car"/>
    <w:link w:val="Signat"/>
    <w:rsid w:val="00C408BB"/>
    <w:rPr>
      <w:b/>
      <w:bCs w:val="0"/>
      <w:color w:val="231F20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408BB"/>
    <w:rPr>
      <w:b/>
      <w:bCs/>
      <w:sz w:val="24"/>
      <w:szCs w:val="24"/>
    </w:rPr>
  </w:style>
  <w:style w:type="paragraph" w:customStyle="1" w:styleId="Sous-titre1">
    <w:name w:val="Sous-titre1"/>
    <w:basedOn w:val="Normal"/>
    <w:next w:val="Corpsdetexte"/>
    <w:link w:val="Sous-titre1Car"/>
    <w:qFormat/>
    <w:rsid w:val="00C408BB"/>
    <w:pPr>
      <w:jc w:val="center"/>
    </w:pPr>
    <w:rPr>
      <w:b/>
      <w:bCs/>
      <w:sz w:val="16"/>
      <w:szCs w:val="16"/>
    </w:rPr>
  </w:style>
  <w:style w:type="character" w:customStyle="1" w:styleId="Sous-titre1Car">
    <w:name w:val="Sous-titre1 Car"/>
    <w:basedOn w:val="Policepardfaut"/>
    <w:link w:val="Sous-titre1"/>
    <w:rsid w:val="00C408BB"/>
    <w:rPr>
      <w:b/>
      <w:bCs/>
      <w:sz w:val="16"/>
      <w:szCs w:val="16"/>
    </w:rPr>
  </w:style>
  <w:style w:type="paragraph" w:customStyle="1" w:styleId="Sous-titre2">
    <w:name w:val="Sous-titre 2"/>
    <w:basedOn w:val="Sous-titre1"/>
    <w:next w:val="Corpsdetexte"/>
    <w:link w:val="Sous-titre2Car"/>
    <w:qFormat/>
    <w:rsid w:val="00C408BB"/>
    <w:rPr>
      <w:b w:val="0"/>
      <w:bCs w:val="0"/>
    </w:rPr>
  </w:style>
  <w:style w:type="character" w:customStyle="1" w:styleId="Sous-titre2Car">
    <w:name w:val="Sous-titre 2 Car"/>
    <w:basedOn w:val="Sous-titre1Car"/>
    <w:link w:val="Sous-titre2"/>
    <w:rsid w:val="00C408BB"/>
    <w:rPr>
      <w:b w:val="0"/>
      <w:bCs w:val="0"/>
      <w:sz w:val="16"/>
      <w:szCs w:val="16"/>
    </w:rPr>
  </w:style>
  <w:style w:type="paragraph" w:customStyle="1" w:styleId="Titre1demapage">
    <w:name w:val="Titre 1 de ma page"/>
    <w:basedOn w:val="Corpsdetexte"/>
    <w:next w:val="Corpsdetexte"/>
    <w:link w:val="Titre1demapageCar"/>
    <w:autoRedefine/>
    <w:qFormat/>
    <w:rsid w:val="00C408BB"/>
    <w:pPr>
      <w:spacing w:before="1"/>
    </w:pPr>
    <w:rPr>
      <w:b/>
      <w:bCs/>
    </w:rPr>
  </w:style>
  <w:style w:type="character" w:customStyle="1" w:styleId="Titre1demapageCar">
    <w:name w:val="Titre 1 de ma page Car"/>
    <w:basedOn w:val="CorpsdetexteCar"/>
    <w:link w:val="Titre1demapage"/>
    <w:rsid w:val="00C408BB"/>
    <w:rPr>
      <w:b/>
      <w:bCs/>
      <w:sz w:val="20"/>
      <w:szCs w:val="20"/>
    </w:rPr>
  </w:style>
  <w:style w:type="paragraph" w:customStyle="1" w:styleId="Titre2demapage">
    <w:name w:val="Titre 2 de ma page"/>
    <w:basedOn w:val="Titre1demapage"/>
    <w:next w:val="Corpsdetexte"/>
    <w:link w:val="Titre2demapageCar"/>
    <w:autoRedefine/>
    <w:qFormat/>
    <w:rsid w:val="00C408BB"/>
    <w:pPr>
      <w:spacing w:line="276" w:lineRule="auto"/>
    </w:pPr>
    <w:rPr>
      <w:sz w:val="16"/>
      <w:szCs w:val="16"/>
    </w:rPr>
  </w:style>
  <w:style w:type="character" w:customStyle="1" w:styleId="Titre2demapageCar">
    <w:name w:val="Titre 2 de ma page Car"/>
    <w:basedOn w:val="Titre1demapageCar"/>
    <w:link w:val="Titre2demapage"/>
    <w:rsid w:val="00C408BB"/>
    <w:rPr>
      <w:b/>
      <w:bCs/>
      <w:sz w:val="16"/>
      <w:szCs w:val="16"/>
    </w:rPr>
  </w:style>
  <w:style w:type="paragraph" w:customStyle="1" w:styleId="Titre3demapage">
    <w:name w:val="Titre 3 de ma page"/>
    <w:basedOn w:val="Titre2demapage"/>
    <w:next w:val="Corpsdetexte"/>
    <w:link w:val="Titre3demapageCar"/>
    <w:qFormat/>
    <w:rsid w:val="00C408BB"/>
    <w:rPr>
      <w:b w:val="0"/>
      <w:bCs w:val="0"/>
    </w:rPr>
  </w:style>
  <w:style w:type="character" w:customStyle="1" w:styleId="Titre3demapageCar">
    <w:name w:val="Titre 3 de ma page Car"/>
    <w:basedOn w:val="Titre2demapageCar"/>
    <w:link w:val="Titre3demapage"/>
    <w:rsid w:val="00C408BB"/>
    <w:rPr>
      <w:b w:val="0"/>
      <w:bCs w:val="0"/>
      <w:sz w:val="16"/>
      <w:szCs w:val="16"/>
    </w:rPr>
  </w:style>
  <w:style w:type="paragraph" w:customStyle="1" w:styleId="Date2">
    <w:name w:val="Date 2"/>
    <w:basedOn w:val="Date1"/>
    <w:next w:val="Corpsdetexte"/>
    <w:link w:val="Date2Car"/>
    <w:qFormat/>
    <w:rsid w:val="00C408BB"/>
    <w:pPr>
      <w:jc w:val="right"/>
    </w:pPr>
    <w:rPr>
      <w:sz w:val="16"/>
      <w:szCs w:val="16"/>
    </w:rPr>
  </w:style>
  <w:style w:type="character" w:customStyle="1" w:styleId="Date2Car">
    <w:name w:val="Date 2 Car"/>
    <w:basedOn w:val="dateCar"/>
    <w:link w:val="Date2"/>
    <w:rsid w:val="00C408BB"/>
    <w:rPr>
      <w:i/>
      <w:color w:val="231F20"/>
      <w:sz w:val="16"/>
      <w:szCs w:val="16"/>
    </w:rPr>
  </w:style>
  <w:style w:type="paragraph" w:customStyle="1" w:styleId="PieddePage2">
    <w:name w:val="Pied de Page 2"/>
    <w:basedOn w:val="Normal"/>
    <w:next w:val="Corpsdetexte"/>
    <w:link w:val="PieddePage2Car"/>
    <w:qFormat/>
    <w:rsid w:val="00C408BB"/>
    <w:pPr>
      <w:spacing w:line="161" w:lineRule="exact"/>
    </w:pPr>
    <w:rPr>
      <w:color w:val="939598"/>
      <w:sz w:val="14"/>
    </w:rPr>
  </w:style>
  <w:style w:type="character" w:customStyle="1" w:styleId="PieddePage2Car">
    <w:name w:val="Pied de Page 2 Car"/>
    <w:basedOn w:val="Policepardfaut"/>
    <w:link w:val="PieddePage2"/>
    <w:rsid w:val="00C408BB"/>
    <w:rPr>
      <w:color w:val="939598"/>
      <w:sz w:val="14"/>
    </w:rPr>
  </w:style>
  <w:style w:type="paragraph" w:customStyle="1" w:styleId="Intituldirection">
    <w:name w:val="Intitulé direction"/>
    <w:basedOn w:val="En-tte"/>
    <w:next w:val="Corpsdetexte"/>
    <w:link w:val="IntituldirectionCar"/>
    <w:qFormat/>
    <w:rsid w:val="00C408BB"/>
    <w:pPr>
      <w:tabs>
        <w:tab w:val="clear" w:pos="4536"/>
        <w:tab w:val="clear" w:pos="9072"/>
        <w:tab w:val="right" w:pos="9026"/>
      </w:tabs>
      <w:jc w:val="right"/>
    </w:pPr>
    <w:rPr>
      <w:rFonts w:eastAsia="Arial"/>
      <w:b/>
      <w:bCs/>
      <w:sz w:val="24"/>
      <w:szCs w:val="24"/>
    </w:rPr>
  </w:style>
  <w:style w:type="character" w:customStyle="1" w:styleId="IntituldirectionCar">
    <w:name w:val="Intitulé direction Car"/>
    <w:basedOn w:val="En-tteCar"/>
    <w:link w:val="Intituldirection"/>
    <w:rsid w:val="00C408BB"/>
    <w:rPr>
      <w:rFonts w:eastAsia="Arial"/>
      <w:b/>
      <w:bCs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C408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408BB"/>
  </w:style>
  <w:style w:type="paragraph" w:customStyle="1" w:styleId="IntituleDirecteur">
    <w:name w:val="Intitule Directeur"/>
    <w:basedOn w:val="Corpsdetexte"/>
    <w:next w:val="Corpsdetexte"/>
    <w:link w:val="IntituleDirecteurCar"/>
    <w:qFormat/>
    <w:rsid w:val="00C408BB"/>
    <w:rPr>
      <w:sz w:val="24"/>
      <w:szCs w:val="24"/>
    </w:rPr>
  </w:style>
  <w:style w:type="character" w:customStyle="1" w:styleId="IntituleDirecteurCar">
    <w:name w:val="Intitule Directeur Car"/>
    <w:basedOn w:val="CorpsdetexteCar"/>
    <w:link w:val="IntituleDirecteur"/>
    <w:rsid w:val="00C408BB"/>
    <w:rPr>
      <w:sz w:val="24"/>
      <w:szCs w:val="24"/>
    </w:rPr>
  </w:style>
  <w:style w:type="paragraph" w:customStyle="1" w:styleId="Pieddepage20">
    <w:name w:val="Pied de page 2"/>
    <w:basedOn w:val="Normal"/>
    <w:next w:val="Corpsdetexte"/>
    <w:link w:val="Pieddepage2Car0"/>
    <w:qFormat/>
    <w:rsid w:val="00C408BB"/>
    <w:pPr>
      <w:spacing w:line="161" w:lineRule="exact"/>
    </w:pPr>
    <w:rPr>
      <w:color w:val="939598"/>
      <w:sz w:val="14"/>
    </w:rPr>
  </w:style>
  <w:style w:type="character" w:customStyle="1" w:styleId="Pieddepage2Car0">
    <w:name w:val="Pied de page 2 Car"/>
    <w:basedOn w:val="Policepardfaut"/>
    <w:link w:val="Pieddepage20"/>
    <w:rsid w:val="00C408BB"/>
    <w:rPr>
      <w:color w:val="939598"/>
      <w:sz w:val="14"/>
    </w:rPr>
  </w:style>
  <w:style w:type="paragraph" w:customStyle="1" w:styleId="ServiceInfoHeader">
    <w:name w:val="Service Info Header"/>
    <w:basedOn w:val="En-tte"/>
    <w:next w:val="Corpsdetexte"/>
    <w:link w:val="ServiceInfoHeaderCar"/>
    <w:qFormat/>
    <w:rsid w:val="00C408BB"/>
    <w:pPr>
      <w:tabs>
        <w:tab w:val="clear" w:pos="4536"/>
        <w:tab w:val="clear" w:pos="9072"/>
        <w:tab w:val="right" w:pos="9026"/>
      </w:tabs>
      <w:jc w:val="right"/>
    </w:pPr>
    <w:rPr>
      <w:rFonts w:eastAsia="Arial"/>
      <w:b/>
      <w:bCs/>
      <w:sz w:val="24"/>
      <w:szCs w:val="24"/>
    </w:rPr>
  </w:style>
  <w:style w:type="character" w:customStyle="1" w:styleId="ServiceInfoHeaderCar">
    <w:name w:val="Service Info Header Car"/>
    <w:basedOn w:val="En-tteCar"/>
    <w:link w:val="ServiceInfoHeader"/>
    <w:rsid w:val="00C408BB"/>
    <w:rPr>
      <w:rFonts w:eastAsia="Arial"/>
      <w:b/>
      <w:bCs/>
      <w:sz w:val="24"/>
      <w:szCs w:val="24"/>
    </w:rPr>
  </w:style>
  <w:style w:type="paragraph" w:customStyle="1" w:styleId="Titrecentral">
    <w:name w:val="Titre central"/>
    <w:basedOn w:val="Titre1"/>
    <w:next w:val="Corpsdetexte"/>
    <w:link w:val="TitrecentralCar"/>
    <w:qFormat/>
    <w:rsid w:val="00C408BB"/>
  </w:style>
  <w:style w:type="character" w:customStyle="1" w:styleId="TitrecentralCar">
    <w:name w:val="Titre central Car"/>
    <w:basedOn w:val="Titre1Car"/>
    <w:link w:val="Titrecentral"/>
    <w:rsid w:val="00C408BB"/>
    <w:rPr>
      <w:b/>
      <w:bCs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C408BB"/>
    <w:pPr>
      <w:spacing w:before="2"/>
      <w:ind w:left="474" w:hanging="346"/>
    </w:pPr>
  </w:style>
  <w:style w:type="character" w:customStyle="1" w:styleId="ParagraphedelisteCar">
    <w:name w:val="Paragraphe de liste Car"/>
    <w:link w:val="Paragraphedeliste"/>
    <w:uiPriority w:val="34"/>
    <w:locked/>
    <w:rsid w:val="00C40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inistere">
  <a:themeElements>
    <a:clrScheme name="Marque Etat">
      <a:dk1>
        <a:sysClr val="windowText" lastClr="000000"/>
      </a:dk1>
      <a:lt1>
        <a:sysClr val="window" lastClr="FFFFFF"/>
      </a:lt1>
      <a:dk2>
        <a:srgbClr val="E1000F"/>
      </a:dk2>
      <a:lt2>
        <a:srgbClr val="000091"/>
      </a:lt2>
      <a:accent1>
        <a:srgbClr val="466964"/>
      </a:accent1>
      <a:accent2>
        <a:srgbClr val="484D7A"/>
      </a:accent2>
      <a:accent3>
        <a:srgbClr val="FDCF41"/>
      </a:accent3>
      <a:accent4>
        <a:srgbClr val="FF6F4C"/>
      </a:accent4>
      <a:accent5>
        <a:srgbClr val="A26859"/>
      </a:accent5>
      <a:accent6>
        <a:srgbClr val="D08A77"/>
      </a:accent6>
      <a:hlink>
        <a:srgbClr val="5770BE"/>
      </a:hlink>
      <a:folHlink>
        <a:srgbClr val="5770BE"/>
      </a:folHlink>
    </a:clrScheme>
    <a:fontScheme name="Ministèr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334</Words>
  <Characters>1838</Characters>
  <Application>Microsoft Office Word</Application>
  <DocSecurity>0</DocSecurity>
  <Lines>15</Lines>
  <Paragraphs>4</Paragraphs>
  <ScaleCrop>false</ScaleCrop>
  <Company>Ministères Chargés des Affaires Sociales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JUSTIN, Fabien (DREETS-NORM)</dc:creator>
  <cp:keywords/>
  <dc:description/>
  <cp:lastModifiedBy>JUSTIN, Fabien (DREETS-NORM)</cp:lastModifiedBy>
  <cp:revision>9</cp:revision>
  <dcterms:created xsi:type="dcterms:W3CDTF">2023-08-08T16:05:00Z</dcterms:created>
  <dcterms:modified xsi:type="dcterms:W3CDTF">2023-08-08T17:23:00Z</dcterms:modified>
</cp:coreProperties>
</file>