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Arial" w:hAnsi="Arial" w:eastAsia="Cambria" w:cs="Arial"/>
          <w:b/>
          <w:b/>
          <w:sz w:val="24"/>
          <w:szCs w:val="24"/>
        </w:rPr>
      </w:pPr>
      <w:r>
        <w:rPr>
          <w:rFonts w:eastAsia="Cambria" w:cs="Arial" w:ascii="Arial" w:hAnsi="Arial"/>
          <w:b/>
          <w:sz w:val="24"/>
          <w:szCs w:val="24"/>
        </w:rPr>
        <w:t>GROBUR</w:t>
      </w:r>
      <w:r>
        <w:rPr>
          <w:rFonts w:eastAsia="Cambria" w:cs="Arial" w:ascii="Arial" w:hAnsi="Arial"/>
          <w:b/>
          <w:color w:val="auto"/>
          <w:kern w:val="0"/>
          <w:sz w:val="24"/>
          <w:szCs w:val="24"/>
          <w:lang w:val="pt-BR" w:eastAsia="pt-BR" w:bidi="ar-SA"/>
        </w:rPr>
        <w:t>Ó: UM JOGO SOBRE SISTEMA IMUNOLÓGICO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u w:val="single"/>
        </w:rPr>
      </w:pPr>
      <w:r>
        <w:rPr>
          <w:rFonts w:eastAsia="Arial" w:cs="Arial" w:ascii="Arial" w:hAnsi="Arial"/>
          <w:b/>
          <w:u w:val="single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>Luiz Fernando Torres da Silva</w:t>
      </w:r>
      <w:r>
        <w:rPr>
          <w:rFonts w:eastAsia="Arial" w:cs="Arial" w:ascii="Arial" w:hAnsi="Arial"/>
          <w:b/>
          <w:sz w:val="20"/>
          <w:szCs w:val="20"/>
          <w:vertAlign w:val="superscript"/>
        </w:rPr>
        <w:t>a</w:t>
      </w:r>
      <w:r>
        <w:rPr>
          <w:rFonts w:eastAsia="Arial" w:cs="Arial" w:ascii="Arial" w:hAnsi="Arial"/>
          <w:b/>
          <w:sz w:val="20"/>
          <w:szCs w:val="20"/>
        </w:rPr>
        <w:t>, Maria José da Silva</w:t>
      </w:r>
      <w:r>
        <w:rPr>
          <w:rFonts w:eastAsia="Arial" w:cs="Arial" w:ascii="Arial" w:hAnsi="Arial"/>
          <w:b/>
          <w:sz w:val="20"/>
          <w:szCs w:val="20"/>
          <w:vertAlign w:val="superscript"/>
        </w:rPr>
        <w:t>a</w:t>
      </w:r>
      <w:r>
        <w:rPr>
          <w:rFonts w:eastAsia="Arial" w:cs="Arial" w:ascii="Arial" w:hAnsi="Arial"/>
          <w:b/>
          <w:sz w:val="20"/>
          <w:szCs w:val="20"/>
        </w:rPr>
        <w:t>, Carlos Deyvinson Reges Bessa</w:t>
      </w:r>
      <w:r>
        <w:rPr>
          <w:rFonts w:eastAsia="Arial" w:cs="Arial" w:ascii="Arial" w:hAnsi="Arial"/>
          <w:b/>
          <w:sz w:val="20"/>
          <w:szCs w:val="20"/>
          <w:vertAlign w:val="superscript"/>
        </w:rPr>
        <w:t>a</w:t>
      </w:r>
      <w:r>
        <w:rPr>
          <w:rFonts w:eastAsia="Arial" w:cs="Arial" w:ascii="Arial" w:hAnsi="Arial"/>
          <w:b/>
          <w:sz w:val="20"/>
          <w:szCs w:val="20"/>
        </w:rPr>
        <w:t>,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t xml:space="preserve"> </w:t>
      </w:r>
      <w:r>
        <w:rPr>
          <w:rFonts w:eastAsia="Arial" w:cs="Arial" w:ascii="Arial" w:hAnsi="Arial"/>
          <w:b/>
          <w:sz w:val="20"/>
          <w:szCs w:val="20"/>
        </w:rPr>
        <w:t>Alan Klinger Sousa Alves</w:t>
      </w:r>
      <w:r>
        <w:rPr>
          <w:rFonts w:eastAsia="Arial" w:cs="Arial" w:ascii="Arial" w:hAnsi="Arial"/>
          <w:b/>
          <w:sz w:val="20"/>
          <w:szCs w:val="20"/>
          <w:vertAlign w:val="superscript"/>
        </w:rPr>
        <w:t>a</w:t>
      </w:r>
      <w:r>
        <w:rPr>
          <w:rFonts w:eastAsia="Arial" w:cs="Arial" w:ascii="Arial" w:hAnsi="Arial"/>
          <w:b/>
          <w:sz w:val="20"/>
          <w:szCs w:val="20"/>
        </w:rPr>
        <w:t>, Danyelle Alves da Silva</w:t>
      </w:r>
      <w:r>
        <w:rPr>
          <w:rFonts w:eastAsia="Arial" w:cs="Arial" w:ascii="Arial" w:hAnsi="Arial"/>
          <w:b/>
          <w:sz w:val="20"/>
          <w:szCs w:val="20"/>
          <w:vertAlign w:val="superscript"/>
        </w:rPr>
        <w:t>a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vertAlign w:val="superscript"/>
        </w:rPr>
        <w:t>a</w:t>
      </w:r>
      <w:r>
        <w:rPr>
          <w:rFonts w:eastAsia="Arial" w:cs="Arial" w:ascii="Arial" w:hAnsi="Arial"/>
          <w:sz w:val="20"/>
          <w:szCs w:val="20"/>
        </w:rPr>
        <w:t>Instituto Federal do Rio Grande do Norte - Campus Nova Cruz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>Resumo</w:t>
      </w:r>
    </w:p>
    <w:p>
      <w:pPr>
        <w:pStyle w:val="Normal"/>
        <w:spacing w:lineRule="auto" w:line="240" w:before="0" w:after="0"/>
        <w:jc w:val="both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</w:rPr>
        <w:t xml:space="preserve">Essa pesquisa e desenvolvimento de um jogo educativo focado no ensino do sistema imunológico, promovendo a integração de jogos na educação. O objetivo foi criar uma ferramenta interativa que facilitasse a compreensão de um tema complexo, utilizando a gamificação para tornar o aprendizado mais atrativo. A metodologia incluiu pesquisa relacionadas á disseminação do conteúdo de biologia e desenvolvimento de jogos e mecânicas lúdicas, com implementação de coleta de feedback com jogadores para melhorias da </w:t>
      </w:r>
      <w:r>
        <w:rPr>
          <w:rFonts w:ascii="ARial" w:hAnsi="ARial"/>
          <w:b w:val="false"/>
          <w:bCs w:val="false"/>
          <w:shd w:fill="auto" w:val="clear"/>
        </w:rPr>
        <w:t>eficacia</w:t>
      </w:r>
      <w:r>
        <w:rPr>
          <w:rFonts w:ascii="ARial" w:hAnsi="ARial"/>
          <w:b w:val="false"/>
          <w:bCs w:val="false"/>
        </w:rPr>
        <w:t xml:space="preserve"> do projeto. Como resultado, o jogo mostrou potencial para engajar os jogadores, combinando entretenimento e ensino. A conclusão destaca a eficácia da gamificação como abordagem inovadora na educação, sugerindo que jogos bem planejados podem complementar os métodos tradicionais, tornando a aprendizagem mais dinâmica.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Palavras- chaves: </w:t>
      </w:r>
      <w:r>
        <w:rPr>
          <w:rFonts w:cs="Times New Roman" w:ascii="Arial" w:hAnsi="Arial"/>
          <w:color w:val="000000"/>
          <w:lang w:eastAsia="en-US"/>
        </w:rPr>
        <w:t>Jogos educativos, Biologia, Gamificação, Desenvolvimento de jogos, Sistema imunológico</w:t>
      </w:r>
    </w:p>
    <w:p>
      <w:pPr>
        <w:pStyle w:val="Normal"/>
        <w:spacing w:lineRule="auto" w:line="240" w:before="0" w:after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>Introdução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Com o avanço da tecnologia, tornou-se essencial incorporar ferramentas digitais na educação ferramentas digitais na educação para tornar o ensino mais dinâmico. Contudo, os jogos, muito utilizados no entretenimento, ainda são pouco explorados como ferramentas pedagógicas. Essa falta de integração mostra uma dificuldade em equilibrar diversão e aprendizado, perdendo-se uma oportunidade de engajar os alunos de forma mais interativa.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Groburó foi desenvolvido com o objetivo de criar uma ferramenta educacional inovadora, que utiliza jogos digitais para enriquecer o aprendizado. A ideia é mostrar que, quando bem planejados, os jogos podem transformar o ensino, tornando mais acessível, especialmente para conteúdos que tradicionalmente apresentam maior dificuldade de compreensão.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Para isso, foi escolhido o tema do sistema imunológico, um tópico complexo, mas fundamental na biologia. Por meio do jogo se busca facilitar a compreensão desse conteúdo, utilizando mecânicas interativas que promovam um aprendizado intuitivo, combinando ciência, tecnologia e entretenimento em uma experiencia educativa.</w:t>
      </w:r>
    </w:p>
    <w:p>
      <w:pPr>
        <w:pStyle w:val="Corpodotexto"/>
        <w:spacing w:lineRule="auto" w:line="240" w:before="0" w:after="0"/>
        <w:ind w:firstLine="360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Fundamentação teórica 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Os jogos educacionais têm se mostrado ferramentas eficazes para tornar o aprendizado mais interativo e significativo, promovendo o desenvolvimento cognitivo e social. Segundo Bittencourt (2003), experiências como Role-Playing Games (RPGs) em ambientes virtuais incentivam a criatividade, a resolução de problemas e a inclusão digital. Moura (2019) reforça que a gamificação aproxima o aprendizado de situações reais, enquanto Silva (2021) destacam o potencial dos jogos digitais em adaptar conteúdos às necessidades de diferentes públicos. Essas abordagens demonstram como os jogos conectam teoria e prática de forma dinâmica e engajante.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/>
        </w:rPr>
      </w:pPr>
      <w:r>
        <w:rPr>
          <w:rFonts w:ascii="Arial" w:hAnsi="Arial"/>
        </w:rPr>
        <w:t xml:space="preserve">No contexto das ciências naturais, jogos podem simplificar conceitos complexos e estimular o interesse pelo estudo de fenômenos naturais. Amabile (2018) apontam a biologia como uma área rica para jogos educativos, por explorar as interações entre organismos e o ambiente. 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>Método</w:t>
      </w:r>
    </w:p>
    <w:p>
      <w:pPr>
        <w:pStyle w:val="Corpodotexto"/>
        <w:spacing w:lineRule="auto" w:line="240" w:before="0" w:after="0"/>
        <w:ind w:firstLine="34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desenvolvimento de Groburó foi realizado utilizando a Godot Engine, que é um motor gráfico, devido a sua flexibilidade e suporte para desenvolvimento de jogos 2D. O sistema de geração procedural de inimigos foi implementado para ajustar a dificuldade de forma dinâmica, garantindo desempenho estável e uma experiência desafiadora para o jogador.</w:t>
      </w:r>
    </w:p>
    <w:p>
      <w:pPr>
        <w:pStyle w:val="Corpodotexto"/>
        <w:spacing w:lineRule="auto" w:line="240" w:before="0" w:after="0"/>
        <w:ind w:firstLine="340"/>
        <w:jc w:val="both"/>
        <w:rPr/>
      </w:pPr>
      <w:r>
        <w:rPr>
          <w:rFonts w:eastAsia="Arial" w:cs="Arial" w:ascii="Arial" w:hAnsi="Arial"/>
        </w:rPr>
        <w:t xml:space="preserve">Para testar o jogo, versões de teste foram disponibilizadas a grupo selecionado de jogadores, visando identificar erros e coletar feedback sobre a gameplay e o conteúdo educativo. As contribuições dos participantes resultaram em ajustes nas mecânicas e na apresentação dos temas abordados. Após o lançamento oficial no Itch.io, que é uma plataforma de prototipagem e testes de jogos online. Na plataforma Itch.io, foi aplicado de forma voluntaria um questionário que  avaliou a funcionalidade do jogo como ferramenta pedagógica, confirmando sua eficácia como introdução ao tema.  </w:t>
      </w:r>
    </w:p>
    <w:p>
      <w:pPr>
        <w:pStyle w:val="Corpodotexto"/>
        <w:spacing w:lineRule="auto" w:line="240" w:before="0" w:after="0"/>
        <w:ind w:firstLine="34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Análise de dados 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desenvolvimento do jogo contou com testes realizados por um grupo seleto de voluntários, que jogaram versões iniciais e responderam a questionários sobre a eficácia do aprendizado, a compreensão do tema, com sugestões de melhorias. As respostas foram analisadas para identificar pontos de ajustes, que foram necessários para a melhoria da jogabilidade, e novas versões foram desenvolvidas com base nesses feedback.</w:t>
      </w:r>
    </w:p>
    <w:p>
      <w:pPr>
        <w:pStyle w:val="Corpodotexto"/>
        <w:spacing w:lineRule="auto" w:line="240" w:before="0" w:after="0"/>
        <w:ind w:firstLine="360"/>
        <w:jc w:val="both"/>
        <w:rPr>
          <w:rFonts w:ascii="Arial" w:hAnsi="Arial"/>
        </w:rPr>
      </w:pPr>
      <w:r>
        <w:rPr>
          <w:rFonts w:ascii="Arial" w:hAnsi="Arial"/>
        </w:rPr>
        <w:t>O processo de refinamento foi repetido até a conclusão da primeira versão completa do jogo. Os participantes destacaram a integração entre jogabilidade e conteúdo educativo, reforçando a eficácia do projeto como ferramenta pedagógica. As críticas construtivas ajudaram a aprimorar aspectos técnicos e narrativos, consolidando o jogo como uma introdução acessível ao tema abordado.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Conclusões 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projeto Groburó mostrou-se uma ferramenta eficaz para o ensino de biologia, ao combinar conceitos científicos com jogabilidade interativa e acessível. Os testes com voluntários confirmaram sua capacidade de engajar e facilitar o entendimento do sistema imunológico, mesmo para jogadores com pouca experiência. A utilização da Godot Engine proporcionou a flexibilidade necessária para criar um ambiente educativo eficiente, e o feedback foi fundamental para ajustes que melhoraram a experiência de jogo. Dessa forma, concluem-se que o Groburó tem grande potencial como recurso inovador no ensino, com possibilidades futuras de expansão para outras áreas temáticas.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  <w:b/>
          <w:b/>
          <w:bCs/>
        </w:rPr>
      </w:pPr>
      <w:r>
        <w:rPr>
          <w:rFonts w:eastAsia="Arial" w:cs="Arial" w:ascii="Arial" w:hAnsi="Arial"/>
          <w:b/>
          <w:bCs/>
        </w:rPr>
        <w:t xml:space="preserve">Referências 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AMABILE, José; TORROVECCHIO, Adriana. </w:t>
      </w:r>
      <w:r>
        <w:rPr>
          <w:rStyle w:val="Nfaseforte"/>
          <w:rFonts w:eastAsia="Arial" w:cs="Arial" w:ascii="Arial" w:hAnsi="Arial"/>
          <w:b w:val="false"/>
          <w:bCs w:val="false"/>
        </w:rPr>
        <w:t>Biologia: Unidade e Diversidade</w:t>
      </w:r>
      <w:r>
        <w:rPr>
          <w:rFonts w:eastAsia="Arial" w:cs="Arial" w:ascii="Arial" w:hAnsi="Arial"/>
        </w:rPr>
        <w:t>. Volume 2. São Paulo: FTD, 2018.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BITTENCOURT, João Ricardo; GIRAFFA, Lucia Maria. </w:t>
      </w:r>
      <w:r>
        <w:rPr>
          <w:rStyle w:val="Nfaseforte"/>
          <w:rFonts w:eastAsia="Arial" w:cs="Arial" w:ascii="Arial" w:hAnsi="Arial"/>
          <w:b w:val="false"/>
          <w:bCs w:val="false"/>
        </w:rPr>
        <w:t>Modelando Ambientes de Aprendizagem Virtuais utilizando Role-Play-Games</w:t>
      </w:r>
      <w:r>
        <w:rPr>
          <w:rFonts w:eastAsia="Arial" w:cs="Arial" w:ascii="Arial" w:hAnsi="Arial"/>
          <w:b/>
          <w:bCs/>
        </w:rPr>
        <w:t>.</w:t>
      </w:r>
      <w:r>
        <w:rPr>
          <w:rFonts w:eastAsia="Arial" w:cs="Arial" w:ascii="Arial" w:hAnsi="Arial"/>
        </w:rPr>
        <w:t xml:space="preserve"> Simpósio Brasileiro de Informática na Educação – “Inclusão digital como instrumento de inclusão social”. Rio de Janeiro: Universidade Federal do Rio de Janeiro, 2003. 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MOURA, Luiz Fernando. </w:t>
      </w:r>
      <w:r>
        <w:rPr>
          <w:rStyle w:val="Nfaseforte"/>
          <w:rFonts w:eastAsia="Arial" w:cs="Arial" w:ascii="Arial" w:hAnsi="Arial"/>
          <w:b w:val="false"/>
          <w:bCs w:val="false"/>
        </w:rPr>
        <w:t>Gamificação e aprendizado: como jogos transformam a sala de aula</w:t>
      </w:r>
      <w:r>
        <w:rPr>
          <w:rFonts w:eastAsia="Arial" w:cs="Arial" w:ascii="Arial" w:hAnsi="Arial"/>
          <w:b/>
          <w:bCs/>
        </w:rPr>
        <w:t>.</w:t>
      </w:r>
      <w:r>
        <w:rPr>
          <w:rFonts w:eastAsia="Arial" w:cs="Arial" w:ascii="Arial" w:hAnsi="Arial"/>
        </w:rPr>
        <w:t xml:space="preserve"> Rio de Janeiro: Novas Fronteiras, 2019.</w:t>
      </w:r>
    </w:p>
    <w:p>
      <w:pPr>
        <w:pStyle w:val="Normal"/>
        <w:spacing w:lineRule="auto" w:line="240" w:before="0" w:after="0"/>
        <w:ind w:first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SILVA, Rafaela Martins; ALMEIDA, João Pedro. </w:t>
      </w:r>
      <w:r>
        <w:rPr>
          <w:rStyle w:val="Nfaseforte"/>
          <w:rFonts w:eastAsia="Arial" w:cs="Arial" w:ascii="Arial" w:hAnsi="Arial"/>
          <w:b w:val="false"/>
          <w:bCs w:val="false"/>
        </w:rPr>
        <w:t>Jogos digitais no ensino: um guia para práticas educativas</w:t>
      </w:r>
      <w:r>
        <w:rPr>
          <w:rFonts w:eastAsia="Arial" w:cs="Arial" w:ascii="Arial" w:hAnsi="Arial"/>
          <w:b/>
          <w:bCs/>
        </w:rPr>
        <w:t>.</w:t>
      </w:r>
      <w:r>
        <w:rPr>
          <w:rFonts w:eastAsia="Arial" w:cs="Arial" w:ascii="Arial" w:hAnsi="Arial"/>
        </w:rPr>
        <w:t xml:space="preserve"> São Paulo: EducTech, 2021.</w:t>
      </w:r>
    </w:p>
    <w:sectPr>
      <w:headerReference w:type="default" r:id="rId2"/>
      <w:type w:val="nextPage"/>
      <w:pgSz w:w="11906" w:h="16838"/>
      <w:pgMar w:left="1134" w:right="1134" w:gutter="0" w:header="709" w:top="2835" w:footer="0" w:bottom="1134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margin">
            <wp:posOffset>1375410</wp:posOffset>
          </wp:positionH>
          <wp:positionV relativeFrom="paragraph">
            <wp:posOffset>-81915</wp:posOffset>
          </wp:positionV>
          <wp:extent cx="3975100" cy="1380490"/>
          <wp:effectExtent l="0" t="0" r="0" b="0"/>
          <wp:wrapNone/>
          <wp:docPr id="1" name="Imagem 5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6282" r="-6014" b="47690"/>
                  <a:stretch>
                    <a:fillRect/>
                  </a:stretch>
                </pic:blipFill>
                <pic:spPr bwMode="auto">
                  <a:xfrm>
                    <a:off x="0" y="0"/>
                    <a:ext cx="3975100" cy="13804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315363"/>
    <w:rPr/>
  </w:style>
  <w:style w:type="character" w:styleId="RodapChar" w:customStyle="1">
    <w:name w:val="Rodapé Char"/>
    <w:basedOn w:val="DefaultParagraphFont"/>
    <w:uiPriority w:val="99"/>
    <w:qFormat/>
    <w:rsid w:val="0031536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e3fc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qFormat/>
    <w:rsid w:val="00be3fc3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be3fc3"/>
    <w:rPr>
      <w:b/>
      <w:bCs/>
      <w:sz w:val="20"/>
      <w:szCs w:val="20"/>
    </w:rPr>
  </w:style>
  <w:style w:type="character" w:styleId="Nfaseforte" w:customStyle="1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character" w:styleId="Marcadores" w:customStyle="1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</w:rPr>
  </w:style>
  <w:style w:type="character" w:styleId="Linkdainternetvisitado">
    <w:name w:val="Link da internet visitado"/>
    <w:rPr>
      <w:color w:val="80000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31536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1536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4136e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xtodecomentrioChar"/>
    <w:uiPriority w:val="99"/>
    <w:unhideWhenUsed/>
    <w:qFormat/>
    <w:rsid w:val="00be3fc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be3fc3"/>
    <w:pPr/>
    <w:rPr>
      <w:b/>
      <w:bCs/>
    </w:rPr>
  </w:style>
  <w:style w:type="paragraph" w:styleId="Revision">
    <w:name w:val="Revision"/>
    <w:uiPriority w:val="99"/>
    <w:semiHidden/>
    <w:qFormat/>
    <w:rsid w:val="00a97101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37D90-1E69-488F-A1BA-6D13AA18B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LibreOffice/7.3.7.2$Linux_X86_64 LibreOffice_project/30$Build-2</Application>
  <AppVersion>15.0000</AppVersion>
  <Pages>2</Pages>
  <Words>894</Words>
  <Characters>5446</Characters>
  <CharactersWithSpaces>6319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2024-11-26T14:23:00Z</dcterms:created>
  <dc:creator>André</dc:creator>
  <dc:description/>
  <dc:language>pt-BR</dc:language>
  <cp:lastModifiedBy/>
  <dcterms:modified xsi:type="dcterms:W3CDTF">2024-11-28T15:27:51Z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