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Cambria" w:cs="Arial"/>
          <w:b/>
          <w:b/>
          <w:sz w:val="24"/>
          <w:szCs w:val="24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Cambria" w:cs="Arial" w:ascii="Arial" w:hAnsi="Arial"/>
          <w:b/>
          <w:sz w:val="24"/>
          <w:szCs w:val="24"/>
        </w:rPr>
        <w:t>Groburó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Luiz Fernando Torres da Silva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b/>
          <w:sz w:val="20"/>
          <w:szCs w:val="20"/>
        </w:rPr>
        <w:t>, Maria José da Silva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b/>
          <w:sz w:val="20"/>
          <w:szCs w:val="20"/>
        </w:rPr>
        <w:t>,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Carlos Deyvinson Reges Bessa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b/>
          <w:sz w:val="20"/>
          <w:szCs w:val="20"/>
        </w:rPr>
        <w:t>, Danyelle Alves da Silva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a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sz w:val="20"/>
          <w:szCs w:val="20"/>
        </w:rPr>
        <w:t>Instituto Federal do Rio Grande do Norte - Campus Nova Cruz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Resumo</w:t>
      </w:r>
    </w:p>
    <w:p>
      <w:pPr>
        <w:pStyle w:val="Normal"/>
        <w:spacing w:lineRule="auto" w:line="240" w:before="0" w:after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</w:t>
      </w:r>
      <w:r>
        <w:rPr>
          <w:rFonts w:ascii="ARial" w:hAnsi="ARial"/>
          <w:b w:val="false"/>
          <w:bCs w:val="false"/>
        </w:rPr>
        <w:t>sa pesquisa e desenvolvimento</w:t>
      </w:r>
      <w:r>
        <w:rPr>
          <w:rFonts w:ascii="ARial" w:hAnsi="ARial"/>
          <w:b w:val="false"/>
          <w:bCs w:val="false"/>
        </w:rPr>
        <w:t xml:space="preserve"> de um jogo educativo focado no ensino do sistema imunológico, promovendo a integração de jogos na educação. O objetivo foi criar uma ferramenta interativa que facilitasse a compreensão de um tema complexo, utilizando a gamificação para tornar o aprendizado mais </w:t>
      </w:r>
      <w:r>
        <w:rPr>
          <w:rFonts w:ascii="ARial" w:hAnsi="ARial"/>
          <w:b w:val="false"/>
          <w:bCs w:val="false"/>
        </w:rPr>
        <w:t>atrativo</w:t>
      </w:r>
      <w:r>
        <w:rPr>
          <w:rFonts w:ascii="ARial" w:hAnsi="ARial"/>
          <w:b w:val="false"/>
          <w:bCs w:val="false"/>
        </w:rPr>
        <w:t xml:space="preserve">. A metodologia incluiu pesquisa </w:t>
      </w:r>
      <w:r>
        <w:rPr>
          <w:rFonts w:ascii="ARial" w:hAnsi="ARial"/>
          <w:b w:val="false"/>
          <w:bCs w:val="false"/>
        </w:rPr>
        <w:t xml:space="preserve">relacionadas á disseminação do conteúdo de biologia e desenvolvimento de jogos </w:t>
      </w:r>
      <w:r>
        <w:rPr>
          <w:rFonts w:ascii="ARial" w:hAnsi="ARial"/>
          <w:b w:val="false"/>
          <w:bCs w:val="false"/>
        </w:rPr>
        <w:t xml:space="preserve">e mecânicas lúdicas, </w:t>
      </w:r>
      <w:r>
        <w:rPr>
          <w:rFonts w:ascii="ARial" w:hAnsi="ARial"/>
          <w:b w:val="false"/>
          <w:bCs w:val="false"/>
        </w:rPr>
        <w:t>com implementação de</w:t>
      </w:r>
      <w:r>
        <w:rPr>
          <w:rFonts w:ascii="ARial" w:hAnsi="ARial"/>
          <w:b w:val="false"/>
          <w:bCs w:val="false"/>
        </w:rPr>
        <w:t xml:space="preserve"> coleta de feedback com jogadores para </w:t>
      </w:r>
      <w:r>
        <w:rPr>
          <w:rFonts w:ascii="ARial" w:hAnsi="ARial"/>
          <w:b w:val="false"/>
          <w:bCs w:val="false"/>
        </w:rPr>
        <w:t>melhorias d</w:t>
      </w:r>
      <w:r>
        <w:rPr>
          <w:rFonts w:ascii="ARial" w:hAnsi="ARial"/>
          <w:b w:val="false"/>
          <w:bCs w:val="false"/>
        </w:rPr>
        <w:t>a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  <w:shd w:fill="auto" w:val="clear"/>
        </w:rPr>
        <w:t>eficacia</w:t>
      </w:r>
      <w:r>
        <w:rPr>
          <w:rFonts w:ascii="ARial" w:hAnsi="ARial"/>
          <w:b w:val="false"/>
          <w:bCs w:val="false"/>
        </w:rPr>
        <w:t xml:space="preserve"> do projeto</w:t>
      </w:r>
      <w:r>
        <w:rPr>
          <w:rFonts w:ascii="ARial" w:hAnsi="ARial"/>
          <w:b w:val="false"/>
          <w:bCs w:val="false"/>
        </w:rPr>
        <w:t xml:space="preserve">. Como resultado, o jogo mostrou potencial para engajar </w:t>
      </w:r>
      <w:r>
        <w:rPr>
          <w:rFonts w:ascii="ARial" w:hAnsi="ARial"/>
          <w:b w:val="false"/>
          <w:bCs w:val="false"/>
        </w:rPr>
        <w:t>os jogadores</w:t>
      </w:r>
      <w:r>
        <w:rPr>
          <w:rFonts w:ascii="ARial" w:hAnsi="ARial"/>
          <w:b w:val="false"/>
          <w:bCs w:val="false"/>
        </w:rPr>
        <w:t xml:space="preserve">, combinando entretenimento e ensino. A conclusão destaca a eficácia da gamificação como abordagem inovadora na educação, sugerindo que jogos bem planejados podem complementar </w:t>
      </w:r>
      <w:r>
        <w:rPr>
          <w:rFonts w:ascii="ARial" w:hAnsi="ARial"/>
          <w:b w:val="false"/>
          <w:bCs w:val="false"/>
        </w:rPr>
        <w:t>os</w:t>
      </w:r>
      <w:r>
        <w:rPr>
          <w:rFonts w:ascii="ARial" w:hAnsi="ARial"/>
          <w:b w:val="false"/>
          <w:bCs w:val="false"/>
        </w:rPr>
        <w:t xml:space="preserve"> métodos tradicionais, tornando a aprendizagem mais dinâmica.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Palavras- chaves: </w:t>
      </w:r>
      <w:r>
        <w:rPr>
          <w:rFonts w:cs="Times New Roman" w:ascii="Arial" w:hAnsi="Arial"/>
          <w:color w:val="000000"/>
          <w:lang w:eastAsia="en-US"/>
        </w:rPr>
        <w:t>Jogos educativos, Biologia, Gamificação, Desenvolvimento de jogos, Sistema imunológico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Introdução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Com o avanço da tecnologia, </w:t>
      </w:r>
      <w:r>
        <w:rPr>
          <w:rFonts w:eastAsia="Arial" w:cs="Arial" w:ascii="Arial" w:hAnsi="Arial"/>
        </w:rPr>
        <w:t xml:space="preserve">tornou-se essencial incorporar ferramentas digitais na educação ferramentas digitais na educação para tornar o ensino mais dinâmico. Contudo, os jogos, </w:t>
      </w:r>
      <w:r>
        <w:rPr>
          <w:rFonts w:eastAsia="Arial" w:cs="Arial" w:ascii="Arial" w:hAnsi="Arial"/>
        </w:rPr>
        <w:t>muito</w:t>
      </w:r>
      <w:r>
        <w:rPr>
          <w:rFonts w:eastAsia="Arial" w:cs="Arial" w:ascii="Arial" w:hAnsi="Arial"/>
        </w:rPr>
        <w:t xml:space="preserve"> utilizados no entretenimento, ainda são pouco explorados como ferramentas pedagógicas. Essa falta de integração </w:t>
      </w:r>
      <w:r>
        <w:rPr>
          <w:rFonts w:eastAsia="Arial" w:cs="Arial" w:ascii="Arial" w:hAnsi="Arial"/>
        </w:rPr>
        <w:t>mostra</w:t>
      </w:r>
      <w:r>
        <w:rPr>
          <w:rFonts w:eastAsia="Arial" w:cs="Arial" w:ascii="Arial" w:hAnsi="Arial"/>
        </w:rPr>
        <w:t xml:space="preserve"> uma dificuldade em equilibrar diversão e aprendizado, perdendo-se uma oportunidade de engajar os alunos de forma mais interativa.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O </w:t>
      </w:r>
      <w:r>
        <w:rPr>
          <w:rFonts w:eastAsia="Arial" w:cs="Arial" w:ascii="Arial" w:hAnsi="Arial"/>
        </w:rPr>
        <w:t>G</w:t>
      </w:r>
      <w:r>
        <w:rPr>
          <w:rFonts w:eastAsia="Arial" w:cs="Arial" w:ascii="Arial" w:hAnsi="Arial"/>
        </w:rPr>
        <w:t>roburó foi desenvolvido com o objetivo de criar uma ferramenta educacional inovadora, que utiliza jogos digitais para enriquecer o aprendizado. A ideia é mostrar que, quando bem planejados, os jogos podem transformar o ensino, tornando mais acessível,</w:t>
      </w:r>
      <w:r>
        <w:rPr>
          <w:rFonts w:eastAsia="Arial" w:cs="Arial" w:ascii="Arial" w:hAnsi="Arial"/>
        </w:rPr>
        <w:t xml:space="preserve"> especialmente para conteúdos que tradicionalmente apresentam maior dificuldade de compreensão.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Para isso, foi escolhido o tema do sistema imunológico, um tópico complexo, mas fundamental na biologia. Por meio do jogo se busca facilitar a compreensão desse conteúdo, utilizando mecânicas interativas que promovam um aprendizado intuitivo, combinando ciência, </w:t>
      </w:r>
      <w:r>
        <w:rPr>
          <w:rFonts w:eastAsia="Arial" w:cs="Arial" w:ascii="Arial" w:hAnsi="Arial"/>
        </w:rPr>
        <w:t>tecnologia</w:t>
      </w:r>
      <w:r>
        <w:rPr>
          <w:rFonts w:eastAsia="Arial" w:cs="Arial" w:ascii="Arial" w:hAnsi="Arial"/>
        </w:rPr>
        <w:t xml:space="preserve"> e entretenimento em uma experiencia educativa.</w:t>
      </w:r>
    </w:p>
    <w:p>
      <w:pPr>
        <w:pStyle w:val="Corpodotexto"/>
        <w:spacing w:lineRule="auto" w:line="240" w:before="0" w:after="0"/>
        <w:ind w:firstLine="36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Fundamentação teórica 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Os jogos educacionais têm se mostrado ferramentas eficazes para tornar o aprendizado mais interativo e significativo, promovendo o desenvolvimento cognitivo e social. Segundo Bittencourt (2003), experiências como Role-Playing Games (RPGs) em ambientes virtuais incentivam a criatividade, a resolução de problemas e a inclusão digital. Moura (2019) reforça que a gamificação aproxima o aprendizado de situações reais, enquanto Silva (2021) destacam o potencial dos jogos digitais em adaptar conteúdos às necessidades de diferentes públicos. Essas abordagens demonstram como os jogos conectam teoria e prática de forma dinâmica e engajante.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/>
        </w:rPr>
      </w:pPr>
      <w:r>
        <w:rPr>
          <w:rFonts w:ascii="Arial" w:hAnsi="Arial"/>
        </w:rPr>
        <w:t xml:space="preserve">No contexto das ciências naturais, jogos podem simplificar conceitos complexos e estimular o interesse pelo estudo de fenômenos naturais. Amabile (2018) apontam a biologia como uma área rica para jogos educativos, por explorar as interações entre organismos e o ambiente. 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Método</w:t>
      </w:r>
    </w:p>
    <w:p>
      <w:pPr>
        <w:pStyle w:val="Corpodotexto"/>
        <w:spacing w:lineRule="auto" w:line="240" w:before="0" w:after="0"/>
        <w:ind w:firstLine="34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O desenvolvimento de Groburó foi realizado utilizando a Godot Engine, </w:t>
      </w:r>
      <w:r>
        <w:rPr>
          <w:rFonts w:eastAsia="Arial" w:cs="Arial" w:ascii="Arial" w:hAnsi="Arial"/>
        </w:rPr>
        <w:t>que é um motor gráfico</w:t>
      </w:r>
      <w:r>
        <w:rPr>
          <w:rFonts w:eastAsia="Arial" w:cs="Arial" w:ascii="Arial" w:hAnsi="Arial"/>
        </w:rPr>
        <w:t xml:space="preserve">, devido a sua flexibilidade e suporte para </w:t>
      </w:r>
      <w:r>
        <w:rPr>
          <w:rFonts w:eastAsia="Arial" w:cs="Arial" w:ascii="Arial" w:hAnsi="Arial"/>
        </w:rPr>
        <w:t>desenvolvimento de</w:t>
      </w:r>
      <w:r>
        <w:rPr>
          <w:rFonts w:eastAsia="Arial" w:cs="Arial" w:ascii="Arial" w:hAnsi="Arial"/>
        </w:rPr>
        <w:t xml:space="preserve"> jogos 2D. O sistema de geração procedural de inimigos foi implementado para ajustar a dificuldade de forma dinâmica, garantindo desempenho estável e uma experiência desafiadora para o jogador.</w:t>
      </w:r>
    </w:p>
    <w:p>
      <w:pPr>
        <w:pStyle w:val="Corpodotexto"/>
        <w:spacing w:lineRule="auto" w:line="240" w:before="0" w:after="0"/>
        <w:ind w:firstLine="340"/>
        <w:jc w:val="both"/>
        <w:rPr/>
      </w:pPr>
      <w:r>
        <w:rPr>
          <w:rFonts w:eastAsia="Arial" w:cs="Arial" w:ascii="Arial" w:hAnsi="Arial"/>
        </w:rPr>
        <w:t xml:space="preserve">Para testar o jogo, versões de teste foram disponibilizadas a grupo selecionado de jogadores, visando identificar erros e coletar feedback sobre a gameplay e o conteúdo educativo. As contribuições dos participantes resultaram em ajustes nas mecânicas e na apresentação dos temas abordados. Após o lançamento oficial no Itch.io, </w:t>
      </w:r>
      <w:r>
        <w:rPr>
          <w:rFonts w:eastAsia="Arial" w:cs="Arial" w:ascii="Arial" w:hAnsi="Arial"/>
        </w:rPr>
        <w:t>que é uma plataforma de prototipagem e testes de jogos online.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Na plataforma Itch.io, foi aplicado de forma voluntaria</w:t>
      </w:r>
      <w:r>
        <w:rPr>
          <w:rFonts w:eastAsia="Arial" w:cs="Arial" w:ascii="Arial" w:hAnsi="Arial"/>
        </w:rPr>
        <w:t xml:space="preserve"> um questionário </w:t>
      </w:r>
      <w:r>
        <w:rPr>
          <w:rFonts w:eastAsia="Arial" w:cs="Arial" w:ascii="Arial" w:hAnsi="Arial"/>
        </w:rPr>
        <w:t xml:space="preserve">que </w:t>
      </w:r>
      <w:r>
        <w:rPr>
          <w:rFonts w:eastAsia="Arial" w:cs="Arial" w:ascii="Arial" w:hAnsi="Arial"/>
        </w:rPr>
        <w:t xml:space="preserve"> avaliou a funcionalidade do jogo como ferramenta pedagógica, confirmando sua eficácia como introdução ao tema.  </w:t>
      </w:r>
    </w:p>
    <w:p>
      <w:pPr>
        <w:pStyle w:val="Corpodotexto"/>
        <w:spacing w:lineRule="auto" w:line="240" w:before="0" w:after="0"/>
        <w:ind w:firstLine="34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Análise de dados 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O desenvolvimento do jogo contou com testes realizados por um grupo seleto de voluntários, que jogaram versões iniciais e responderam a questionários sobre a eficácia do aprendizado, a compreensão do tema, </w:t>
      </w:r>
      <w:r>
        <w:rPr>
          <w:rFonts w:eastAsia="Arial" w:cs="Arial" w:ascii="Arial" w:hAnsi="Arial"/>
        </w:rPr>
        <w:t>com s</w:t>
      </w:r>
      <w:r>
        <w:rPr>
          <w:rFonts w:eastAsia="Arial" w:cs="Arial" w:ascii="Arial" w:hAnsi="Arial"/>
        </w:rPr>
        <w:t>ugestões de melhorias. As respostas foram analisadas para identificar pontos de ajuste</w:t>
      </w:r>
      <w:r>
        <w:rPr>
          <w:rFonts w:eastAsia="Arial" w:cs="Arial" w:ascii="Arial" w:hAnsi="Arial"/>
        </w:rPr>
        <w:t>s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</w:rPr>
        <w:t>que foram necessários para a melhoria da jogabilidade,</w:t>
      </w:r>
      <w:r>
        <w:rPr>
          <w:rFonts w:eastAsia="Arial" w:cs="Arial" w:ascii="Arial" w:hAnsi="Arial"/>
        </w:rPr>
        <w:t xml:space="preserve"> e novas versões foram </w:t>
      </w:r>
      <w:r>
        <w:rPr>
          <w:rFonts w:eastAsia="Arial" w:cs="Arial" w:ascii="Arial" w:hAnsi="Arial"/>
        </w:rPr>
        <w:t>desenvolvidas</w:t>
      </w:r>
      <w:r>
        <w:rPr>
          <w:rFonts w:eastAsia="Arial" w:cs="Arial" w:ascii="Arial" w:hAnsi="Arial"/>
        </w:rPr>
        <w:t xml:space="preserve"> com base nesse</w:t>
      </w:r>
      <w:r>
        <w:rPr>
          <w:rFonts w:eastAsia="Arial" w:cs="Arial" w:ascii="Arial" w:hAnsi="Arial"/>
        </w:rPr>
        <w:t>s</w:t>
      </w:r>
      <w:r>
        <w:rPr>
          <w:rFonts w:eastAsia="Arial" w:cs="Arial" w:ascii="Arial" w:hAnsi="Arial"/>
        </w:rPr>
        <w:t xml:space="preserve"> feedback.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/>
        </w:rPr>
      </w:pPr>
      <w:r>
        <w:rPr>
          <w:rFonts w:ascii="Arial" w:hAnsi="Arial"/>
        </w:rPr>
        <w:t xml:space="preserve">O processo de refinamento foi repetido até a conclusão da primeira versão completa do jogo. Os participantes </w:t>
      </w:r>
      <w:r>
        <w:rPr>
          <w:rFonts w:ascii="Arial" w:hAnsi="Arial"/>
        </w:rPr>
        <w:t>d</w:t>
      </w:r>
      <w:r>
        <w:rPr>
          <w:rFonts w:ascii="Arial" w:hAnsi="Arial"/>
        </w:rPr>
        <w:t>estacaram a integração entre jogabilidade e conteúdo educativo, reforçando a eficácia do projeto como ferramenta pedagógica. As críticas construtivas ajudaram a aprimorar aspectos técnicos e narrativos, consolidando o jogo como uma introdução acessível ao tema abordado.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Conclusões 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O projeto Groburó mostrou-se uma ferramenta eficaz para o ensino de biologia, ao combinar conceitos científicos com jogabilidade interativa e acessível. Os testes com voluntários confirmaram sua capacidade de engajar e facilitar o entendimento do sistema imunológico, mesmo para jogadores com pouca experiência. A utilização da Godot Engine proporcionou a flexibilidade necessária para criar um ambiente educativo eficiente, e o feedback foi fundamental para ajustes que melhoraram a experiência de jogo. </w:t>
      </w:r>
      <w:r>
        <w:rPr>
          <w:rFonts w:eastAsia="Arial" w:cs="Arial" w:ascii="Arial" w:hAnsi="Arial"/>
        </w:rPr>
        <w:t xml:space="preserve">Dessa forma, concluem-se que o </w:t>
      </w:r>
      <w:r>
        <w:rPr>
          <w:rFonts w:eastAsia="Arial" w:cs="Arial" w:ascii="Arial" w:hAnsi="Arial"/>
        </w:rPr>
        <w:t>Groburó tem grande potencial como recurso inovador no ensino, com possibilidades futuras de expansão para outras áreas temáticas.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Referências 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AMABILE, José; TORROVECCHIO, Adriana. </w:t>
      </w:r>
      <w:r>
        <w:rPr>
          <w:rStyle w:val="Nfaseforte"/>
          <w:rFonts w:eastAsia="Arial" w:cs="Arial" w:ascii="Arial" w:hAnsi="Arial"/>
          <w:b w:val="false"/>
          <w:bCs w:val="false"/>
        </w:rPr>
        <w:t>Biologia: Unidade e Diversidade</w:t>
      </w:r>
      <w:r>
        <w:rPr>
          <w:rFonts w:eastAsia="Arial" w:cs="Arial" w:ascii="Arial" w:hAnsi="Arial"/>
        </w:rPr>
        <w:t>. Volume 2. São Paulo: FTD, 2018.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BITTENCOURT, João Ricardo; GIRAFFA, Lucia Maria. </w:t>
      </w:r>
      <w:r>
        <w:rPr>
          <w:rStyle w:val="Nfaseforte"/>
          <w:rFonts w:eastAsia="Arial" w:cs="Arial" w:ascii="Arial" w:hAnsi="Arial"/>
          <w:b w:val="false"/>
          <w:bCs w:val="false"/>
        </w:rPr>
        <w:t>Modelando Ambientes de Aprendizagem Virtuais utilizando Role-Play-Games</w:t>
      </w:r>
      <w:r>
        <w:rPr>
          <w:rFonts w:eastAsia="Arial" w:cs="Arial" w:ascii="Arial" w:hAnsi="Arial"/>
          <w:b/>
          <w:bCs/>
        </w:rPr>
        <w:t>.</w:t>
      </w:r>
      <w:r>
        <w:rPr>
          <w:rFonts w:eastAsia="Arial" w:cs="Arial" w:ascii="Arial" w:hAnsi="Arial"/>
        </w:rPr>
        <w:t xml:space="preserve"> Simpósio Brasileiro de Informática na Educação – “Inclusão digital como instrumento de inclusão social”. Rio de Janeiro: Universidade Federal do Rio de Janeiro, 2003. 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MOURA, Luiz Fernando. </w:t>
      </w:r>
      <w:r>
        <w:rPr>
          <w:rStyle w:val="Nfaseforte"/>
          <w:rFonts w:eastAsia="Arial" w:cs="Arial" w:ascii="Arial" w:hAnsi="Arial"/>
          <w:b w:val="false"/>
          <w:bCs w:val="false"/>
        </w:rPr>
        <w:t>Gamificação e aprendizado: como jogos transformam a sala de aula</w:t>
      </w:r>
      <w:r>
        <w:rPr>
          <w:rFonts w:eastAsia="Arial" w:cs="Arial" w:ascii="Arial" w:hAnsi="Arial"/>
          <w:b/>
          <w:bCs/>
        </w:rPr>
        <w:t>.</w:t>
      </w:r>
      <w:r>
        <w:rPr>
          <w:rFonts w:eastAsia="Arial" w:cs="Arial" w:ascii="Arial" w:hAnsi="Arial"/>
        </w:rPr>
        <w:t xml:space="preserve"> Rio de Janeiro: Novas Fronteiras, 2019.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SILVA, Rafaela Martins; ALMEIDA, João Pedro. </w:t>
      </w:r>
      <w:r>
        <w:rPr>
          <w:rStyle w:val="Nfaseforte"/>
          <w:rFonts w:eastAsia="Arial" w:cs="Arial" w:ascii="Arial" w:hAnsi="Arial"/>
          <w:b w:val="false"/>
          <w:bCs w:val="false"/>
        </w:rPr>
        <w:t>Jogos digitais no ensino: um guia para práticas educativas</w:t>
      </w:r>
      <w:r>
        <w:rPr>
          <w:rFonts w:eastAsia="Arial" w:cs="Arial" w:ascii="Arial" w:hAnsi="Arial"/>
          <w:b/>
          <w:bCs/>
        </w:rPr>
        <w:t>.</w:t>
      </w:r>
      <w:r>
        <w:rPr>
          <w:rFonts w:eastAsia="Arial" w:cs="Arial" w:ascii="Arial" w:hAnsi="Arial"/>
        </w:rPr>
        <w:t xml:space="preserve"> São Paulo: EducTech, 2021.</w:t>
      </w:r>
    </w:p>
    <w:sectPr>
      <w:headerReference w:type="default" r:id="rId2"/>
      <w:type w:val="nextPage"/>
      <w:pgSz w:w="11906" w:h="16838"/>
      <w:pgMar w:left="1134" w:right="1134" w:gutter="0" w:header="709" w:top="2835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1375410</wp:posOffset>
          </wp:positionH>
          <wp:positionV relativeFrom="paragraph">
            <wp:posOffset>-81915</wp:posOffset>
          </wp:positionV>
          <wp:extent cx="3975100" cy="1380490"/>
          <wp:effectExtent l="0" t="0" r="0" b="0"/>
          <wp:wrapNone/>
          <wp:docPr id="1" name="Imagem 5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6282" r="-6014" b="47690"/>
                  <a:stretch>
                    <a:fillRect/>
                  </a:stretch>
                </pic:blipFill>
                <pic:spPr bwMode="auto">
                  <a:xfrm>
                    <a:off x="0" y="0"/>
                    <a:ext cx="3975100" cy="1380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315363"/>
    <w:rPr/>
  </w:style>
  <w:style w:type="character" w:styleId="RodapChar" w:customStyle="1">
    <w:name w:val="Rodapé Char"/>
    <w:basedOn w:val="DefaultParagraphFont"/>
    <w:uiPriority w:val="99"/>
    <w:qFormat/>
    <w:rsid w:val="0031536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e3fc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be3fc3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be3fc3"/>
    <w:rPr>
      <w:b/>
      <w:bCs/>
      <w:sz w:val="20"/>
      <w:szCs w:val="20"/>
    </w:rPr>
  </w:style>
  <w:style w:type="character" w:styleId="Nfaseforte" w:customStyle="1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</w:rPr>
  </w:style>
  <w:style w:type="character" w:styleId="Linkdainternetvisitado">
    <w:name w:val="Link da internet visitado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153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153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4136e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be3fc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be3fc3"/>
    <w:pPr/>
    <w:rPr>
      <w:b/>
      <w:bCs/>
    </w:rPr>
  </w:style>
  <w:style w:type="paragraph" w:styleId="Revision">
    <w:name w:val="Revision"/>
    <w:uiPriority w:val="99"/>
    <w:semiHidden/>
    <w:qFormat/>
    <w:rsid w:val="00a9710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37D90-1E69-488F-A1BA-6D13AA18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2</Pages>
  <Words>885</Words>
  <Characters>5393</Characters>
  <CharactersWithSpaces>6257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2024-11-26T14:23:00Z</dcterms:created>
  <dc:creator>André</dc:creator>
  <dc:description/>
  <dc:language>pt-BR</dc:language>
  <cp:lastModifiedBy/>
  <dcterms:modified xsi:type="dcterms:W3CDTF">2024-11-27T09:12:03Z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