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Cambria" w:cs="Arial"/>
          <w:b/>
          <w:b/>
          <w:sz w:val="24"/>
          <w:szCs w:val="24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Cambria" w:cs="Arial" w:ascii="Arial" w:hAnsi="Arial"/>
          <w:b/>
          <w:sz w:val="24"/>
          <w:szCs w:val="24"/>
        </w:rPr>
        <w:t>Grobur</w:t>
      </w:r>
      <w:r>
        <w:rPr>
          <w:rFonts w:eastAsia="Cambria" w:cs="Arial" w:ascii="Arial" w:hAnsi="Arial"/>
          <w:b/>
          <w:color w:val="auto"/>
          <w:kern w:val="0"/>
          <w:sz w:val="24"/>
          <w:szCs w:val="24"/>
          <w:lang w:val="pt-BR" w:eastAsia="pt-BR" w:bidi="ar-SA"/>
        </w:rPr>
        <w:t>ó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Luiz Fernando Torres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 xml:space="preserve">,  </w:t>
      </w:r>
      <w:r>
        <w:rPr>
          <w:rFonts w:eastAsia="Arial" w:cs="Arial" w:ascii="Arial" w:hAnsi="Arial"/>
          <w:b/>
          <w:sz w:val="20"/>
          <w:szCs w:val="20"/>
        </w:rPr>
        <w:t>Maria Jos</w:t>
      </w:r>
      <w:r>
        <w:rPr>
          <w:rFonts w:eastAsia="Arial" w:cs="Arial" w:ascii="Arial" w:hAnsi="Arial"/>
          <w:b/>
          <w:color w:val="auto"/>
          <w:kern w:val="0"/>
          <w:sz w:val="20"/>
          <w:szCs w:val="20"/>
          <w:lang w:val="pt-BR" w:eastAsia="pt-BR" w:bidi="ar-SA"/>
        </w:rPr>
        <w:t xml:space="preserve">é da Silva </w:t>
      </w:r>
      <w:r>
        <w:rPr>
          <w:rFonts w:eastAsia="Arial" w:cs="Arial" w:ascii="Arial" w:hAnsi="Arial"/>
          <w:b/>
          <w:sz w:val="20"/>
          <w:szCs w:val="20"/>
        </w:rPr>
        <w:t>Autor 2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b</w:t>
      </w:r>
      <w:r>
        <w:rPr>
          <w:rFonts w:eastAsia="Arial" w:cs="Arial" w:ascii="Arial" w:hAnsi="Arial"/>
          <w:b/>
          <w:sz w:val="20"/>
          <w:szCs w:val="20"/>
        </w:rPr>
        <w:t>, Autor 3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c</w:t>
      </w:r>
      <w:r>
        <w:rPr>
          <w:rFonts w:eastAsia="Arial" w:cs="Arial" w:ascii="Arial" w:hAnsi="Arial"/>
          <w:b/>
          <w:sz w:val="20"/>
          <w:szCs w:val="20"/>
        </w:rPr>
        <w:t>, ...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sz w:val="20"/>
          <w:szCs w:val="20"/>
        </w:rPr>
        <w:t>IInstituto Federal do Rio Grande do Norte - Campus Nova Cruz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Resumo</w:t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ARial " w:hAnsi="ARial "/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ascii="ARial " w:hAnsi="ARial "/>
          <w:b w:val="false"/>
          <w:bCs w:val="false"/>
          <w:color w:val="000000"/>
          <w:kern w:val="0"/>
          <w:sz w:val="22"/>
          <w:szCs w:val="22"/>
          <w:lang w:val="pt-BR" w:eastAsia="en-US" w:bidi="ar-SA"/>
        </w:rPr>
        <w:t>O projeto Groburó consistiu no desenvolvimento de um jogo educativo sobre o sistema imunológico, com o objetivo de ensinar jovens sobre o funcionamento do corpo humano de forma interativa. Utilizando a Godot Engine, o jogo foi desenvolvido como um roguelite de ação, onde o jogador controla um glóbulo branco. A metodologia incluiu várias rodadas de testes com grupos de voluntários e o uso de questionários para avaliar o impacto do jogo no aprendizado. Com base no feedback, o jogo foi aprimorado e lançado na plataforma Itch.io. Os resultados indicaram que o jogo tem potencial para facilitar o entendimento de temas biológicos, sendo bem aceito pelo público, mas com necessidade de ajustes em jogabilidade para diferentes níveis de jogadores.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Palavras- chaves: </w:t>
      </w:r>
      <w:r>
        <w:rPr>
          <w:rFonts w:eastAsia="Calibri" w:cs="Times New Roman" w:ascii="ARial " w:hAnsi="ARial "/>
          <w:b w:val="false"/>
          <w:bCs w:val="false"/>
          <w:color w:val="000000"/>
          <w:kern w:val="0"/>
          <w:sz w:val="22"/>
          <w:szCs w:val="22"/>
          <w:lang w:val="pt-BR" w:eastAsia="en-US" w:bidi="ar-SA"/>
        </w:rPr>
        <w:t>Jogos educativos, Biologia, Gamificação, Desenvolvimento de jogos, Sistema imunológico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Introdução.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>
          <w:rFonts w:eastAsia="Arial" w:cs="Arial" w:ascii="ARial " w:hAnsi="ARial "/>
        </w:rPr>
        <w:t xml:space="preserve">O jogo </w:t>
      </w:r>
      <w:r>
        <w:rPr>
          <w:rStyle w:val="Nfaseforte"/>
          <w:rFonts w:eastAsia="Arial" w:cs="Arial" w:ascii="ARial " w:hAnsi="ARial "/>
        </w:rPr>
        <w:t>Grobur</w:t>
      </w:r>
      <w:r>
        <w:rPr>
          <w:rStyle w:val="Nfaseforte"/>
          <w:rFonts w:eastAsia="Arial" w:cs="Arial" w:ascii="ARial " w:hAnsi="ARial "/>
          <w:b/>
          <w:bCs/>
          <w:color w:val="auto"/>
          <w:kern w:val="0"/>
          <w:sz w:val="22"/>
          <w:szCs w:val="22"/>
          <w:lang w:val="pt-BR" w:eastAsia="pt-BR" w:bidi="ar-SA"/>
        </w:rPr>
        <w:t>ó</w:t>
      </w:r>
      <w:r>
        <w:rPr>
          <w:rFonts w:eastAsia="Arial" w:cs="Arial" w:ascii="ARial " w:hAnsi="ARial "/>
        </w:rPr>
        <w:t xml:space="preserve"> é um roguelite de ação educativo que ensina sobre o sistema imunológico através do protagonista, um glóbulo branco que defende o corpo humano. Inspirado por Lopes e Rosso (2013), aborda como agentes patogênicos, como bactérias, protozoários e fungos, causam doenças infecciosas, explorando fatores como agente etiológico, modo de transmissão e hospedeiro, com foco em doenças respiratórias como pneumonia e gripe.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>
          <w:rFonts w:ascii="ARial " w:hAnsi="ARial "/>
        </w:rPr>
        <w:t>Doenças respiratórias apresentam diferentes níveis de gravidade: o resfriado, causado por rinovírus, afeta as vias respiratórias superiores com sintomas leves; a gripe, provocada por influenzavírus, é mais severa e pode gerar complicações. A H1N1, uma variante mais agressiva, intensifica os sintomas e os riscos. Já a pneumonia, altamente grave, compromete os pulmões, exigindo muitas vezes hospitalização devido à febre, tosse com muco e dificuldade para respirar.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>
          <w:rFonts w:ascii="ARial " w:hAnsi="ARial "/>
        </w:rPr>
        <w:t xml:space="preserve">Este trabalho explora como jogos podem enriquecer a educação, promovendo uma aprendizagem mais interativa e eficaz. Baseando-se em teorias de Vigotsky, destaca-se a importância de materiais que incentivem a interação das crianças com o mundo. A mediação de adultos durante os jogos também potencializa sua eficácia como ferramenta pedagógica. O estudo analisa os jogos educativos aplicados à biologia, avaliando como o desenvolvimento do jogo </w:t>
      </w:r>
      <w:r>
        <w:rPr>
          <w:rStyle w:val="Nfaseforte"/>
          <w:rFonts w:ascii="ARial " w:hAnsi="ARial "/>
        </w:rPr>
        <w:t>Grobur</w:t>
      </w:r>
      <w:r>
        <w:rPr>
          <w:rStyle w:val="Nfaseforte"/>
          <w:rFonts w:eastAsia="Calibri" w:cs="Calibri" w:ascii="ARial " w:hAnsi="ARial "/>
          <w:b/>
          <w:bCs/>
          <w:color w:val="auto"/>
          <w:kern w:val="0"/>
          <w:sz w:val="22"/>
          <w:szCs w:val="22"/>
          <w:lang w:val="pt-BR" w:eastAsia="pt-BR" w:bidi="ar-SA"/>
        </w:rPr>
        <w:t>ó</w:t>
      </w:r>
      <w:r>
        <w:rPr>
          <w:rFonts w:ascii="ARial " w:hAnsi="ARial "/>
        </w:rPr>
        <w:t xml:space="preserve"> contribui para a formação de adolescentes.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Fundamentação teórica </w:t>
      </w:r>
    </w:p>
    <w:p>
      <w:pPr>
        <w:pStyle w:val="Corpodotexto"/>
        <w:spacing w:lineRule="auto" w:line="240" w:before="0" w:after="0"/>
        <w:ind w:firstLine="360"/>
        <w:jc w:val="both"/>
        <w:rPr>
          <w:rFonts w:eastAsia="Arial" w:cs="Arial"/>
        </w:rPr>
      </w:pPr>
      <w:r>
        <w:rPr>
          <w:rFonts w:ascii="ARial" w:hAnsi="ARial"/>
        </w:rPr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Método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firstLine="340"/>
        <w:jc w:val="both"/>
        <w:rPr/>
      </w:pPr>
      <w:r>
        <w:rPr>
          <w:rFonts w:eastAsia="Arial" w:cs="Arial" w:ascii="ARial " w:hAnsi="ARial "/>
        </w:rPr>
        <w:t>O desenvolvimento de Grobur</w:t>
      </w:r>
      <w:r>
        <w:rPr>
          <w:rFonts w:eastAsia="Arial" w:cs="Arial" w:ascii="ARial " w:hAnsi="ARial "/>
          <w:color w:val="auto"/>
          <w:kern w:val="0"/>
          <w:sz w:val="22"/>
          <w:szCs w:val="22"/>
          <w:lang w:val="pt-BR" w:eastAsia="pt-BR" w:bidi="ar-SA"/>
        </w:rPr>
        <w:t>ó foi realizado utilizando a Godot Engine, devido a sua flexibilidade e suporte para jogos 2D. O sistema de geração procedural de inimigos foi implementado para ajustar a dificuldade de forma dinâmica, garantindo desempenho estável e uma experiência desafiadora para o jogador.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firstLine="340"/>
        <w:jc w:val="both"/>
        <w:rPr/>
      </w:pPr>
      <w:r>
        <w:rPr>
          <w:rFonts w:eastAsia="Arial" w:cs="Arial" w:ascii="ARial " w:hAnsi="ARial "/>
          <w:color w:val="auto"/>
          <w:kern w:val="0"/>
          <w:sz w:val="22"/>
          <w:szCs w:val="22"/>
          <w:lang w:val="pt-BR" w:eastAsia="pt-BR" w:bidi="ar-SA"/>
        </w:rPr>
        <w:t xml:space="preserve">Para testar o jogo, versões de teste foram disponibilizadas a grupo selecionado de jogadores, visando identificar erros e coletar feedback sobre a gameplay e o conteúdo educativo. As contribuição dos participantes resultaram em ajustes nas mecânicas e na apresentação dos temas abordados. Após o lançamento oficial no Itch.io, um questionário avaliou a funcionalidade do jogo </w:t>
      </w:r>
      <w:r>
        <w:rPr>
          <w:rFonts w:eastAsia="Arial" w:cs="Arial" w:ascii="ARial " w:hAnsi="ARial "/>
          <w:color w:val="auto"/>
          <w:kern w:val="0"/>
          <w:sz w:val="22"/>
          <w:szCs w:val="22"/>
          <w:lang w:val="pt-BR" w:eastAsia="pt-BR" w:bidi="ar-SA"/>
        </w:rPr>
        <w:t>como ferramenta pedagógica</w:t>
      </w:r>
      <w:r>
        <w:rPr>
          <w:rFonts w:eastAsia="Arial" w:cs="Arial" w:ascii="ARial " w:hAnsi="ARial "/>
          <w:color w:val="auto"/>
          <w:kern w:val="0"/>
          <w:sz w:val="22"/>
          <w:szCs w:val="22"/>
          <w:lang w:val="pt-BR" w:eastAsia="pt-BR" w:bidi="ar-SA"/>
        </w:rPr>
        <w:t xml:space="preserve">, </w:t>
      </w:r>
      <w:r>
        <w:rPr>
          <w:rFonts w:eastAsia="Arial" w:cs="Arial" w:ascii="ARial " w:hAnsi="ARial "/>
          <w:color w:val="auto"/>
          <w:kern w:val="0"/>
          <w:sz w:val="22"/>
          <w:szCs w:val="22"/>
          <w:lang w:val="pt-BR" w:eastAsia="pt-BR" w:bidi="ar-SA"/>
        </w:rPr>
        <w:t xml:space="preserve">confirmando sua eficácia como introdução ao tema. Baseando-se no feedback, iniciaram-se os planos para adaptar o jogo para dispositivos móveis, ampliando seu alcance e impacto educacional.  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firstLine="340"/>
        <w:jc w:val="both"/>
        <w:rPr>
          <w:rFonts w:ascii="ARial " w:hAnsi="ARial " w:eastAsia="Arial" w:cs="Arial"/>
          <w:color w:val="auto"/>
          <w:kern w:val="0"/>
          <w:sz w:val="22"/>
          <w:szCs w:val="22"/>
          <w:lang w:val="pt-BR" w:eastAsia="pt-BR" w:bidi="ar-S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Análise de dados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 " w:hAnsi="ARial "/>
        </w:rPr>
      </w:pPr>
      <w:r>
        <w:rPr>
          <w:rFonts w:eastAsia="Arial" w:cs="Arial" w:ascii="ARial " w:hAnsi="ARial "/>
        </w:rPr>
        <w:t>O desenvolvimento do jogo contou com testes realizados por um grupo seleto de voluntários, que jogaram versões iniciais e responderam a questionários sobre a eficácia do aprendizado, a compreensão do tema e sugestões de melhorias. As respostas foram analisadas para identificar pontos de ajuste, e novas versões foram criadas com base nesse feedback.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 " w:hAnsi="ARial "/>
        </w:rPr>
      </w:pPr>
      <w:r>
        <w:rPr>
          <w:rFonts w:ascii="ARial " w:hAnsi="ARial "/>
        </w:rPr>
        <w:t>O processo de refinamento foi repetido até a conclusão da primeira versão completa do jogo. Os participantes destacaram a integração entre jogabilidade e conteúdo educativo, reforçando a eficácia do projeto como ferramenta pedagógica. As críticas construtivas ajudaram a aprimorar aspectos técnicos e narrativos, consolidando o jogo como uma introdução acessível ao tema abordado.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Conclusões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projeto Groburó mostrou-se uma ferramenta eficaz para o ensino de biologia, ao combinar conceitos científicos com jogabilidade interativa e acessível. Os testes com voluntários confirmaram sua capacidade de engajar e facilitar o entendimento do sistema imunológico, mesmo para jogadores com pouca experiência. A utilização da Godot Engine proporcionou a flexibilidade necessária para criar um ambiente educativo eficiente, e o feedback foi fundamental para ajustes que melhoraram a experiência de jogo. Groburó tem grande potencial como recurso inovador no ensino, com possibilidades futuras de expansão para outras áreas temáticas.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Referências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AMABILE, José; TORROVECCHIO, Adriana. </w:t>
      </w:r>
      <w:r>
        <w:rPr>
          <w:rStyle w:val="Nfaseforte"/>
          <w:rFonts w:eastAsia="Arial" w:cs="Arial" w:ascii="Arial" w:hAnsi="Arial"/>
        </w:rPr>
        <w:t>Biologia: Unidade e Diversidade</w:t>
      </w:r>
      <w:r>
        <w:rPr>
          <w:rFonts w:eastAsia="Arial" w:cs="Arial" w:ascii="Arial" w:hAnsi="Arial"/>
        </w:rPr>
        <w:t>. Volume 2. São Paulo: FTD, 2018.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BITTENCOURT, João Ricardo; GIRAFFA, Lucia Maria. </w:t>
      </w:r>
      <w:r>
        <w:rPr>
          <w:rStyle w:val="Nfaseforte"/>
          <w:rFonts w:eastAsia="Arial" w:cs="Arial" w:ascii="Arial" w:hAnsi="Arial"/>
        </w:rPr>
        <w:t>Modelando Ambientes de Aprendizagem Virtuais utilizando Role-Play-Games</w:t>
      </w:r>
      <w:r>
        <w:rPr>
          <w:rFonts w:eastAsia="Arial" w:cs="Arial" w:ascii="Arial" w:hAnsi="Arial"/>
        </w:rPr>
        <w:t>. Simpósio Brasileiro de Informática na Educação – “Inclusão digital como instrumento de inclusão social”. Rio de Janeiro: Universidade Federal do Rio de Janeiro, 2003.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CASTRO, Marina; OLIVEIRA, Fernando. </w:t>
      </w:r>
      <w:r>
        <w:rPr>
          <w:rStyle w:val="Nfaseforte"/>
          <w:rFonts w:eastAsia="Arial" w:cs="Arial" w:ascii="Arial" w:hAnsi="Arial"/>
        </w:rPr>
        <w:t>Tecnologias digitais e o ensino de ciências naturais</w:t>
      </w:r>
      <w:r>
        <w:rPr>
          <w:rFonts w:eastAsia="Arial" w:cs="Arial" w:ascii="Arial" w:hAnsi="Arial"/>
        </w:rPr>
        <w:t>. Belo Horizonte: Editora CiênTech, 2020.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KISHIMOTO, Tizuko. </w:t>
      </w:r>
      <w:r>
        <w:rPr>
          <w:rStyle w:val="Nfaseforte"/>
          <w:rFonts w:eastAsia="Arial" w:cs="Arial" w:ascii="Arial" w:hAnsi="Arial"/>
        </w:rPr>
        <w:t>Jogos infantis: o jogo, a criança e a educação</w:t>
      </w:r>
      <w:r>
        <w:rPr>
          <w:rFonts w:eastAsia="Arial" w:cs="Arial" w:ascii="Arial" w:hAnsi="Arial"/>
        </w:rPr>
        <w:t>. São Paulo: Vozes, 1993.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MOURA, Luiz Fernando. </w:t>
      </w:r>
      <w:r>
        <w:rPr>
          <w:rStyle w:val="Nfaseforte"/>
          <w:rFonts w:eastAsia="Arial" w:cs="Arial" w:ascii="Arial" w:hAnsi="Arial"/>
        </w:rPr>
        <w:t>Gamificação e aprendizado: como jogos transformam a sala de aula</w:t>
      </w:r>
      <w:r>
        <w:rPr>
          <w:rFonts w:eastAsia="Arial" w:cs="Arial" w:ascii="Arial" w:hAnsi="Arial"/>
        </w:rPr>
        <w:t>. Rio de Janeiro: Novas Fronteiras, 2019.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PIAGET, Jean. </w:t>
      </w:r>
      <w:r>
        <w:rPr>
          <w:rStyle w:val="Nfaseforte"/>
          <w:rFonts w:eastAsia="Arial" w:cs="Arial" w:ascii="Arial" w:hAnsi="Arial"/>
        </w:rPr>
        <w:t>A formação do símbolo na criança: imitação, jogo e sonho, imagem e representação</w:t>
      </w:r>
      <w:r>
        <w:rPr>
          <w:rFonts w:eastAsia="Arial" w:cs="Arial" w:ascii="Arial" w:hAnsi="Arial"/>
        </w:rPr>
        <w:t>. 3. ed. Rio de Janeiro: Zahar, 1978.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SILVA, Rafaela Martins; ALMEIDA, João Pedro. </w:t>
      </w:r>
      <w:r>
        <w:rPr>
          <w:rStyle w:val="Nfaseforte"/>
          <w:rFonts w:eastAsia="Arial" w:cs="Arial" w:ascii="Arial" w:hAnsi="Arial"/>
        </w:rPr>
        <w:t>Jogos digitais no ensino: um guia para práticas educativas</w:t>
      </w:r>
      <w:r>
        <w:rPr>
          <w:rFonts w:eastAsia="Arial" w:cs="Arial" w:ascii="Arial" w:hAnsi="Arial"/>
        </w:rPr>
        <w:t>. São Paulo: EducTech, 2021.</w:t>
      </w:r>
    </w:p>
    <w:p>
      <w:pPr>
        <w:pStyle w:val="Normal"/>
        <w:spacing w:lineRule="auto" w:line="36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9" w:top="2835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 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1375410</wp:posOffset>
          </wp:positionH>
          <wp:positionV relativeFrom="paragraph">
            <wp:posOffset>-81915</wp:posOffset>
          </wp:positionV>
          <wp:extent cx="3975100" cy="1380490"/>
          <wp:effectExtent l="0" t="0" r="0" b="0"/>
          <wp:wrapNone/>
          <wp:docPr id="1" name="Imagem 5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282" r="-6014" b="47690"/>
                  <a:stretch>
                    <a:fillRect/>
                  </a:stretch>
                </pic:blipFill>
                <pic:spPr bwMode="auto">
                  <a:xfrm>
                    <a:off x="0" y="0"/>
                    <a:ext cx="3975100" cy="1380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315363"/>
    <w:rPr/>
  </w:style>
  <w:style w:type="character" w:styleId="RodapChar" w:customStyle="1">
    <w:name w:val="Rodapé Char"/>
    <w:basedOn w:val="DefaultParagraphFont"/>
    <w:uiPriority w:val="99"/>
    <w:qFormat/>
    <w:rsid w:val="0031536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3fc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be3fc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be3fc3"/>
    <w:rPr>
      <w:b/>
      <w:bCs/>
      <w:sz w:val="20"/>
      <w:szCs w:val="20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4136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be3fc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be3fc3"/>
    <w:pPr/>
    <w:rPr>
      <w:b/>
      <w:bCs/>
    </w:rPr>
  </w:style>
  <w:style w:type="paragraph" w:styleId="Revision">
    <w:name w:val="Revision"/>
    <w:uiPriority w:val="99"/>
    <w:semiHidden/>
    <w:qFormat/>
    <w:rsid w:val="00a9710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7D90-1E69-488F-A1BA-6D13AA18B6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2</Pages>
  <Words>843</Words>
  <Characters>4931</Characters>
  <CharactersWithSpaces>5744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2024-11-23T14:16:00Z</dcterms:created>
  <dc:creator>André</dc:creator>
  <dc:description/>
  <dc:language>pt-BR</dc:language>
  <cp:lastModifiedBy/>
  <dcterms:modified xsi:type="dcterms:W3CDTF">2024-11-24T17:05:14Z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