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480"/>
        <w:jc w:val="center"/>
      </w:pPr>
      <w:r>
        <w:rPr>
          <w:rFonts w:ascii="黑体" w:hAnsi="黑体" w:eastAsia="黑体"/>
          <w:b/>
          <w:sz w:val="44"/>
        </w:rPr>
        <w:t>基于多模态生理感知与AI决策的</w:t>
        <w:br/>
        <w:t>VR身心脑协同训练系统设计</w:t>
      </w:r>
    </w:p>
    <w:p>
      <w:pPr>
        <w:spacing w:after="240"/>
        <w:jc w:val="center"/>
      </w:pPr>
      <w:r>
        <w:rPr>
          <w:rFonts w:ascii="楷体" w:hAnsi="楷体" w:eastAsia="楷体"/>
          <w:color w:val="636E72"/>
          <w:sz w:val="28"/>
        </w:rPr>
        <w:t>——面向大学生群体的创新训练方案</w:t>
      </w:r>
    </w:p>
    <w:p>
      <w:pPr>
        <w:spacing w:after="40"/>
        <w:jc w:val="center"/>
      </w:pPr>
      <w:r>
        <w:rPr>
          <w:rFonts w:ascii="楷体" w:hAnsi="楷体" w:eastAsia="楷体"/>
          <w:sz w:val="28"/>
        </w:rPr>
        <w:t>刘  原</w:t>
      </w:r>
    </w:p>
    <w:p>
      <w:pPr>
        <w:spacing w:after="320"/>
        <w:jc w:val="center"/>
      </w:pPr>
      <w:r>
        <w:rPr>
          <w:rFonts w:ascii="宋体" w:hAnsi="宋体" w:eastAsia="宋体"/>
          <w:sz w:val="21"/>
        </w:rPr>
        <w:t>（大连理工大学 计算机科学与技术学院，辽宁 大连 116024）</w:t>
      </w:r>
    </w:p>
    <w:p>
      <w:pPr>
        <w:pStyle w:val="Heading1"/>
      </w:pPr>
      <w:r>
        <w:rPr>
          <w:rFonts w:ascii="黑体" w:hAnsi="黑体" w:eastAsia="黑体"/>
        </w:rPr>
        <w:t>摘  要</w:t>
      </w:r>
    </w:p>
    <w:p>
      <w:pPr>
        <w:spacing w:line="360" w:lineRule="auto" w:after="0" w:before="0"/>
        <w:ind w:firstLine="420"/>
      </w:pPr>
      <w:r>
        <w:rPr>
          <w:rFonts w:ascii="宋体" w:hAnsi="宋体" w:eastAsia="宋体"/>
          <w:b w:val="0"/>
          <w:sz w:val="21"/>
        </w:rPr>
        <w:t>大学生群体普遍面临久坐少动、心理压力增大与认知疲劳等多维健康问题，传统体育训练模式以单一身体锻炼为主，缺乏对心理情绪状态与认知功能的同步考量，难以实现个性化、精准化的训练指导。本文设计了一套融合虚拟现实（VR）、多模态生理传感与人工智能（AI）决策的闭环训练系统——VR身心脑协同训练系统。系统采用"传感采集—信号处理—AI分析—VR反馈"四层闭环架构，包含两套可渐进升级的硬件方案（低成本方案约600元，高精度方案约15,000元），以及一个六层递进式可解释AI分析管道。硬件层以Polar H10心率胸带为核心传感器，通过"一源多用"策略从心率变异性（HRV）信号中同时提取身体、心理与脑功能三维指标；AI层以随机森林、支持向量回归等可解释机器学习方法为核心，实现从生理状态评估到VR场景适配的全链条智能决策；VR层基于Unity与Meta Quest 3构建四类运动场景，实现心率色环、脑电柱状图、GSR压力计等实时生物反馈可视化。系统设计在理论层面具备可行性与技术创新性，为人工智能赋能大学生体育训练提供了完整的工程技术范式。</w:t>
      </w:r>
    </w:p>
    <w:p>
      <w:pPr>
        <w:spacing w:line="360" w:lineRule="auto" w:after="0" w:before="120"/>
      </w:pPr>
      <w:r>
        <w:rPr>
          <w:rFonts w:ascii="宋体" w:hAnsi="宋体" w:eastAsia="宋体"/>
          <w:b/>
          <w:sz w:val="21"/>
        </w:rPr>
        <w:t>关键词：虚拟现实；人工智能；多模态生理感知；身心脑协同训练；生物反馈；大学生</w:t>
      </w:r>
    </w:p>
    <w:p>
      <w:pPr>
        <w:pStyle w:val="Heading1"/>
      </w:pPr>
      <w:r>
        <w:rPr>
          <w:rFonts w:ascii="黑体" w:hAnsi="黑体" w:eastAsia="黑体"/>
        </w:rPr>
        <w:t>Abstract</w:t>
      </w:r>
    </w:p>
    <w:p>
      <w:pPr>
        <w:spacing w:line="360" w:lineRule="auto" w:after="0" w:before="0"/>
        <w:ind w:firstLine="420"/>
      </w:pPr>
      <w:r>
        <w:rPr>
          <w:rFonts w:ascii="Times New Roman" w:hAnsi="Times New Roman"/>
          <w:b w:val="0"/>
          <w:sz w:val="21"/>
        </w:rPr>
        <w:t>College students increasingly face multidimensional health challenges including sedentary behavior, psychological stress, and cognitive fatigue. This paper presents the design of a VR Body-Mind-Brain Synergistic Training System that integrates virtual reality, multimodal physiological sensing, and artificial intelligence decision-making into a closed-loop training architecture. The system features two progressively upgradable hardware configurations, a six-tier interpretable AI analysis pipeline employing Random Forest classification, Support Vector Regression, and rule-based decision fusion, and four VR exercise scenes with real-time biofeedback visualization. The "one-source-multi-use" strategy extracts body, mind, and brain indicators from a single HRV signal, significantly lowering the hardware barrier. This design provides a complete technical paradigm for AI-empowered college student sports training innovation.</w:t>
      </w:r>
    </w:p>
    <w:p>
      <w:pPr>
        <w:spacing w:line="360" w:lineRule="auto" w:after="0" w:before="120"/>
      </w:pPr>
      <w:r>
        <w:rPr>
          <w:rFonts w:ascii="Times New Roman" w:hAnsi="Times New Roman"/>
          <w:b/>
          <w:sz w:val="21"/>
        </w:rPr>
        <w:t>Keywords: virtual reality; artificial intelligence; multimodal physiological sensing; body-mind-brain training; biofeedback; college students</w:t>
      </w:r>
    </w:p>
    <w:p>
      <w:r>
        <w:br w:type="page"/>
      </w:r>
    </w:p>
    <w:p>
      <w:pPr>
        <w:pStyle w:val="Heading1"/>
      </w:pPr>
      <w:r>
        <w:rPr>
          <w:rFonts w:ascii="黑体" w:hAnsi="黑体" w:eastAsia="黑体"/>
        </w:rPr>
        <w:t>1  引言</w:t>
      </w:r>
    </w:p>
    <w:p>
      <w:pPr>
        <w:pStyle w:val="Heading2"/>
      </w:pPr>
      <w:r>
        <w:rPr>
          <w:rFonts w:ascii="黑体" w:hAnsi="黑体" w:eastAsia="黑体"/>
        </w:rPr>
        <w:t>1.1  大学生身心健康现状</w:t>
      </w:r>
    </w:p>
    <w:p>
      <w:pPr>
        <w:spacing w:line="360" w:lineRule="auto" w:after="0" w:before="0"/>
        <w:ind w:firstLine="420"/>
      </w:pPr>
      <w:r>
        <w:rPr>
          <w:rFonts w:ascii="宋体" w:hAnsi="宋体" w:eastAsia="宋体"/>
          <w:b w:val="0"/>
          <w:sz w:val="24"/>
        </w:rPr>
        <w:t>大学生群体的身心健康状况已成为亟待关注的公共卫生议题。中国学生体质健康调研数据显示，大学生体质健康水平连续多年呈下降趋势，不及格率在各类学生群体中居首[1]。与此同时，大学生心理健康问题日益突出——一项涵盖全国多所高校的调查显示，约20%～30%的大学生存在不同程度的焦虑、抑郁等心理困扰[2]。《中国国民心理健康发展报告（2021～2022）》指出，青年群体是心理健康风险的高发人群，18～25岁年龄段心理问题检出率显著高于其他年龄段[3]。Yang等（2023）对10项研究（样本量39,017人）的meta分析发现，体力活动与中国大学生抑郁（OR=0.69）和焦虑（OR=0.71）呈显著负相关，COVID-19期间焦虑检出率约为24.9%[30]。Shu等（2023）的meta分析（9项研究，1,613名被试）表明，有氧运动可显著提升大学生身体自尊（WMD=1.32～1.62），且90分钟/次、持续16周的干预方案效果最强[31]。</w:t>
      </w:r>
    </w:p>
    <w:p>
      <w:pPr>
        <w:spacing w:line="360" w:lineRule="auto" w:after="0" w:before="0"/>
        <w:ind w:firstLine="420"/>
      </w:pPr>
      <w:r>
        <w:rPr>
          <w:rFonts w:ascii="宋体" w:hAnsi="宋体" w:eastAsia="宋体"/>
          <w:b w:val="0"/>
          <w:sz w:val="24"/>
        </w:rPr>
        <w:t>从生活方式角度分析，大学生日均久坐时间普遍超过8小时，体力活动水平显著不足[4]。电子设备的过度使用进一步加剧了久坐行为、睡眠不足与认知疲劳的恶性循环。世界卫生组织（WHO）建议18～64岁成年人每周进行至少150～300分钟中等强度有氧运动，然而我国大学生中达到该推荐量的比例不足30%[5]。传统的高校体育课程以统一化教学为主，存在训练模式单一、个性化不足、对心理与认知维度关注缺失等局限，难以有效应对大学生群体"身（生理）—心（心理）—脑（认知）"多维健康需求。</w:t>
      </w:r>
    </w:p>
    <w:p>
      <w:pPr>
        <w:pStyle w:val="Heading2"/>
      </w:pPr>
      <w:r>
        <w:rPr>
          <w:rFonts w:ascii="黑体" w:hAnsi="黑体" w:eastAsia="黑体"/>
        </w:rPr>
        <w:t>1.2  相关技术研究进展</w:t>
      </w:r>
    </w:p>
    <w:p>
      <w:pPr>
        <w:spacing w:line="360" w:lineRule="auto" w:after="0" w:before="0"/>
        <w:ind w:firstLine="420"/>
      </w:pPr>
      <w:r>
        <w:rPr>
          <w:rFonts w:ascii="宋体" w:hAnsi="宋体" w:eastAsia="宋体"/>
          <w:b w:val="0"/>
          <w:sz w:val="24"/>
        </w:rPr>
        <w:t>近年来，虚拟现实（VR）技术在运动训练与康复领域展现出广阔的应用前景。VR沉浸式环境能够增强运动参与感与动机，多项随机对照试验的系统综述表明，VR辅助训练在改善平衡能力、步态功能与运动依从性方面优于传统训练方式[6,7]。在VR结合生物反馈的前沿方向，Morone等（2024）的系统综述纳入11项RCT，证实VR训练对慢性下背痛的疼痛、功能障碍和运动恐惧症均有显著改善效果[32]。Kober等（2025）综述了31项VR-神经反馈研究，发现VR反馈相比2D屏幕反馈在用户体验和心理效果方面具有显著优势[33]。在生物反馈领域，心率变异性（HRV）已被确立为评估自主神经系统功能与心理压力的黄金标准——Task Force of the European Society of Cardiology and the North American Society of Pacing and Electrophysiology 于1996年发布的《心率变异性：测量标准、生理学解释与临床应用》至今已被引用超过15,000次，为HRV的科研与临床应用提供了权威的方法学指导[8]。Polar H10胸带式心率传感器经多项独立验证研究确认，其静息状态下线性HRV指标（RMSSD、pNN50）与12导联ECG的一致性达到ICC=0.90～1.00水平，MAPE低至2.16%[9,10]。然而，在高强度动态运动中（如障碍赛、循环训练），Polar H10的信号丢失率可升至29.9%～40.4%，非线性HRV指标（如DFA-α1）的一致性显著下降[10a]。这提示在VR高强度训练场景中需配套信号质量实时监测与自动插值/剔除策略。</w:t>
      </w:r>
    </w:p>
    <w:p>
      <w:pPr>
        <w:spacing w:line="360" w:lineRule="auto" w:after="0" w:before="0"/>
        <w:ind w:firstLine="420"/>
      </w:pPr>
      <w:r>
        <w:rPr>
          <w:rFonts w:ascii="宋体" w:hAnsi="宋体" w:eastAsia="宋体"/>
          <w:b w:val="0"/>
          <w:sz w:val="24"/>
        </w:rPr>
        <w:t>在情绪识别领域，Russell于1980年提出的情绪环状模型（Circumplex Model of Affect）将情绪组织在效价（Valence）与唤醒度（Arousal）两个正交维度上，为基于生理信号的情绪量化提供了理论框架[11]。Davidson的前额叶EEG不对称模型揭示了前额叶Alpha波段（8～13 Hz）的左右半球不对称性与情绪效价之间的关联：左侧前额叶Alpha功率降低与趋近动机和积极情绪相关，右侧前额叶Alpha功率降低与回避动机和消极情绪相关[12,13]。需指出的是，Harmon-Jones与Allen（1998）的后续研究对"效价-不对称性"的简单映射提出了重要修正——愤怒虽属负效价但具有趋近动机，同样表现为左侧前额叶激活[12a]。近期大规模重复性研究（#EEGManyLabs）发现静息态FAA与心理病理学之间的效应量较小，提示FAA作为个体差异稳定生物标志物的可靠性需谨慎看待[12b]。因此，本系统将FAA作为情绪效价的"实时状态指示器"（而非稳定特质标志物），结合GSR皮肤电导与LF/HF进行多指标交叉验证，以提高情绪评估的稳健性。在注意力评估方面，Theta/Beta比值（TBR）作为注意力相关脑电指标已有大量研究——Lubar最早报道了注意力缺陷障碍患者的TBR升高现象[14]，Monastra等对其临床应用进行了初步验证[15]。Arns等的大规模meta分析（2013）对9项研究（1,253例ADHD vs. 517例对照）进行了系统评价，发现TBR的grand-mean效应量d=0.75（6～13岁）和d=0.62（6～18岁），但效应量异质性显著。作者明确指出TBR"不能被视为可靠的诊断指标"，更适合作为"预后性而非诊断性"工具使用，即对治疗分层具有参考价值而对诊断分类价值有限[16]。2024年更新meta分析进一步表明，在控制慢速Alpha峰值频率后，TBR效应量降至非显著水平（d从−0.212到+0.218），确认了TBR在诊断方面的局限性[16a]。因此，本系统将TBR作为注意力状态的"趋势监测"指标而非绝对诊断标准，在连续监测中通过个体内基线比较（TBR升高&gt;1.0标准差）触发注意力下降预警。</w:t>
      </w:r>
    </w:p>
    <w:p>
      <w:pPr>
        <w:spacing w:line="360" w:lineRule="auto" w:after="0" w:before="0"/>
        <w:ind w:firstLine="420"/>
      </w:pPr>
      <w:r>
        <w:rPr>
          <w:rFonts w:ascii="宋体" w:hAnsi="宋体" w:eastAsia="宋体"/>
          <w:b w:val="0"/>
          <w:sz w:val="24"/>
        </w:rPr>
        <w:t>在可穿戴传感与信号处理工具链方面，Makowski等（2021）开发的NeuroKit2为Python生态提供了从ECG/PPG/EDA/EEG信号处理到高级生理特征提取的一站式解决方案，其ECG R峰检测基于Pan-Tompkins算法，在MIT-BIH心律失常数据库上达到超过99%的准确率[17]。Gramfort等（2013）开发的MNE-Python已成为脑电图/脑磁图分析的科研标准工具，提供了独立成分分析（ICA）去伪影、Welch功率谱密度估计等关键功能[18]。这些开源工具为本系统的信号处理管道提供了坚实的技术基础。</w:t>
      </w:r>
    </w:p>
    <w:p>
      <w:pPr>
        <w:spacing w:line="360" w:lineRule="auto" w:after="0" w:before="0"/>
        <w:ind w:firstLine="420"/>
      </w:pPr>
      <w:r>
        <w:rPr>
          <w:rFonts w:ascii="宋体" w:hAnsi="宋体" w:eastAsia="宋体"/>
          <w:b w:val="0"/>
          <w:sz w:val="24"/>
        </w:rPr>
        <w:t>在人工智能赋能体育训练方面，可解释人工智能（Explainable AI, XAI）正成为健康与运动科学领域的重要趋势。与传统黑盒深度学习模型相比，基于规则与经典机器学习的可解释决策系统在健康干预场景中具有更高的可信度、安全性与临床可接受性[19]。Kranzinger等（2025）对19项运动科学XAI研究的系统综述发现，SHAP是目前运动科学中占绝对主导地位的XAI方法，应用涵盖游泳成绩预测（R²=0.93）、运动损伤风险识别和战术决策支持等领域[34]。Abdelaal等（2024）综述了25项穿戴设备数据分析中的XAI研究，指出仅约20%包含用户评估，缺乏领域专家对解释的验证仍是主要研究空白[35]。Shen等（2024）首次全面综述了面向生理信号（ECG、EEG、EDA、PPG）的XAI方法，为多模态生理信号的可解释分析提供了方法论指引[36]。将多模态生理传感、可解释AI决策与VR沉浸式训练三者整合为一个闭环系统，是当前运动科学与人机交互领域的创新方向，相关系统设计研究仍然较少。</w:t>
      </w:r>
    </w:p>
    <w:p>
      <w:pPr>
        <w:pStyle w:val="Heading2"/>
      </w:pPr>
      <w:r>
        <w:rPr>
          <w:rFonts w:ascii="黑体" w:hAnsi="黑体" w:eastAsia="黑体"/>
        </w:rPr>
        <w:t>1.3  研究目标</w:t>
      </w:r>
    </w:p>
    <w:p>
      <w:pPr>
        <w:spacing w:line="360" w:lineRule="auto" w:after="0" w:before="0"/>
        <w:ind w:firstLine="420"/>
      </w:pPr>
      <w:r>
        <w:rPr>
          <w:rFonts w:ascii="宋体" w:hAnsi="宋体" w:eastAsia="宋体"/>
          <w:b w:val="0"/>
          <w:sz w:val="24"/>
        </w:rPr>
        <w:t>针对上述研究空白，本文提出并设计了一套"VR身心脑协同训练系统"。系统的核心设计目标包括：（1）构建多模态生理数据采集管道，实现从"身、心、脑"三个维度同步感知用户实时状态；（2）搭建六层可解释AI分析管道，将原始生理信号转化为个性化运动训练推荐；（3）设计沉浸式VR生物反馈交互界面，实现训练过程的实时自适应闭环。本文聚焦于系统的工程技术方案设计与方法论论证，为后续的系统实现与实证研究奠定基础。</w:t>
      </w:r>
    </w:p>
    <w:p>
      <w:pPr>
        <w:pStyle w:val="Heading1"/>
      </w:pPr>
      <w:r>
        <w:rPr>
          <w:rFonts w:ascii="黑体" w:hAnsi="黑体" w:eastAsia="黑体"/>
        </w:rPr>
        <w:t>2  系统总体架构</w:t>
      </w:r>
    </w:p>
    <w:p>
      <w:pPr>
        <w:spacing w:line="360" w:lineRule="auto" w:after="0" w:before="0"/>
        <w:ind w:firstLine="420"/>
      </w:pPr>
      <w:r>
        <w:rPr>
          <w:rFonts w:ascii="宋体" w:hAnsi="宋体" w:eastAsia="宋体"/>
          <w:b w:val="0"/>
          <w:sz w:val="24"/>
        </w:rPr>
        <w:t>VR身心脑协同训练系统采用"四层闭环"架构，自底向上依次为：数据采集层、信号处理层、AI分析引擎层与VR渲染交互层。各层之间通过Lab Streaming Layer（LSL）实时流协议与JSON/HTTP接口进行通信，形成从传感器到VR场景的完整数据闭环。图1展示了系统的总体架构。</w:t>
      </w:r>
    </w:p>
    <w:p>
      <w:pPr>
        <w:spacing w:before="240" w:after="120"/>
        <w:jc w:val="center"/>
      </w:pPr>
      <w:r>
        <w:drawing>
          <wp:inline xmlns:a="http://schemas.openxmlformats.org/drawingml/2006/main" xmlns:pic="http://schemas.openxmlformats.org/drawingml/2006/picture">
            <wp:extent cx="5029200" cy="3130792"/>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029200" cy="3130792"/>
                    </a:xfrm>
                    <a:prstGeom prst="rect"/>
                  </pic:spPr>
                </pic:pic>
              </a:graphicData>
            </a:graphic>
          </wp:inline>
        </w:drawing>
      </w:r>
    </w:p>
    <w:p>
      <w:pPr>
        <w:spacing w:after="240"/>
        <w:jc w:val="center"/>
      </w:pPr>
      <w:r>
        <w:rPr>
          <w:rFonts w:ascii="宋体" w:hAnsi="宋体" w:eastAsia="宋体"/>
          <w:color w:val="636E72"/>
          <w:sz w:val="18"/>
        </w:rPr>
        <w:t>图1  VR身心脑协同训练系统总体架构</w:t>
      </w:r>
    </w:p>
    <w:p>
      <w:pPr>
        <w:spacing w:line="360" w:lineRule="auto" w:after="0" w:before="0"/>
        <w:ind w:firstLine="420"/>
      </w:pPr>
      <w:r>
        <w:rPr>
          <w:rFonts w:ascii="宋体" w:hAnsi="宋体" w:eastAsia="宋体"/>
          <w:b w:val="0"/>
          <w:sz w:val="24"/>
        </w:rPr>
        <w:t>系统设计遵循"渐进式复杂度"原则——提供两套可相互兼容的硬件方案：低成本方案（方案一）仅需约600元人民币，以单一Polar H10胸带为核心传感器，通过信号处理算法从HRV中挖掘多维度信息；高精度方案（方案二）增加Muse S脑电头带与Empatica E4腕带，总成本约15,000元，实现每个维度的直接生理测量。两套方案共用同一套数据管道架构与AI分析框架，支持从方案一到方案二的无缝渐进式升级。</w:t>
      </w:r>
    </w:p>
    <w:p>
      <w:pPr>
        <w:pStyle w:val="Heading1"/>
      </w:pPr>
      <w:r>
        <w:rPr>
          <w:rFonts w:ascii="黑体" w:hAnsi="黑体" w:eastAsia="黑体"/>
        </w:rPr>
        <w:t>3  硬件方案与多模态数据采集</w:t>
      </w:r>
    </w:p>
    <w:p>
      <w:pPr>
        <w:pStyle w:val="Heading2"/>
      </w:pPr>
      <w:r>
        <w:rPr>
          <w:rFonts w:ascii="黑体" w:hAnsi="黑体" w:eastAsia="黑体"/>
        </w:rPr>
        <w:t>3.1  低成本方案（方案一）</w:t>
      </w:r>
    </w:p>
    <w:p>
      <w:pPr>
        <w:spacing w:line="360" w:lineRule="auto" w:after="0" w:before="0"/>
        <w:ind w:firstLine="420"/>
      </w:pPr>
      <w:r>
        <w:rPr>
          <w:rFonts w:ascii="宋体" w:hAnsi="宋体" w:eastAsia="宋体"/>
          <w:b w:val="0"/>
          <w:sz w:val="24"/>
        </w:rPr>
        <w:t>方案一的设计哲学是"一源多用"（One-Source-Multi-Use）——利用Polar H10胸带输出的高精度RR间期序列（采样率130 Hz），通过信号处理同时提取身、心、脑三个维度的生理指标。该策略的关键科学依据在于：HRV是反映自主神经系统调控功能的综合窗口——时域指标RMSSD反映副交感神经（迷走神经）活性（身→心），频域指标LF/HF比值反映交感-副交感平衡（心），非线性指标样本熵反映中枢-自主神经网络的调控灵活性与复杂度（心→脑）[8]。Polar H10采用医用级不锈钢电极与硅胶防滑胸带，在运动状态下仍能保持高质量的ECG信号采集，其RR间期精度已在多项独立验证研究中得到确认[9,10]。</w:t>
      </w:r>
    </w:p>
    <w:p>
      <w:pPr>
        <w:spacing w:line="360" w:lineRule="auto" w:after="0" w:before="0"/>
        <w:ind w:firstLine="420"/>
      </w:pPr>
      <w:r>
        <w:rPr>
          <w:rFonts w:ascii="宋体" w:hAnsi="宋体" w:eastAsia="宋体"/>
          <w:b w:val="0"/>
          <w:sz w:val="24"/>
        </w:rPr>
        <w:t>此外，方案一充分利用了VR头显（Meta Quest 3）自带的传感能力作为补充数据源：6DoF头部追踪提供头部运动平滑度与姿势稳定性指标，23关节手部追踪提供运动轨迹与关节活动范围，手柄IMU提供加速度与角速度数据。VR头显内置的认知测试模块（Stroop色词干扰任务、N-back工作记忆任务、简单反应时任务）为脑功能的"行为学代理指标"提供了重要补充。方案一共提取约12维特征，覆盖身、心、脑三个维度的核心评估需求。表1总结了方案一的数据采集与特征提取方案。</w:t>
      </w:r>
    </w:p>
    <w:p>
      <w:pPr>
        <w:spacing w:line="360" w:lineRule="auto" w:after="0" w:before="240"/>
        <w:jc w:val="center"/>
      </w:pPr>
      <w:r>
        <w:rPr>
          <w:rFonts w:ascii="宋体" w:hAnsi="宋体" w:eastAsia="宋体"/>
          <w:b/>
          <w:sz w:val="18"/>
        </w:rPr>
        <w:t>表1  方案一（低成本）数据采集与特征提取方案</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fill="4472C4" w:val="clear"/>
          </w:tcPr>
          <w:p>
            <w:pPr>
              <w:jc w:val="center"/>
            </w:pPr>
            <w:r/>
            <w:r>
              <w:rPr>
                <w:rFonts w:ascii="宋体" w:hAnsi="宋体" w:eastAsia="宋体"/>
                <w:b/>
                <w:color w:val="FFFFFF"/>
                <w:sz w:val="18"/>
              </w:rPr>
              <w:t>传感器</w:t>
            </w:r>
          </w:p>
        </w:tc>
        <w:tc>
          <w:tcPr>
            <w:tcW w:type="dxa" w:w="1441"/>
            <w:shd w:fill="4472C4" w:val="clear"/>
          </w:tcPr>
          <w:p>
            <w:pPr>
              <w:jc w:val="center"/>
            </w:pPr>
            <w:r/>
            <w:r>
              <w:rPr>
                <w:rFonts w:ascii="宋体" w:hAnsi="宋体" w:eastAsia="宋体"/>
                <w:b/>
                <w:color w:val="FFFFFF"/>
                <w:sz w:val="18"/>
              </w:rPr>
              <w:t>原始数据</w:t>
            </w:r>
          </w:p>
        </w:tc>
        <w:tc>
          <w:tcPr>
            <w:tcW w:type="dxa" w:w="1441"/>
            <w:shd w:fill="4472C4" w:val="clear"/>
          </w:tcPr>
          <w:p>
            <w:pPr>
              <w:jc w:val="center"/>
            </w:pPr>
            <w:r/>
            <w:r>
              <w:rPr>
                <w:rFonts w:ascii="宋体" w:hAnsi="宋体" w:eastAsia="宋体"/>
                <w:b/>
                <w:color w:val="FFFFFF"/>
                <w:sz w:val="18"/>
              </w:rPr>
              <w:t>采样率</w:t>
            </w:r>
          </w:p>
        </w:tc>
        <w:tc>
          <w:tcPr>
            <w:tcW w:type="dxa" w:w="1441"/>
            <w:shd w:fill="4472C4" w:val="clear"/>
          </w:tcPr>
          <w:p>
            <w:pPr>
              <w:jc w:val="center"/>
            </w:pPr>
            <w:r/>
            <w:r>
              <w:rPr>
                <w:rFonts w:ascii="宋体" w:hAnsi="宋体" w:eastAsia="宋体"/>
                <w:b/>
                <w:color w:val="FFFFFF"/>
                <w:sz w:val="18"/>
              </w:rPr>
              <w:t>提取特征</w:t>
            </w:r>
          </w:p>
        </w:tc>
        <w:tc>
          <w:tcPr>
            <w:tcW w:type="dxa" w:w="1441"/>
            <w:shd w:fill="4472C4" w:val="clear"/>
          </w:tcPr>
          <w:p>
            <w:pPr>
              <w:jc w:val="center"/>
            </w:pPr>
            <w:r/>
            <w:r>
              <w:rPr>
                <w:rFonts w:ascii="宋体" w:hAnsi="宋体" w:eastAsia="宋体"/>
                <w:b/>
                <w:color w:val="FFFFFF"/>
                <w:sz w:val="18"/>
              </w:rPr>
              <w:t>对应维度</w:t>
            </w:r>
          </w:p>
        </w:tc>
        <w:tc>
          <w:tcPr>
            <w:tcW w:type="dxa" w:w="1441"/>
            <w:shd w:fill="4472C4" w:val="clear"/>
          </w:tcPr>
          <w:p>
            <w:pPr>
              <w:jc w:val="center"/>
            </w:pPr>
            <w:r/>
            <w:r>
              <w:rPr>
                <w:rFonts w:ascii="宋体" w:hAnsi="宋体" w:eastAsia="宋体"/>
                <w:b/>
                <w:color w:val="FFFFFF"/>
                <w:sz w:val="18"/>
              </w:rPr>
              <w:t>生理含义</w:t>
            </w:r>
          </w:p>
        </w:tc>
      </w:tr>
      <w:tr>
        <w:tc>
          <w:tcPr>
            <w:tcW w:type="dxa" w:w="1441"/>
            <w:shd w:fill="E8F0FE" w:val="clear"/>
          </w:tcPr>
          <w:p>
            <w:pPr>
              <w:jc w:val="center"/>
            </w:pPr>
            <w:r/>
            <w:r>
              <w:rPr>
                <w:rFonts w:ascii="宋体" w:hAnsi="宋体" w:eastAsia="宋体"/>
                <w:sz w:val="17"/>
              </w:rPr>
              <w:t>Polar H10</w:t>
            </w:r>
          </w:p>
        </w:tc>
        <w:tc>
          <w:tcPr>
            <w:tcW w:type="dxa" w:w="1441"/>
            <w:shd w:fill="E8F0FE" w:val="clear"/>
          </w:tcPr>
          <w:p>
            <w:pPr>
              <w:jc w:val="center"/>
            </w:pPr>
            <w:r/>
            <w:r>
              <w:rPr>
                <w:rFonts w:ascii="宋体" w:hAnsi="宋体" w:eastAsia="宋体"/>
                <w:sz w:val="17"/>
              </w:rPr>
              <w:t>ECG波形</w:t>
            </w:r>
          </w:p>
        </w:tc>
        <w:tc>
          <w:tcPr>
            <w:tcW w:type="dxa" w:w="1441"/>
            <w:shd w:fill="E8F0FE" w:val="clear"/>
          </w:tcPr>
          <w:p>
            <w:pPr>
              <w:jc w:val="center"/>
            </w:pPr>
            <w:r/>
            <w:r>
              <w:rPr>
                <w:rFonts w:ascii="宋体" w:hAnsi="宋体" w:eastAsia="宋体"/>
                <w:sz w:val="17"/>
              </w:rPr>
              <w:t>130 Hz</w:t>
            </w:r>
          </w:p>
        </w:tc>
        <w:tc>
          <w:tcPr>
            <w:tcW w:type="dxa" w:w="1441"/>
            <w:shd w:fill="E8F0FE" w:val="clear"/>
          </w:tcPr>
          <w:p>
            <w:pPr>
              <w:jc w:val="center"/>
            </w:pPr>
            <w:r/>
            <w:r>
              <w:rPr>
                <w:rFonts w:ascii="宋体" w:hAnsi="宋体" w:eastAsia="宋体"/>
                <w:sz w:val="17"/>
              </w:rPr>
              <w:t>mean_hr, hr_zone</w:t>
            </w:r>
          </w:p>
        </w:tc>
        <w:tc>
          <w:tcPr>
            <w:tcW w:type="dxa" w:w="1441"/>
            <w:shd w:fill="E8F0FE" w:val="clear"/>
          </w:tcPr>
          <w:p>
            <w:pPr>
              <w:jc w:val="center"/>
            </w:pPr>
            <w:r/>
            <w:r>
              <w:rPr>
                <w:rFonts w:ascii="宋体" w:hAnsi="宋体" w:eastAsia="宋体"/>
                <w:sz w:val="17"/>
              </w:rPr>
              <w:t>身</w:t>
            </w:r>
          </w:p>
        </w:tc>
        <w:tc>
          <w:tcPr>
            <w:tcW w:type="dxa" w:w="1441"/>
            <w:shd w:fill="E8F0FE" w:val="clear"/>
          </w:tcPr>
          <w:p>
            <w:pPr>
              <w:jc w:val="center"/>
            </w:pPr>
            <w:r/>
            <w:r>
              <w:rPr>
                <w:rFonts w:ascii="宋体" w:hAnsi="宋体" w:eastAsia="宋体"/>
                <w:sz w:val="17"/>
              </w:rPr>
              <w:t>实时运动负荷</w:t>
            </w:r>
          </w:p>
        </w:tc>
      </w:tr>
      <w:tr>
        <w:tc>
          <w:tcPr>
            <w:tcW w:type="dxa" w:w="1441"/>
          </w:tcPr>
          <w:p>
            <w:pPr>
              <w:jc w:val="center"/>
            </w:pPr>
            <w:r/>
            <w:r>
              <w:rPr>
                <w:rFonts w:ascii="宋体" w:hAnsi="宋体" w:eastAsia="宋体"/>
                <w:sz w:val="17"/>
              </w:rPr>
              <w:t>Polar H10</w:t>
            </w:r>
          </w:p>
        </w:tc>
        <w:tc>
          <w:tcPr>
            <w:tcW w:type="dxa" w:w="1441"/>
          </w:tcPr>
          <w:p>
            <w:pPr>
              <w:jc w:val="center"/>
            </w:pPr>
            <w:r/>
            <w:r>
              <w:rPr>
                <w:rFonts w:ascii="宋体" w:hAnsi="宋体" w:eastAsia="宋体"/>
                <w:sz w:val="17"/>
              </w:rPr>
              <w:t>RR间期序列</w:t>
            </w:r>
          </w:p>
        </w:tc>
        <w:tc>
          <w:tcPr>
            <w:tcW w:type="dxa" w:w="1441"/>
          </w:tcPr>
          <w:p>
            <w:pPr>
              <w:jc w:val="center"/>
            </w:pPr>
            <w:r/>
            <w:r>
              <w:rPr>
                <w:rFonts w:ascii="宋体" w:hAnsi="宋体" w:eastAsia="宋体"/>
                <w:sz w:val="17"/>
              </w:rPr>
              <w:t>逐拍</w:t>
            </w:r>
          </w:p>
        </w:tc>
        <w:tc>
          <w:tcPr>
            <w:tcW w:type="dxa" w:w="1441"/>
          </w:tcPr>
          <w:p>
            <w:pPr>
              <w:jc w:val="center"/>
            </w:pPr>
            <w:r/>
            <w:r>
              <w:rPr>
                <w:rFonts w:ascii="宋体" w:hAnsi="宋体" w:eastAsia="宋体"/>
                <w:sz w:val="17"/>
              </w:rPr>
              <w:t>SDNN, RMSSD, pNN50</w:t>
            </w:r>
          </w:p>
        </w:tc>
        <w:tc>
          <w:tcPr>
            <w:tcW w:type="dxa" w:w="1441"/>
          </w:tcPr>
          <w:p>
            <w:pPr>
              <w:jc w:val="center"/>
            </w:pPr>
            <w:r/>
            <w:r>
              <w:rPr>
                <w:rFonts w:ascii="宋体" w:hAnsi="宋体" w:eastAsia="宋体"/>
                <w:sz w:val="17"/>
              </w:rPr>
              <w:t>心</w:t>
            </w:r>
          </w:p>
        </w:tc>
        <w:tc>
          <w:tcPr>
            <w:tcW w:type="dxa" w:w="1441"/>
          </w:tcPr>
          <w:p>
            <w:pPr>
              <w:jc w:val="center"/>
            </w:pPr>
            <w:r/>
            <w:r>
              <w:rPr>
                <w:rFonts w:ascii="宋体" w:hAnsi="宋体" w:eastAsia="宋体"/>
                <w:sz w:val="17"/>
              </w:rPr>
              <w:t>副交感活性/压力水平</w:t>
            </w:r>
          </w:p>
        </w:tc>
      </w:tr>
      <w:tr>
        <w:tc>
          <w:tcPr>
            <w:tcW w:type="dxa" w:w="1441"/>
            <w:shd w:fill="E8F0FE" w:val="clear"/>
          </w:tcPr>
          <w:p>
            <w:pPr>
              <w:jc w:val="center"/>
            </w:pPr>
            <w:r/>
            <w:r>
              <w:rPr>
                <w:rFonts w:ascii="宋体" w:hAnsi="宋体" w:eastAsia="宋体"/>
                <w:sz w:val="17"/>
              </w:rPr>
              <w:t>Polar H10</w:t>
            </w:r>
          </w:p>
        </w:tc>
        <w:tc>
          <w:tcPr>
            <w:tcW w:type="dxa" w:w="1441"/>
            <w:shd w:fill="E8F0FE" w:val="clear"/>
          </w:tcPr>
          <w:p>
            <w:pPr>
              <w:jc w:val="center"/>
            </w:pPr>
            <w:r/>
            <w:r>
              <w:rPr>
                <w:rFonts w:ascii="宋体" w:hAnsi="宋体" w:eastAsia="宋体"/>
                <w:sz w:val="17"/>
              </w:rPr>
              <w:t>RR间期序列</w:t>
            </w:r>
          </w:p>
        </w:tc>
        <w:tc>
          <w:tcPr>
            <w:tcW w:type="dxa" w:w="1441"/>
            <w:shd w:fill="E8F0FE" w:val="clear"/>
          </w:tcPr>
          <w:p>
            <w:pPr>
              <w:jc w:val="center"/>
            </w:pPr>
            <w:r/>
            <w:r>
              <w:rPr>
                <w:rFonts w:ascii="宋体" w:hAnsi="宋体" w:eastAsia="宋体"/>
                <w:sz w:val="17"/>
              </w:rPr>
              <w:t>逐拍</w:t>
            </w:r>
          </w:p>
        </w:tc>
        <w:tc>
          <w:tcPr>
            <w:tcW w:type="dxa" w:w="1441"/>
            <w:shd w:fill="E8F0FE" w:val="clear"/>
          </w:tcPr>
          <w:p>
            <w:pPr>
              <w:jc w:val="center"/>
            </w:pPr>
            <w:r/>
            <w:r>
              <w:rPr>
                <w:rFonts w:ascii="宋体" w:hAnsi="宋体" w:eastAsia="宋体"/>
                <w:sz w:val="17"/>
              </w:rPr>
              <w:t>LF power, HF power, LF/HF</w:t>
            </w:r>
          </w:p>
        </w:tc>
        <w:tc>
          <w:tcPr>
            <w:tcW w:type="dxa" w:w="1441"/>
            <w:shd w:fill="E8F0FE" w:val="clear"/>
          </w:tcPr>
          <w:p>
            <w:pPr>
              <w:jc w:val="center"/>
            </w:pPr>
            <w:r/>
            <w:r>
              <w:rPr>
                <w:rFonts w:ascii="宋体" w:hAnsi="宋体" w:eastAsia="宋体"/>
                <w:sz w:val="17"/>
              </w:rPr>
              <w:t>心</w:t>
            </w:r>
          </w:p>
        </w:tc>
        <w:tc>
          <w:tcPr>
            <w:tcW w:type="dxa" w:w="1441"/>
            <w:shd w:fill="E8F0FE" w:val="clear"/>
          </w:tcPr>
          <w:p>
            <w:pPr>
              <w:jc w:val="center"/>
            </w:pPr>
            <w:r/>
            <w:r>
              <w:rPr>
                <w:rFonts w:ascii="宋体" w:hAnsi="宋体" w:eastAsia="宋体"/>
                <w:sz w:val="17"/>
              </w:rPr>
              <w:t>交感-副交感平衡</w:t>
            </w:r>
          </w:p>
        </w:tc>
      </w:tr>
      <w:tr>
        <w:tc>
          <w:tcPr>
            <w:tcW w:type="dxa" w:w="1441"/>
          </w:tcPr>
          <w:p>
            <w:pPr>
              <w:jc w:val="center"/>
            </w:pPr>
            <w:r/>
            <w:r>
              <w:rPr>
                <w:rFonts w:ascii="宋体" w:hAnsi="宋体" w:eastAsia="宋体"/>
                <w:sz w:val="17"/>
              </w:rPr>
              <w:t>Polar H10</w:t>
            </w:r>
          </w:p>
        </w:tc>
        <w:tc>
          <w:tcPr>
            <w:tcW w:type="dxa" w:w="1441"/>
          </w:tcPr>
          <w:p>
            <w:pPr>
              <w:jc w:val="center"/>
            </w:pPr>
            <w:r/>
            <w:r>
              <w:rPr>
                <w:rFonts w:ascii="宋体" w:hAnsi="宋体" w:eastAsia="宋体"/>
                <w:sz w:val="17"/>
              </w:rPr>
              <w:t>RR间期序列</w:t>
            </w:r>
          </w:p>
        </w:tc>
        <w:tc>
          <w:tcPr>
            <w:tcW w:type="dxa" w:w="1441"/>
          </w:tcPr>
          <w:p>
            <w:pPr>
              <w:jc w:val="center"/>
            </w:pPr>
            <w:r/>
            <w:r>
              <w:rPr>
                <w:rFonts w:ascii="宋体" w:hAnsi="宋体" w:eastAsia="宋体"/>
                <w:sz w:val="17"/>
              </w:rPr>
              <w:t>逐拍</w:t>
            </w:r>
          </w:p>
        </w:tc>
        <w:tc>
          <w:tcPr>
            <w:tcW w:type="dxa" w:w="1441"/>
          </w:tcPr>
          <w:p>
            <w:pPr>
              <w:jc w:val="center"/>
            </w:pPr>
            <w:r/>
            <w:r>
              <w:rPr>
                <w:rFonts w:ascii="宋体" w:hAnsi="宋体" w:eastAsia="宋体"/>
                <w:sz w:val="17"/>
              </w:rPr>
              <w:t>Sample Entropy</w:t>
            </w:r>
          </w:p>
        </w:tc>
        <w:tc>
          <w:tcPr>
            <w:tcW w:type="dxa" w:w="1441"/>
          </w:tcPr>
          <w:p>
            <w:pPr>
              <w:jc w:val="center"/>
            </w:pPr>
            <w:r/>
            <w:r>
              <w:rPr>
                <w:rFonts w:ascii="宋体" w:hAnsi="宋体" w:eastAsia="宋体"/>
                <w:sz w:val="17"/>
              </w:rPr>
              <w:t>脑(代理)</w:t>
            </w:r>
          </w:p>
        </w:tc>
        <w:tc>
          <w:tcPr>
            <w:tcW w:type="dxa" w:w="1441"/>
          </w:tcPr>
          <w:p>
            <w:pPr>
              <w:jc w:val="center"/>
            </w:pPr>
            <w:r/>
            <w:r>
              <w:rPr>
                <w:rFonts w:ascii="宋体" w:hAnsi="宋体" w:eastAsia="宋体"/>
                <w:sz w:val="17"/>
              </w:rPr>
              <w:t>自主神经调控复杂度</w:t>
            </w:r>
          </w:p>
        </w:tc>
      </w:tr>
      <w:tr>
        <w:tc>
          <w:tcPr>
            <w:tcW w:type="dxa" w:w="1441"/>
            <w:shd w:fill="E8F0FE" w:val="clear"/>
          </w:tcPr>
          <w:p>
            <w:pPr>
              <w:jc w:val="center"/>
            </w:pPr>
            <w:r/>
            <w:r>
              <w:rPr>
                <w:rFonts w:ascii="宋体" w:hAnsi="宋体" w:eastAsia="宋体"/>
                <w:sz w:val="17"/>
              </w:rPr>
              <w:t>Polar H10</w:t>
            </w:r>
          </w:p>
        </w:tc>
        <w:tc>
          <w:tcPr>
            <w:tcW w:type="dxa" w:w="1441"/>
            <w:shd w:fill="E8F0FE" w:val="clear"/>
          </w:tcPr>
          <w:p>
            <w:pPr>
              <w:jc w:val="center"/>
            </w:pPr>
            <w:r/>
            <w:r>
              <w:rPr>
                <w:rFonts w:ascii="宋体" w:hAnsi="宋体" w:eastAsia="宋体"/>
                <w:sz w:val="17"/>
              </w:rPr>
              <w:t>RR间期序列</w:t>
            </w:r>
          </w:p>
        </w:tc>
        <w:tc>
          <w:tcPr>
            <w:tcW w:type="dxa" w:w="1441"/>
            <w:shd w:fill="E8F0FE" w:val="clear"/>
          </w:tcPr>
          <w:p>
            <w:pPr>
              <w:jc w:val="center"/>
            </w:pPr>
            <w:r/>
            <w:r>
              <w:rPr>
                <w:rFonts w:ascii="宋体" w:hAnsi="宋体" w:eastAsia="宋体"/>
                <w:sz w:val="17"/>
              </w:rPr>
              <w:t>逐拍</w:t>
            </w:r>
          </w:p>
        </w:tc>
        <w:tc>
          <w:tcPr>
            <w:tcW w:type="dxa" w:w="1441"/>
            <w:shd w:fill="E8F0FE" w:val="clear"/>
          </w:tcPr>
          <w:p>
            <w:pPr>
              <w:jc w:val="center"/>
            </w:pPr>
            <w:r/>
            <w:r>
              <w:rPr>
                <w:rFonts w:ascii="宋体" w:hAnsi="宋体" w:eastAsia="宋体"/>
                <w:sz w:val="17"/>
              </w:rPr>
              <w:t>Baevsky SI</w:t>
            </w:r>
          </w:p>
        </w:tc>
        <w:tc>
          <w:tcPr>
            <w:tcW w:type="dxa" w:w="1441"/>
            <w:shd w:fill="E8F0FE" w:val="clear"/>
          </w:tcPr>
          <w:p>
            <w:pPr>
              <w:jc w:val="center"/>
            </w:pPr>
            <w:r/>
            <w:r>
              <w:rPr>
                <w:rFonts w:ascii="宋体" w:hAnsi="宋体" w:eastAsia="宋体"/>
                <w:sz w:val="17"/>
              </w:rPr>
              <w:t>心</w:t>
            </w:r>
          </w:p>
        </w:tc>
        <w:tc>
          <w:tcPr>
            <w:tcW w:type="dxa" w:w="1441"/>
            <w:shd w:fill="E8F0FE" w:val="clear"/>
          </w:tcPr>
          <w:p>
            <w:pPr>
              <w:jc w:val="center"/>
            </w:pPr>
            <w:r/>
            <w:r>
              <w:rPr>
                <w:rFonts w:ascii="宋体" w:hAnsi="宋体" w:eastAsia="宋体"/>
                <w:sz w:val="17"/>
              </w:rPr>
              <w:t>综合压力指数</w:t>
            </w:r>
          </w:p>
        </w:tc>
      </w:tr>
      <w:tr>
        <w:tc>
          <w:tcPr>
            <w:tcW w:type="dxa" w:w="1441"/>
          </w:tcPr>
          <w:p>
            <w:pPr>
              <w:jc w:val="center"/>
            </w:pPr>
            <w:r/>
            <w:r>
              <w:rPr>
                <w:rFonts w:ascii="宋体" w:hAnsi="宋体" w:eastAsia="宋体"/>
                <w:sz w:val="17"/>
              </w:rPr>
              <w:t>VR 6DoF追踪</w:t>
            </w:r>
          </w:p>
        </w:tc>
        <w:tc>
          <w:tcPr>
            <w:tcW w:type="dxa" w:w="1441"/>
          </w:tcPr>
          <w:p>
            <w:pPr>
              <w:jc w:val="center"/>
            </w:pPr>
            <w:r/>
            <w:r>
              <w:rPr>
                <w:rFonts w:ascii="宋体" w:hAnsi="宋体" w:eastAsia="宋体"/>
                <w:sz w:val="17"/>
              </w:rPr>
              <w:t>头部位置+旋转</w:t>
            </w:r>
          </w:p>
        </w:tc>
        <w:tc>
          <w:tcPr>
            <w:tcW w:type="dxa" w:w="1441"/>
          </w:tcPr>
          <w:p>
            <w:pPr>
              <w:jc w:val="center"/>
            </w:pPr>
            <w:r/>
            <w:r>
              <w:rPr>
                <w:rFonts w:ascii="宋体" w:hAnsi="宋体" w:eastAsia="宋体"/>
                <w:sz w:val="17"/>
              </w:rPr>
              <w:t>~90 Hz</w:t>
            </w:r>
          </w:p>
        </w:tc>
        <w:tc>
          <w:tcPr>
            <w:tcW w:type="dxa" w:w="1441"/>
          </w:tcPr>
          <w:p>
            <w:pPr>
              <w:jc w:val="center"/>
            </w:pPr>
            <w:r/>
            <w:r>
              <w:rPr>
                <w:rFonts w:ascii="宋体" w:hAnsi="宋体" w:eastAsia="宋体"/>
                <w:sz w:val="17"/>
              </w:rPr>
              <w:t>head_smoothness, posture_stability</w:t>
            </w:r>
          </w:p>
        </w:tc>
        <w:tc>
          <w:tcPr>
            <w:tcW w:type="dxa" w:w="1441"/>
          </w:tcPr>
          <w:p>
            <w:pPr>
              <w:jc w:val="center"/>
            </w:pPr>
            <w:r/>
            <w:r>
              <w:rPr>
                <w:rFonts w:ascii="宋体" w:hAnsi="宋体" w:eastAsia="宋体"/>
                <w:sz w:val="17"/>
              </w:rPr>
              <w:t>身</w:t>
            </w:r>
          </w:p>
        </w:tc>
        <w:tc>
          <w:tcPr>
            <w:tcW w:type="dxa" w:w="1441"/>
          </w:tcPr>
          <w:p>
            <w:pPr>
              <w:jc w:val="center"/>
            </w:pPr>
            <w:r/>
            <w:r>
              <w:rPr>
                <w:rFonts w:ascii="宋体" w:hAnsi="宋体" w:eastAsia="宋体"/>
                <w:sz w:val="17"/>
              </w:rPr>
              <w:t>运动控制质量</w:t>
            </w:r>
          </w:p>
        </w:tc>
      </w:tr>
      <w:tr>
        <w:tc>
          <w:tcPr>
            <w:tcW w:type="dxa" w:w="1441"/>
            <w:shd w:fill="E8F0FE" w:val="clear"/>
          </w:tcPr>
          <w:p>
            <w:pPr>
              <w:jc w:val="center"/>
            </w:pPr>
            <w:r/>
            <w:r>
              <w:rPr>
                <w:rFonts w:ascii="宋体" w:hAnsi="宋体" w:eastAsia="宋体"/>
                <w:sz w:val="17"/>
              </w:rPr>
              <w:t>VR 手部追踪</w:t>
            </w:r>
          </w:p>
        </w:tc>
        <w:tc>
          <w:tcPr>
            <w:tcW w:type="dxa" w:w="1441"/>
            <w:shd w:fill="E8F0FE" w:val="clear"/>
          </w:tcPr>
          <w:p>
            <w:pPr>
              <w:jc w:val="center"/>
            </w:pPr>
            <w:r/>
            <w:r>
              <w:rPr>
                <w:rFonts w:ascii="宋体" w:hAnsi="宋体" w:eastAsia="宋体"/>
                <w:sz w:val="17"/>
              </w:rPr>
              <w:t>23关节3D坐标</w:t>
            </w:r>
          </w:p>
        </w:tc>
        <w:tc>
          <w:tcPr>
            <w:tcW w:type="dxa" w:w="1441"/>
            <w:shd w:fill="E8F0FE" w:val="clear"/>
          </w:tcPr>
          <w:p>
            <w:pPr>
              <w:jc w:val="center"/>
            </w:pPr>
            <w:r/>
            <w:r>
              <w:rPr>
                <w:rFonts w:ascii="宋体" w:hAnsi="宋体" w:eastAsia="宋体"/>
                <w:sz w:val="17"/>
              </w:rPr>
              <w:t>~30 Hz</w:t>
            </w:r>
          </w:p>
        </w:tc>
        <w:tc>
          <w:tcPr>
            <w:tcW w:type="dxa" w:w="1441"/>
            <w:shd w:fill="E8F0FE" w:val="clear"/>
          </w:tcPr>
          <w:p>
            <w:pPr>
              <w:jc w:val="center"/>
            </w:pPr>
            <w:r/>
            <w:r>
              <w:rPr>
                <w:rFonts w:ascii="宋体" w:hAnsi="宋体" w:eastAsia="宋体"/>
                <w:sz w:val="17"/>
              </w:rPr>
              <w:t>trajectory_length, joint_angle_range</w:t>
            </w:r>
          </w:p>
        </w:tc>
        <w:tc>
          <w:tcPr>
            <w:tcW w:type="dxa" w:w="1441"/>
            <w:shd w:fill="E8F0FE" w:val="clear"/>
          </w:tcPr>
          <w:p>
            <w:pPr>
              <w:jc w:val="center"/>
            </w:pPr>
            <w:r/>
            <w:r>
              <w:rPr>
                <w:rFonts w:ascii="宋体" w:hAnsi="宋体" w:eastAsia="宋体"/>
                <w:sz w:val="17"/>
              </w:rPr>
              <w:t>身</w:t>
            </w:r>
          </w:p>
        </w:tc>
        <w:tc>
          <w:tcPr>
            <w:tcW w:type="dxa" w:w="1441"/>
            <w:shd w:fill="E8F0FE" w:val="clear"/>
          </w:tcPr>
          <w:p>
            <w:pPr>
              <w:jc w:val="center"/>
            </w:pPr>
            <w:r/>
            <w:r>
              <w:rPr>
                <w:rFonts w:ascii="宋体" w:hAnsi="宋体" w:eastAsia="宋体"/>
                <w:sz w:val="17"/>
              </w:rPr>
              <w:t>动作幅度/完成度</w:t>
            </w:r>
          </w:p>
        </w:tc>
      </w:tr>
      <w:tr>
        <w:tc>
          <w:tcPr>
            <w:tcW w:type="dxa" w:w="1441"/>
          </w:tcPr>
          <w:p>
            <w:pPr>
              <w:jc w:val="center"/>
            </w:pPr>
            <w:r/>
            <w:r>
              <w:rPr>
                <w:rFonts w:ascii="宋体" w:hAnsi="宋体" w:eastAsia="宋体"/>
                <w:sz w:val="17"/>
              </w:rPr>
              <w:t>VR 手柄IMU</w:t>
            </w:r>
          </w:p>
        </w:tc>
        <w:tc>
          <w:tcPr>
            <w:tcW w:type="dxa" w:w="1441"/>
          </w:tcPr>
          <w:p>
            <w:pPr>
              <w:jc w:val="center"/>
            </w:pPr>
            <w:r/>
            <w:r>
              <w:rPr>
                <w:rFonts w:ascii="宋体" w:hAnsi="宋体" w:eastAsia="宋体"/>
                <w:sz w:val="17"/>
              </w:rPr>
              <w:t>加速度+角速度</w:t>
            </w:r>
          </w:p>
        </w:tc>
        <w:tc>
          <w:tcPr>
            <w:tcW w:type="dxa" w:w="1441"/>
          </w:tcPr>
          <w:p>
            <w:pPr>
              <w:jc w:val="center"/>
            </w:pPr>
            <w:r/>
            <w:r>
              <w:rPr>
                <w:rFonts w:ascii="宋体" w:hAnsi="宋体" w:eastAsia="宋体"/>
                <w:sz w:val="17"/>
              </w:rPr>
              <w:t>~100 Hz</w:t>
            </w:r>
          </w:p>
        </w:tc>
        <w:tc>
          <w:tcPr>
            <w:tcW w:type="dxa" w:w="1441"/>
          </w:tcPr>
          <w:p>
            <w:pPr>
              <w:jc w:val="center"/>
            </w:pPr>
            <w:r/>
            <w:r>
              <w:rPr>
                <w:rFonts w:ascii="宋体" w:hAnsi="宋体" w:eastAsia="宋体"/>
                <w:sz w:val="17"/>
              </w:rPr>
              <w:t>acc_peak, movement_freq</w:t>
            </w:r>
          </w:p>
        </w:tc>
        <w:tc>
          <w:tcPr>
            <w:tcW w:type="dxa" w:w="1441"/>
          </w:tcPr>
          <w:p>
            <w:pPr>
              <w:jc w:val="center"/>
            </w:pPr>
            <w:r/>
            <w:r>
              <w:rPr>
                <w:rFonts w:ascii="宋体" w:hAnsi="宋体" w:eastAsia="宋体"/>
                <w:sz w:val="17"/>
              </w:rPr>
              <w:t>身</w:t>
            </w:r>
          </w:p>
        </w:tc>
        <w:tc>
          <w:tcPr>
            <w:tcW w:type="dxa" w:w="1441"/>
          </w:tcPr>
          <w:p>
            <w:pPr>
              <w:jc w:val="center"/>
            </w:pPr>
            <w:r/>
            <w:r>
              <w:rPr>
                <w:rFonts w:ascii="宋体" w:hAnsi="宋体" w:eastAsia="宋体"/>
                <w:sz w:val="17"/>
              </w:rPr>
              <w:t>运动爆发力/节奏</w:t>
            </w:r>
          </w:p>
        </w:tc>
      </w:tr>
      <w:tr>
        <w:tc>
          <w:tcPr>
            <w:tcW w:type="dxa" w:w="1441"/>
            <w:shd w:fill="E8F0FE" w:val="clear"/>
          </w:tcPr>
          <w:p>
            <w:pPr>
              <w:jc w:val="center"/>
            </w:pPr>
            <w:r/>
            <w:r>
              <w:rPr>
                <w:rFonts w:ascii="宋体" w:hAnsi="宋体" w:eastAsia="宋体"/>
                <w:sz w:val="17"/>
              </w:rPr>
              <w:t>VR 认知测试</w:t>
            </w:r>
          </w:p>
        </w:tc>
        <w:tc>
          <w:tcPr>
            <w:tcW w:type="dxa" w:w="1441"/>
            <w:shd w:fill="E8F0FE" w:val="clear"/>
          </w:tcPr>
          <w:p>
            <w:pPr>
              <w:jc w:val="center"/>
            </w:pPr>
            <w:r/>
            <w:r>
              <w:rPr>
                <w:rFonts w:ascii="宋体" w:hAnsi="宋体" w:eastAsia="宋体"/>
                <w:sz w:val="17"/>
              </w:rPr>
              <w:t>行为响应</w:t>
            </w:r>
          </w:p>
        </w:tc>
        <w:tc>
          <w:tcPr>
            <w:tcW w:type="dxa" w:w="1441"/>
            <w:shd w:fill="E8F0FE" w:val="clear"/>
          </w:tcPr>
          <w:p>
            <w:pPr>
              <w:jc w:val="center"/>
            </w:pPr>
            <w:r/>
            <w:r>
              <w:rPr>
                <w:rFonts w:ascii="宋体" w:hAnsi="宋体" w:eastAsia="宋体"/>
                <w:sz w:val="17"/>
              </w:rPr>
              <w:t>按需</w:t>
            </w:r>
          </w:p>
        </w:tc>
        <w:tc>
          <w:tcPr>
            <w:tcW w:type="dxa" w:w="1441"/>
            <w:shd w:fill="E8F0FE" w:val="clear"/>
          </w:tcPr>
          <w:p>
            <w:pPr>
              <w:jc w:val="center"/>
            </w:pPr>
            <w:r/>
            <w:r>
              <w:rPr>
                <w:rFonts w:ascii="宋体" w:hAnsi="宋体" w:eastAsia="宋体"/>
                <w:sz w:val="17"/>
              </w:rPr>
              <w:t>reaction_time, stroop_interference</w:t>
            </w:r>
          </w:p>
        </w:tc>
        <w:tc>
          <w:tcPr>
            <w:tcW w:type="dxa" w:w="1441"/>
            <w:shd w:fill="E8F0FE" w:val="clear"/>
          </w:tcPr>
          <w:p>
            <w:pPr>
              <w:jc w:val="center"/>
            </w:pPr>
            <w:r/>
            <w:r>
              <w:rPr>
                <w:rFonts w:ascii="宋体" w:hAnsi="宋体" w:eastAsia="宋体"/>
                <w:sz w:val="17"/>
              </w:rPr>
              <w:t>脑(代理)</w:t>
            </w:r>
          </w:p>
        </w:tc>
        <w:tc>
          <w:tcPr>
            <w:tcW w:type="dxa" w:w="1441"/>
            <w:shd w:fill="E8F0FE" w:val="clear"/>
          </w:tcPr>
          <w:p>
            <w:pPr>
              <w:jc w:val="center"/>
            </w:pPr>
            <w:r/>
            <w:r>
              <w:rPr>
                <w:rFonts w:ascii="宋体" w:hAnsi="宋体" w:eastAsia="宋体"/>
                <w:sz w:val="17"/>
              </w:rPr>
              <w:t>执行功能/处理速度</w:t>
            </w:r>
          </w:p>
        </w:tc>
      </w:tr>
      <w:tr>
        <w:tc>
          <w:tcPr>
            <w:tcW w:type="dxa" w:w="1441"/>
          </w:tcPr>
          <w:p>
            <w:pPr>
              <w:jc w:val="center"/>
            </w:pPr>
            <w:r/>
            <w:r>
              <w:rPr>
                <w:rFonts w:ascii="宋体" w:hAnsi="宋体" w:eastAsia="宋体"/>
                <w:sz w:val="17"/>
              </w:rPr>
              <w:t>VR 认知测试</w:t>
            </w:r>
          </w:p>
        </w:tc>
        <w:tc>
          <w:tcPr>
            <w:tcW w:type="dxa" w:w="1441"/>
          </w:tcPr>
          <w:p>
            <w:pPr>
              <w:jc w:val="center"/>
            </w:pPr>
            <w:r/>
            <w:r>
              <w:rPr>
                <w:rFonts w:ascii="宋体" w:hAnsi="宋体" w:eastAsia="宋体"/>
                <w:sz w:val="17"/>
              </w:rPr>
              <w:t>行为响应</w:t>
            </w:r>
          </w:p>
        </w:tc>
        <w:tc>
          <w:tcPr>
            <w:tcW w:type="dxa" w:w="1441"/>
          </w:tcPr>
          <w:p>
            <w:pPr>
              <w:jc w:val="center"/>
            </w:pPr>
            <w:r/>
            <w:r>
              <w:rPr>
                <w:rFonts w:ascii="宋体" w:hAnsi="宋体" w:eastAsia="宋体"/>
                <w:sz w:val="17"/>
              </w:rPr>
              <w:t>按需</w:t>
            </w:r>
          </w:p>
        </w:tc>
        <w:tc>
          <w:tcPr>
            <w:tcW w:type="dxa" w:w="1441"/>
          </w:tcPr>
          <w:p>
            <w:pPr>
              <w:jc w:val="center"/>
            </w:pPr>
            <w:r/>
            <w:r>
              <w:rPr>
                <w:rFonts w:ascii="宋体" w:hAnsi="宋体" w:eastAsia="宋体"/>
                <w:sz w:val="17"/>
              </w:rPr>
              <w:t>nback_d_prime, attention_decay</w:t>
            </w:r>
          </w:p>
        </w:tc>
        <w:tc>
          <w:tcPr>
            <w:tcW w:type="dxa" w:w="1441"/>
          </w:tcPr>
          <w:p>
            <w:pPr>
              <w:jc w:val="center"/>
            </w:pPr>
            <w:r/>
            <w:r>
              <w:rPr>
                <w:rFonts w:ascii="宋体" w:hAnsi="宋体" w:eastAsia="宋体"/>
                <w:sz w:val="17"/>
              </w:rPr>
              <w:t>脑(代理)</w:t>
            </w:r>
          </w:p>
        </w:tc>
        <w:tc>
          <w:tcPr>
            <w:tcW w:type="dxa" w:w="1441"/>
          </w:tcPr>
          <w:p>
            <w:pPr>
              <w:jc w:val="center"/>
            </w:pPr>
            <w:r/>
            <w:r>
              <w:rPr>
                <w:rFonts w:ascii="宋体" w:hAnsi="宋体" w:eastAsia="宋体"/>
                <w:sz w:val="17"/>
              </w:rPr>
              <w:t>工作记忆/注意力</w:t>
            </w:r>
          </w:p>
        </w:tc>
      </w:tr>
    </w:tbl>
    <w:p/>
    <w:p>
      <w:pPr>
        <w:pStyle w:val="Heading2"/>
      </w:pPr>
      <w:r>
        <w:rPr>
          <w:rFonts w:ascii="黑体" w:hAnsi="黑体" w:eastAsia="黑体"/>
        </w:rPr>
        <w:t>3.2  高精度方案（方案二）</w:t>
      </w:r>
    </w:p>
    <w:p>
      <w:pPr>
        <w:spacing w:line="360" w:lineRule="auto" w:after="0" w:before="0"/>
        <w:ind w:firstLine="420"/>
      </w:pPr>
      <w:r>
        <w:rPr>
          <w:rFonts w:ascii="宋体" w:hAnsi="宋体" w:eastAsia="宋体"/>
          <w:b w:val="0"/>
          <w:sz w:val="24"/>
        </w:rPr>
        <w:t>方案二在方案一的基础上增加了两个专用传感器，实现各维度的直接生理测量：（1）Muse S脑电头带——4通道干电极EEG（AF7、AF8、TP9、TP10，采样率256 Hz），提供前额叶与颞顶叶皮层电活动数据，支持基于Davidson前额叶不对称模型的情绪效价量化[12]、基于Theta/Beta比值的注意力量化[14-16]，以及Alpha峰值频率（IAF）的认知处理速度评估[20]；（2）Empatica E4腕带——提供皮肤电导（GSR/EDA，4 Hz）、血容量脉搏（PPG，64 Hz）、皮肤温度（4 Hz）与3轴加速度（32 Hz），支持基于cvxEDA算法的皮肤电导tonic/phasic分解[21]，以及基于Russell模型的高精度情绪唤醒度评估[11]。</w:t>
      </w:r>
    </w:p>
    <w:p>
      <w:pPr>
        <w:spacing w:line="360" w:lineRule="auto" w:after="0" w:before="240"/>
        <w:jc w:val="center"/>
      </w:pPr>
      <w:r>
        <w:rPr>
          <w:rFonts w:ascii="宋体" w:hAnsi="宋体" w:eastAsia="宋体"/>
          <w:b/>
          <w:sz w:val="18"/>
        </w:rPr>
        <w:t>表2  两套硬件方案的对比</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4472C4" w:val="clear"/>
          </w:tcPr>
          <w:p>
            <w:pPr>
              <w:jc w:val="center"/>
            </w:pPr>
            <w:r/>
            <w:r>
              <w:rPr>
                <w:rFonts w:ascii="宋体" w:hAnsi="宋体" w:eastAsia="宋体"/>
                <w:b/>
                <w:color w:val="FFFFFF"/>
                <w:sz w:val="18"/>
              </w:rPr>
              <w:t>对比维度</w:t>
            </w:r>
          </w:p>
        </w:tc>
        <w:tc>
          <w:tcPr>
            <w:tcW w:type="dxa" w:w="2882"/>
            <w:shd w:fill="4472C4" w:val="clear"/>
          </w:tcPr>
          <w:p>
            <w:pPr>
              <w:jc w:val="center"/>
            </w:pPr>
            <w:r/>
            <w:r>
              <w:rPr>
                <w:rFonts w:ascii="宋体" w:hAnsi="宋体" w:eastAsia="宋体"/>
                <w:b/>
                <w:color w:val="FFFFFF"/>
                <w:sz w:val="18"/>
              </w:rPr>
              <w:t>方案一（低成本）</w:t>
            </w:r>
          </w:p>
        </w:tc>
        <w:tc>
          <w:tcPr>
            <w:tcW w:type="dxa" w:w="2882"/>
            <w:shd w:fill="4472C4" w:val="clear"/>
          </w:tcPr>
          <w:p>
            <w:pPr>
              <w:jc w:val="center"/>
            </w:pPr>
            <w:r/>
            <w:r>
              <w:rPr>
                <w:rFonts w:ascii="宋体" w:hAnsi="宋体" w:eastAsia="宋体"/>
                <w:b/>
                <w:color w:val="FFFFFF"/>
                <w:sz w:val="18"/>
              </w:rPr>
              <w:t>方案二（高精度）</w:t>
            </w:r>
          </w:p>
        </w:tc>
      </w:tr>
      <w:tr>
        <w:tc>
          <w:tcPr>
            <w:tcW w:type="dxa" w:w="2882"/>
            <w:shd w:fill="E8F0FE" w:val="clear"/>
          </w:tcPr>
          <w:p>
            <w:pPr>
              <w:jc w:val="center"/>
            </w:pPr>
            <w:r/>
            <w:r>
              <w:rPr>
                <w:rFonts w:ascii="宋体" w:hAnsi="宋体" w:eastAsia="宋体"/>
                <w:sz w:val="17"/>
              </w:rPr>
              <w:t>传感器</w:t>
            </w:r>
          </w:p>
        </w:tc>
        <w:tc>
          <w:tcPr>
            <w:tcW w:type="dxa" w:w="2882"/>
            <w:shd w:fill="E8F0FE" w:val="clear"/>
          </w:tcPr>
          <w:p>
            <w:pPr>
              <w:jc w:val="center"/>
            </w:pPr>
            <w:r/>
            <w:r>
              <w:rPr>
                <w:rFonts w:ascii="宋体" w:hAnsi="宋体" w:eastAsia="宋体"/>
                <w:sz w:val="17"/>
              </w:rPr>
              <w:t>Polar H10 + VR内置</w:t>
            </w:r>
          </w:p>
        </w:tc>
        <w:tc>
          <w:tcPr>
            <w:tcW w:type="dxa" w:w="2882"/>
            <w:shd w:fill="E8F0FE" w:val="clear"/>
          </w:tcPr>
          <w:p>
            <w:pPr>
              <w:jc w:val="center"/>
            </w:pPr>
            <w:r/>
            <w:r>
              <w:rPr>
                <w:rFonts w:ascii="宋体" w:hAnsi="宋体" w:eastAsia="宋体"/>
                <w:sz w:val="17"/>
              </w:rPr>
              <w:t>Polar H10 + Muse S + Empatica E4 + VR内置</w:t>
            </w:r>
          </w:p>
        </w:tc>
      </w:tr>
      <w:tr>
        <w:tc>
          <w:tcPr>
            <w:tcW w:type="dxa" w:w="2882"/>
          </w:tcPr>
          <w:p>
            <w:pPr>
              <w:jc w:val="center"/>
            </w:pPr>
            <w:r/>
            <w:r>
              <w:rPr>
                <w:rFonts w:ascii="宋体" w:hAnsi="宋体" w:eastAsia="宋体"/>
                <w:sz w:val="17"/>
              </w:rPr>
              <w:t>总成本</w:t>
            </w:r>
          </w:p>
        </w:tc>
        <w:tc>
          <w:tcPr>
            <w:tcW w:type="dxa" w:w="2882"/>
          </w:tcPr>
          <w:p>
            <w:pPr>
              <w:jc w:val="center"/>
            </w:pPr>
            <w:r/>
            <w:r>
              <w:rPr>
                <w:rFonts w:ascii="宋体" w:hAnsi="宋体" w:eastAsia="宋体"/>
                <w:sz w:val="17"/>
              </w:rPr>
              <w:t>~¥600 ($80)</w:t>
            </w:r>
          </w:p>
        </w:tc>
        <w:tc>
          <w:tcPr>
            <w:tcW w:type="dxa" w:w="2882"/>
          </w:tcPr>
          <w:p>
            <w:pPr>
              <w:jc w:val="center"/>
            </w:pPr>
            <w:r/>
            <w:r>
              <w:rPr>
                <w:rFonts w:ascii="宋体" w:hAnsi="宋体" w:eastAsia="宋体"/>
                <w:sz w:val="17"/>
              </w:rPr>
              <w:t>~¥15,000 ($2,130)</w:t>
            </w:r>
          </w:p>
        </w:tc>
      </w:tr>
      <w:tr>
        <w:tc>
          <w:tcPr>
            <w:tcW w:type="dxa" w:w="2882"/>
            <w:shd w:fill="E8F0FE" w:val="clear"/>
          </w:tcPr>
          <w:p>
            <w:pPr>
              <w:jc w:val="center"/>
            </w:pPr>
            <w:r/>
            <w:r>
              <w:rPr>
                <w:rFonts w:ascii="宋体" w:hAnsi="宋体" w:eastAsia="宋体"/>
                <w:sz w:val="17"/>
              </w:rPr>
              <w:t>特征维度</w:t>
            </w:r>
          </w:p>
        </w:tc>
        <w:tc>
          <w:tcPr>
            <w:tcW w:type="dxa" w:w="2882"/>
            <w:shd w:fill="E8F0FE" w:val="clear"/>
          </w:tcPr>
          <w:p>
            <w:pPr>
              <w:jc w:val="center"/>
            </w:pPr>
            <w:r/>
            <w:r>
              <w:rPr>
                <w:rFonts w:ascii="宋体" w:hAnsi="宋体" w:eastAsia="宋体"/>
                <w:sz w:val="17"/>
              </w:rPr>
              <w:t>~12维</w:t>
            </w:r>
          </w:p>
        </w:tc>
        <w:tc>
          <w:tcPr>
            <w:tcW w:type="dxa" w:w="2882"/>
            <w:shd w:fill="E8F0FE" w:val="clear"/>
          </w:tcPr>
          <w:p>
            <w:pPr>
              <w:jc w:val="center"/>
            </w:pPr>
            <w:r/>
            <w:r>
              <w:rPr>
                <w:rFonts w:ascii="宋体" w:hAnsi="宋体" w:eastAsia="宋体"/>
                <w:sz w:val="17"/>
              </w:rPr>
              <w:t>~31维</w:t>
            </w:r>
          </w:p>
        </w:tc>
      </w:tr>
      <w:tr>
        <w:tc>
          <w:tcPr>
            <w:tcW w:type="dxa" w:w="2882"/>
          </w:tcPr>
          <w:p>
            <w:pPr>
              <w:jc w:val="center"/>
            </w:pPr>
            <w:r/>
            <w:r>
              <w:rPr>
                <w:rFonts w:ascii="宋体" w:hAnsi="宋体" w:eastAsia="宋体"/>
                <w:sz w:val="17"/>
              </w:rPr>
              <w:t>身体评估</w:t>
            </w:r>
          </w:p>
        </w:tc>
        <w:tc>
          <w:tcPr>
            <w:tcW w:type="dxa" w:w="2882"/>
          </w:tcPr>
          <w:p>
            <w:pPr>
              <w:jc w:val="center"/>
            </w:pPr>
            <w:r/>
            <w:r>
              <w:rPr>
                <w:rFonts w:ascii="宋体" w:hAnsi="宋体" w:eastAsia="宋体"/>
                <w:sz w:val="17"/>
              </w:rPr>
              <w:t>HR + HRV（直接）★★★★★</w:t>
            </w:r>
          </w:p>
        </w:tc>
        <w:tc>
          <w:tcPr>
            <w:tcW w:type="dxa" w:w="2882"/>
          </w:tcPr>
          <w:p>
            <w:pPr>
              <w:jc w:val="center"/>
            </w:pPr>
            <w:r/>
            <w:r>
              <w:rPr>
                <w:rFonts w:ascii="宋体" w:hAnsi="宋体" w:eastAsia="宋体"/>
                <w:sz w:val="17"/>
              </w:rPr>
              <w:t>HR + HRV（直接）★★★★★</w:t>
            </w:r>
          </w:p>
        </w:tc>
      </w:tr>
      <w:tr>
        <w:tc>
          <w:tcPr>
            <w:tcW w:type="dxa" w:w="2882"/>
            <w:shd w:fill="E8F0FE" w:val="clear"/>
          </w:tcPr>
          <w:p>
            <w:pPr>
              <w:jc w:val="center"/>
            </w:pPr>
            <w:r/>
            <w:r>
              <w:rPr>
                <w:rFonts w:ascii="宋体" w:hAnsi="宋体" w:eastAsia="宋体"/>
                <w:sz w:val="17"/>
              </w:rPr>
              <w:t>心理评估</w:t>
            </w:r>
          </w:p>
        </w:tc>
        <w:tc>
          <w:tcPr>
            <w:tcW w:type="dxa" w:w="2882"/>
            <w:shd w:fill="E8F0FE" w:val="clear"/>
          </w:tcPr>
          <w:p>
            <w:pPr>
              <w:jc w:val="center"/>
            </w:pPr>
            <w:r/>
            <w:r>
              <w:rPr>
                <w:rFonts w:ascii="宋体" w:hAnsi="宋体" w:eastAsia="宋体"/>
                <w:sz w:val="17"/>
              </w:rPr>
              <w:t>HRV间接指标 ★★★★</w:t>
            </w:r>
          </w:p>
        </w:tc>
        <w:tc>
          <w:tcPr>
            <w:tcW w:type="dxa" w:w="2882"/>
            <w:shd w:fill="E8F0FE" w:val="clear"/>
          </w:tcPr>
          <w:p>
            <w:pPr>
              <w:jc w:val="center"/>
            </w:pPr>
            <w:r/>
            <w:r>
              <w:rPr>
                <w:rFonts w:ascii="宋体" w:hAnsi="宋体" w:eastAsia="宋体"/>
                <w:sz w:val="17"/>
              </w:rPr>
              <w:t>EEG + GSR直接测量 ★★★★★</w:t>
            </w:r>
          </w:p>
        </w:tc>
      </w:tr>
      <w:tr>
        <w:tc>
          <w:tcPr>
            <w:tcW w:type="dxa" w:w="2882"/>
          </w:tcPr>
          <w:p>
            <w:pPr>
              <w:jc w:val="center"/>
            </w:pPr>
            <w:r/>
            <w:r>
              <w:rPr>
                <w:rFonts w:ascii="宋体" w:hAnsi="宋体" w:eastAsia="宋体"/>
                <w:sz w:val="17"/>
              </w:rPr>
              <w:t>脑功能评估</w:t>
            </w:r>
          </w:p>
        </w:tc>
        <w:tc>
          <w:tcPr>
            <w:tcW w:type="dxa" w:w="2882"/>
          </w:tcPr>
          <w:p>
            <w:pPr>
              <w:jc w:val="center"/>
            </w:pPr>
            <w:r/>
            <w:r>
              <w:rPr>
                <w:rFonts w:ascii="宋体" w:hAnsi="宋体" w:eastAsia="宋体"/>
                <w:sz w:val="17"/>
              </w:rPr>
              <w:t>VR认知测试（行为代理）★★★</w:t>
            </w:r>
          </w:p>
        </w:tc>
        <w:tc>
          <w:tcPr>
            <w:tcW w:type="dxa" w:w="2882"/>
          </w:tcPr>
          <w:p>
            <w:pPr>
              <w:jc w:val="center"/>
            </w:pPr>
            <w:r/>
            <w:r>
              <w:rPr>
                <w:rFonts w:ascii="宋体" w:hAnsi="宋体" w:eastAsia="宋体"/>
                <w:sz w:val="17"/>
              </w:rPr>
              <w:t>EEG直接 + 认知测试 ★★★★★</w:t>
            </w:r>
          </w:p>
        </w:tc>
      </w:tr>
      <w:tr>
        <w:tc>
          <w:tcPr>
            <w:tcW w:type="dxa" w:w="2882"/>
            <w:shd w:fill="E8F0FE" w:val="clear"/>
          </w:tcPr>
          <w:p>
            <w:pPr>
              <w:jc w:val="center"/>
            </w:pPr>
            <w:r/>
            <w:r>
              <w:rPr>
                <w:rFonts w:ascii="宋体" w:hAnsi="宋体" w:eastAsia="宋体"/>
                <w:sz w:val="17"/>
              </w:rPr>
              <w:t>情绪粒度</w:t>
            </w:r>
          </w:p>
        </w:tc>
        <w:tc>
          <w:tcPr>
            <w:tcW w:type="dxa" w:w="2882"/>
            <w:shd w:fill="E8F0FE" w:val="clear"/>
          </w:tcPr>
          <w:p>
            <w:pPr>
              <w:jc w:val="center"/>
            </w:pPr>
            <w:r/>
            <w:r>
              <w:rPr>
                <w:rFonts w:ascii="宋体" w:hAnsi="宋体" w:eastAsia="宋体"/>
                <w:sz w:val="17"/>
              </w:rPr>
              <w:t>压力/放松 二元判断</w:t>
            </w:r>
          </w:p>
        </w:tc>
        <w:tc>
          <w:tcPr>
            <w:tcW w:type="dxa" w:w="2882"/>
            <w:shd w:fill="E8F0FE" w:val="clear"/>
          </w:tcPr>
          <w:p>
            <w:pPr>
              <w:jc w:val="center"/>
            </w:pPr>
            <w:r/>
            <w:r>
              <w:rPr>
                <w:rFonts w:ascii="宋体" w:hAnsi="宋体" w:eastAsia="宋体"/>
                <w:sz w:val="17"/>
              </w:rPr>
              <w:t>效价-唤醒度 连续坐标定位</w:t>
            </w:r>
          </w:p>
        </w:tc>
      </w:tr>
      <w:tr>
        <w:tc>
          <w:tcPr>
            <w:tcW w:type="dxa" w:w="2882"/>
          </w:tcPr>
          <w:p>
            <w:pPr>
              <w:jc w:val="center"/>
            </w:pPr>
            <w:r/>
            <w:r>
              <w:rPr>
                <w:rFonts w:ascii="宋体" w:hAnsi="宋体" w:eastAsia="宋体"/>
                <w:sz w:val="17"/>
              </w:rPr>
              <w:t>注意力评估</w:t>
            </w:r>
          </w:p>
        </w:tc>
        <w:tc>
          <w:tcPr>
            <w:tcW w:type="dxa" w:w="2882"/>
          </w:tcPr>
          <w:p>
            <w:pPr>
              <w:jc w:val="center"/>
            </w:pPr>
            <w:r/>
            <w:r>
              <w:rPr>
                <w:rFonts w:ascii="宋体" w:hAnsi="宋体" w:eastAsia="宋体"/>
                <w:sz w:val="17"/>
              </w:rPr>
              <w:t>间接推断</w:t>
            </w:r>
          </w:p>
        </w:tc>
        <w:tc>
          <w:tcPr>
            <w:tcW w:type="dxa" w:w="2882"/>
          </w:tcPr>
          <w:p>
            <w:pPr>
              <w:jc w:val="center"/>
            </w:pPr>
            <w:r/>
            <w:r>
              <w:rPr>
                <w:rFonts w:ascii="宋体" w:hAnsi="宋体" w:eastAsia="宋体"/>
                <w:sz w:val="17"/>
              </w:rPr>
              <w:t>Theta/Beta比直接量化</w:t>
            </w:r>
          </w:p>
        </w:tc>
      </w:tr>
      <w:tr>
        <w:tc>
          <w:tcPr>
            <w:tcW w:type="dxa" w:w="2882"/>
            <w:shd w:fill="E8F0FE" w:val="clear"/>
          </w:tcPr>
          <w:p>
            <w:pPr>
              <w:jc w:val="center"/>
            </w:pPr>
            <w:r/>
            <w:r>
              <w:rPr>
                <w:rFonts w:ascii="宋体" w:hAnsi="宋体" w:eastAsia="宋体"/>
                <w:sz w:val="17"/>
              </w:rPr>
              <w:t>适用场景</w:t>
            </w:r>
          </w:p>
        </w:tc>
        <w:tc>
          <w:tcPr>
            <w:tcW w:type="dxa" w:w="2882"/>
            <w:shd w:fill="E8F0FE" w:val="clear"/>
          </w:tcPr>
          <w:p>
            <w:pPr>
              <w:jc w:val="center"/>
            </w:pPr>
            <w:r/>
            <w:r>
              <w:rPr>
                <w:rFonts w:ascii="宋体" w:hAnsi="宋体" w:eastAsia="宋体"/>
                <w:sz w:val="17"/>
              </w:rPr>
              <w:t>日常训练、大规模推广</w:t>
            </w:r>
          </w:p>
        </w:tc>
        <w:tc>
          <w:tcPr>
            <w:tcW w:type="dxa" w:w="2882"/>
            <w:shd w:fill="E8F0FE" w:val="clear"/>
          </w:tcPr>
          <w:p>
            <w:pPr>
              <w:jc w:val="center"/>
            </w:pPr>
            <w:r/>
            <w:r>
              <w:rPr>
                <w:rFonts w:ascii="宋体" w:hAnsi="宋体" w:eastAsia="宋体"/>
                <w:sz w:val="17"/>
              </w:rPr>
              <w:t>科研级精细评估、临床康复</w:t>
            </w:r>
          </w:p>
        </w:tc>
      </w:tr>
    </w:tbl>
    <w:p/>
    <w:p>
      <w:pPr>
        <w:pStyle w:val="Heading1"/>
      </w:pPr>
      <w:r>
        <w:rPr>
          <w:rFonts w:ascii="黑体" w:hAnsi="黑体" w:eastAsia="黑体"/>
        </w:rPr>
        <w:t>4  AI分析引擎设计</w:t>
      </w:r>
    </w:p>
    <w:p>
      <w:pPr>
        <w:spacing w:line="360" w:lineRule="auto" w:after="0" w:before="0"/>
        <w:ind w:firstLine="420"/>
      </w:pPr>
      <w:r>
        <w:rPr>
          <w:rFonts w:ascii="宋体" w:hAnsi="宋体" w:eastAsia="宋体"/>
          <w:b w:val="0"/>
          <w:sz w:val="24"/>
        </w:rPr>
        <w:t>AI分析引擎是系统的核心智能层，采用六层递进式可解释管道（Six-Tier Progressive Interpretable Pipeline）架构。与端到端的深度学习黑盒模型不同，本设计选择"规则引擎+经典机器学习"的混合策略，确保每一层的输入、处理逻辑与输出完全可追溯、可解释——这在涉及人体生理安全的健康干预场景中至关重要[19]。图2展示了六层管道的完整架构与数据流。</w:t>
      </w:r>
    </w:p>
    <w:p>
      <w:pPr>
        <w:spacing w:before="240" w:after="120"/>
        <w:jc w:val="center"/>
      </w:pPr>
      <w:r>
        <w:drawing>
          <wp:inline xmlns:a="http://schemas.openxmlformats.org/drawingml/2006/main" xmlns:pic="http://schemas.openxmlformats.org/drawingml/2006/picture">
            <wp:extent cx="5029200" cy="3061069"/>
            <wp:docPr id="2" name="Picture 2"/>
            <wp:cNvGraphicFramePr>
              <a:graphicFrameLocks noChangeAspect="1"/>
            </wp:cNvGraphicFramePr>
            <a:graphic>
              <a:graphicData uri="http://schemas.openxmlformats.org/drawingml/2006/picture">
                <pic:pic>
                  <pic:nvPicPr>
                    <pic:cNvPr id="0" name="fig2_ai_pipeline.png"/>
                    <pic:cNvPicPr/>
                  </pic:nvPicPr>
                  <pic:blipFill>
                    <a:blip r:embed="rId10"/>
                    <a:stretch>
                      <a:fillRect/>
                    </a:stretch>
                  </pic:blipFill>
                  <pic:spPr>
                    <a:xfrm>
                      <a:off x="0" y="0"/>
                      <a:ext cx="5029200" cy="3061069"/>
                    </a:xfrm>
                    <a:prstGeom prst="rect"/>
                  </pic:spPr>
                </pic:pic>
              </a:graphicData>
            </a:graphic>
          </wp:inline>
        </w:drawing>
      </w:r>
    </w:p>
    <w:p>
      <w:pPr>
        <w:spacing w:after="240"/>
        <w:jc w:val="center"/>
      </w:pPr>
      <w:r>
        <w:rPr>
          <w:rFonts w:ascii="宋体" w:hAnsi="宋体" w:eastAsia="宋体"/>
          <w:color w:val="636E72"/>
          <w:sz w:val="18"/>
        </w:rPr>
        <w:t>图2  六层递进式AI分析管道架构</w:t>
      </w:r>
    </w:p>
    <w:p>
      <w:pPr>
        <w:pStyle w:val="Heading2"/>
      </w:pPr>
      <w:r>
        <w:rPr>
          <w:rFonts w:ascii="黑体" w:hAnsi="黑体" w:eastAsia="黑体"/>
        </w:rPr>
        <w:t>4.1  Layer 1——生理状态评估</w:t>
      </w:r>
    </w:p>
    <w:p>
      <w:pPr>
        <w:spacing w:line="360" w:lineRule="auto" w:after="0" w:before="0"/>
        <w:ind w:firstLine="420"/>
      </w:pPr>
      <w:r>
        <w:rPr>
          <w:rFonts w:ascii="宋体" w:hAnsi="宋体" w:eastAsia="宋体"/>
          <w:b w:val="0"/>
          <w:sz w:val="24"/>
        </w:rPr>
        <w:t>Layer 1接收经过NeuroKit2[17]和HeartPy预处理的ECG/HRV特征向量、VR运动追踪数据以及方案二中Empatica E4的PPG/温度/加速度数据，输出四项0—100分的子评分：（1）心脏负荷评分（cardiac_load）——基于当前心率占最大心率百分比与HR储备利用率；（2）自主神经平衡评分（autonomic_balance）——综合RMSSD、LF/HF比值与Baevsky压力指数，RMSSD &lt; 20 ms提示高压力/恢复不足，LF/HF &gt; 3提示交感神经过度激活；（3）循环代谢评分（circulatory）——基于PPG波形形态与皮肤温度趋势；（4）运动质量评分（movement_quality）——基于VR追踪数据的运动平滑度、左右对称性与目标动作匹配度。</w:t>
      </w:r>
    </w:p>
    <w:p>
      <w:pPr>
        <w:pStyle w:val="Heading2"/>
      </w:pPr>
      <w:r>
        <w:rPr>
          <w:rFonts w:ascii="黑体" w:hAnsi="黑体" w:eastAsia="黑体"/>
        </w:rPr>
        <w:t>4.2  Layer 2——心理情绪评估</w:t>
      </w:r>
    </w:p>
    <w:p>
      <w:pPr>
        <w:spacing w:line="360" w:lineRule="auto" w:after="0" w:before="0"/>
        <w:ind w:firstLine="420"/>
      </w:pPr>
      <w:r>
        <w:rPr>
          <w:rFonts w:ascii="宋体" w:hAnsi="宋体" w:eastAsia="宋体"/>
          <w:b w:val="0"/>
          <w:sz w:val="24"/>
        </w:rPr>
        <w:t>Layer 2基于Russell的情绪环状模型[11]，将用户的实时情绪状态映射到以效价（Valence, X轴，-1～+1）和唤醒度（Arousal, Y轴，0～1）为坐标的二维情绪空间。效价轴以EEG额叶Alpha不对称性为核心指标——通过计算不对称分数α_asym = (AF8_alpha − AF7_alpha)/(AF8_alpha + AF7_alpha)，正值为负效价（右前额活跃→回避），负值为正效价（左前额活跃→趋近）[12,13]。唤醒度轴以GSR皮肤电导tonic水平为核心指标，辅以GSR phasic峰值频率与LF/HF比值进行交叉验证。对于方案一（无EEG与GSR），Layer 2降级为基于HRV RMSSD与LF/HF的简化压力-放松二元判断，仍能提供基本的情绪状态参考。图3展示了情绪环状模型与生理信号映射关系。</w:t>
      </w:r>
    </w:p>
    <w:p>
      <w:pPr>
        <w:spacing w:before="240" w:after="120"/>
        <w:jc w:val="center"/>
      </w:pPr>
      <w:r>
        <w:drawing>
          <wp:inline xmlns:a="http://schemas.openxmlformats.org/drawingml/2006/main" xmlns:pic="http://schemas.openxmlformats.org/drawingml/2006/picture">
            <wp:extent cx="5029200" cy="2556317"/>
            <wp:docPr id="3" name="Picture 3"/>
            <wp:cNvGraphicFramePr>
              <a:graphicFrameLocks noChangeAspect="1"/>
            </wp:cNvGraphicFramePr>
            <a:graphic>
              <a:graphicData uri="http://schemas.openxmlformats.org/drawingml/2006/picture">
                <pic:pic>
                  <pic:nvPicPr>
                    <pic:cNvPr id="0" name="fig3_emotion_model.png"/>
                    <pic:cNvPicPr/>
                  </pic:nvPicPr>
                  <pic:blipFill>
                    <a:blip r:embed="rId11"/>
                    <a:stretch>
                      <a:fillRect/>
                    </a:stretch>
                  </pic:blipFill>
                  <pic:spPr>
                    <a:xfrm>
                      <a:off x="0" y="0"/>
                      <a:ext cx="5029200" cy="2556317"/>
                    </a:xfrm>
                    <a:prstGeom prst="rect"/>
                  </pic:spPr>
                </pic:pic>
              </a:graphicData>
            </a:graphic>
          </wp:inline>
        </w:drawing>
      </w:r>
    </w:p>
    <w:p>
      <w:pPr>
        <w:spacing w:after="240"/>
        <w:jc w:val="center"/>
      </w:pPr>
      <w:r>
        <w:rPr>
          <w:rFonts w:ascii="宋体" w:hAnsi="宋体" w:eastAsia="宋体"/>
          <w:color w:val="636E72"/>
          <w:sz w:val="18"/>
        </w:rPr>
        <w:t>图3  Russell情绪环状模型与多模态生理信号映射</w:t>
      </w:r>
    </w:p>
    <w:p>
      <w:pPr>
        <w:pStyle w:val="Heading2"/>
      </w:pPr>
      <w:r>
        <w:rPr>
          <w:rFonts w:ascii="黑体" w:hAnsi="黑体" w:eastAsia="黑体"/>
        </w:rPr>
        <w:t>4.3  Layer 3——认知状态评估</w:t>
      </w:r>
    </w:p>
    <w:p>
      <w:pPr>
        <w:spacing w:line="360" w:lineRule="auto" w:after="0" w:before="0"/>
        <w:ind w:firstLine="420"/>
      </w:pPr>
      <w:r>
        <w:rPr>
          <w:rFonts w:ascii="宋体" w:hAnsi="宋体" w:eastAsia="宋体"/>
          <w:b w:val="0"/>
          <w:sz w:val="24"/>
        </w:rPr>
        <w:t>Layer 3通过VR内置认知测试模块评估用户的实时认知功能。Stroop色词干扰任务测量执行功能与抑制控制能力——干扰效应（incongruent RT − congruent RT）&lt; 50 ms为执行功能优秀，50～120 ms为正常，&gt; 120 ms提示前额叶执行资源显著下降[22]。N-back工作记忆任务（2-back条件）通过信号检测论d'敏感度指标量化工作记忆容量——d' &gt; 2为优秀，1～2为正常，&lt; 1提示工作记忆负荷已满或认知疲劳[23]。简单反应时任务（RT）提供认知处理速度的基线指标——RT &lt; 250 ms为快速，250～350 ms为正常，&gt; 350 ms提示中枢疲劳[24]。方案二中，Layer 3还融合EEG Gamma波段（30～45 Hz）功率作为执行加工活跃度的神经指标[25]，以及Theta/Beta比值作为注意力的跨任务验证指标[16]。</w:t>
      </w:r>
    </w:p>
    <w:p>
      <w:pPr>
        <w:pStyle w:val="Heading2"/>
      </w:pPr>
      <w:r>
        <w:rPr>
          <w:rFonts w:ascii="黑体" w:hAnsi="黑体" w:eastAsia="黑体"/>
        </w:rPr>
        <w:t>4.4  Layer 4——综合状态融合</w:t>
      </w:r>
    </w:p>
    <w:p>
      <w:pPr>
        <w:spacing w:line="360" w:lineRule="auto" w:after="0" w:before="0"/>
        <w:ind w:firstLine="420"/>
      </w:pPr>
      <w:r>
        <w:rPr>
          <w:rFonts w:ascii="宋体" w:hAnsi="宋体" w:eastAsia="宋体"/>
          <w:b w:val="0"/>
          <w:sz w:val="24"/>
        </w:rPr>
        <w:t>Layer 4将前三个Layer的独立评估结果融合为一个全局状态向量（Global State Vector）。融合采用可解释的规则化方法而非黑盒神经网络——这意味着每个融合权重的物理含义都是明确的。除各维度的评分外，该层还计算三个关键的跨域耦合指标：（1）身心耦合度——当自主神经平衡评分与放松深度评分偏差 &lt; 15分时，判定为"身心同步"状态；偏差 &gt; 15分且方向不一致时触发针对性干预提示；（2）脑身耦合度——当认知功能评分低而身体负荷评分高时，可能提示中枢疲劳主导的运动能力下降；（3）恢复准备度——综合RMSSD趋势、GSR tonic趋势、皮肤温度趋势与认知功能趋势的加权评分，用于判断用户是否适合进行高强度训练[8,26]。</w:t>
      </w:r>
    </w:p>
    <w:p>
      <w:pPr>
        <w:pStyle w:val="Heading2"/>
      </w:pPr>
      <w:r>
        <w:rPr>
          <w:rFonts w:ascii="黑体" w:hAnsi="黑体" w:eastAsia="黑体"/>
        </w:rPr>
        <w:t>4.5  Layer 5——推荐决策引擎</w:t>
      </w:r>
    </w:p>
    <w:p>
      <w:pPr>
        <w:spacing w:line="360" w:lineRule="auto" w:after="0" w:before="0"/>
        <w:ind w:firstLine="420"/>
      </w:pPr>
      <w:r>
        <w:rPr>
          <w:rFonts w:ascii="宋体" w:hAnsi="宋体" w:eastAsia="宋体"/>
          <w:b w:val="0"/>
          <w:sz w:val="24"/>
        </w:rPr>
        <w:t>Layer 5是AI的核心决策层，采用四级级联决策流程。第一级——安全规则门控（不可被ML覆盖）：当HR &gt; 90% HRmax时触发"立即停止运动"协议，当RMSSD &lt; 基线×0.5时限制为仅允许恢复类活动，当皮肤温度上升斜率 &gt; 1.0 °C/min持续3分钟时触发热应激预警。第二级——生理边界过滤：根据自主神经平衡、心脏负荷、循环代谢与运动质量评分，通过确定性规则筛选候选运动类型集合。第三级——机器学习分类与回归：使用scikit-learn实现的随机森林（Random Forest, RF）分类器进行运动类型概率预测[27]，使用支持向量回归（Support Vector Regression, SVR, RBF核）进行基础运动强度（0—100%）预测。第四级——情绪/认知上下文修正：根据Layer 2的情绪象限与Layer 3的注意力/认知评分，对ML输出进行乘法因子微调（每个因子0.7～1.15），例如负效价情绪时强度降至85%，注意力不足（&lt; 30分）时强度降至80%，高唤醒正效价（兴奋状态）时强度可适度提升至115%。最终的强度值经clamp(5, 95)确保始终在安全范围内。</w:t>
      </w:r>
    </w:p>
    <w:p>
      <w:pPr>
        <w:pStyle w:val="Heading2"/>
      </w:pPr>
      <w:r>
        <w:rPr>
          <w:rFonts w:ascii="黑体" w:hAnsi="黑体" w:eastAsia="黑体"/>
        </w:rPr>
        <w:t>4.6  Layer 6——VR适配输出</w:t>
      </w:r>
    </w:p>
    <w:p>
      <w:pPr>
        <w:spacing w:line="360" w:lineRule="auto" w:after="0" w:before="0"/>
        <w:ind w:firstLine="420"/>
      </w:pPr>
      <w:r>
        <w:rPr>
          <w:rFonts w:ascii="宋体" w:hAnsi="宋体" w:eastAsia="宋体"/>
          <w:b w:val="0"/>
          <w:sz w:val="24"/>
        </w:rPr>
        <w:t>Layer 6将Layer 5的抽象推荐转化为具体的VR场景参数，输出包含：运动场景选择（海滩/山湖/森林/抽象空间）、背景音频方案（432 Hz / 528 Hz / 120–160 BPM节奏）、视觉引导强度、环境自适应参数（天空色温范围、粒子密度、光照强度）以及实时触发条件（如"连续2个epoch期间RMSSD下降 &gt; 20%时VR教练语音提醒放慢节奏"）[28]。最终输出为JSON格式的AI推荐包，通过HTTP :5000端口发送至Unity VR前端，同时通过LSL流推送至数据记录器。</w:t>
      </w:r>
    </w:p>
    <w:p>
      <w:pPr>
        <w:pStyle w:val="Heading1"/>
      </w:pPr>
      <w:r>
        <w:rPr>
          <w:rFonts w:ascii="黑体" w:hAnsi="黑体" w:eastAsia="黑体"/>
        </w:rPr>
        <w:t>5  VR交互与生物反馈设计</w:t>
      </w:r>
    </w:p>
    <w:p>
      <w:pPr>
        <w:pStyle w:val="Heading2"/>
      </w:pPr>
      <w:r>
        <w:rPr>
          <w:rFonts w:ascii="黑体" w:hAnsi="黑体" w:eastAsia="黑体"/>
        </w:rPr>
        <w:t>5.1  运动场景设计</w:t>
      </w:r>
    </w:p>
    <w:p>
      <w:pPr>
        <w:spacing w:line="360" w:lineRule="auto" w:after="0" w:before="0"/>
        <w:ind w:firstLine="420"/>
      </w:pPr>
      <w:r>
        <w:rPr>
          <w:rFonts w:ascii="宋体" w:hAnsi="宋体" w:eastAsia="宋体"/>
          <w:b w:val="0"/>
          <w:sz w:val="24"/>
        </w:rPr>
        <w:t>系统基于Unity 2022 LTS与Meta XR SDK/OpenXR构建四类VR运动场景，分别对应不同的训练目标与情绪状态适配。图4展示了四类场景的概览与生物反馈元素映射。</w:t>
      </w:r>
    </w:p>
    <w:p>
      <w:pPr>
        <w:spacing w:before="240" w:after="120"/>
        <w:jc w:val="center"/>
      </w:pPr>
      <w:r>
        <w:drawing>
          <wp:inline xmlns:a="http://schemas.openxmlformats.org/drawingml/2006/main" xmlns:pic="http://schemas.openxmlformats.org/drawingml/2006/picture">
            <wp:extent cx="5029200" cy="1550367"/>
            <wp:docPr id="4" name="Picture 4"/>
            <wp:cNvGraphicFramePr>
              <a:graphicFrameLocks noChangeAspect="1"/>
            </wp:cNvGraphicFramePr>
            <a:graphic>
              <a:graphicData uri="http://schemas.openxmlformats.org/drawingml/2006/picture">
                <pic:pic>
                  <pic:nvPicPr>
                    <pic:cNvPr id="0" name="fig4_vr_scenes.png"/>
                    <pic:cNvPicPr/>
                  </pic:nvPicPr>
                  <pic:blipFill>
                    <a:blip r:embed="rId12"/>
                    <a:stretch>
                      <a:fillRect/>
                    </a:stretch>
                  </pic:blipFill>
                  <pic:spPr>
                    <a:xfrm>
                      <a:off x="0" y="0"/>
                      <a:ext cx="5029200" cy="1550367"/>
                    </a:xfrm>
                    <a:prstGeom prst="rect"/>
                  </pic:spPr>
                </pic:pic>
              </a:graphicData>
            </a:graphic>
          </wp:inline>
        </w:drawing>
      </w:r>
    </w:p>
    <w:p>
      <w:pPr>
        <w:spacing w:after="240"/>
        <w:jc w:val="center"/>
      </w:pPr>
      <w:r>
        <w:rPr>
          <w:rFonts w:ascii="宋体" w:hAnsi="宋体" w:eastAsia="宋体"/>
          <w:color w:val="636E72"/>
          <w:sz w:val="18"/>
        </w:rPr>
        <w:t>图4  四类VR运动场景与生物反馈元素</w:t>
      </w:r>
    </w:p>
    <w:p>
      <w:pPr>
        <w:spacing w:line="360" w:lineRule="auto" w:after="0" w:before="240"/>
        <w:jc w:val="center"/>
      </w:pPr>
      <w:r>
        <w:rPr>
          <w:rFonts w:ascii="宋体" w:hAnsi="宋体" w:eastAsia="宋体"/>
          <w:b/>
          <w:sz w:val="18"/>
        </w:rPr>
        <w:t>表3  四类VR运动场景的设计参数与适配策略</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1235"/>
            <w:shd w:fill="4472C4" w:val="clear"/>
          </w:tcPr>
          <w:p>
            <w:pPr>
              <w:jc w:val="center"/>
            </w:pPr>
            <w:r/>
            <w:r>
              <w:rPr>
                <w:rFonts w:ascii="宋体" w:hAnsi="宋体" w:eastAsia="宋体"/>
                <w:b/>
                <w:color w:val="FFFFFF"/>
                <w:sz w:val="18"/>
              </w:rPr>
              <w:t>场景</w:t>
            </w:r>
          </w:p>
        </w:tc>
        <w:tc>
          <w:tcPr>
            <w:tcW w:type="dxa" w:w="1235"/>
            <w:shd w:fill="4472C4" w:val="clear"/>
          </w:tcPr>
          <w:p>
            <w:pPr>
              <w:jc w:val="center"/>
            </w:pPr>
            <w:r/>
            <w:r>
              <w:rPr>
                <w:rFonts w:ascii="宋体" w:hAnsi="宋体" w:eastAsia="宋体"/>
                <w:b/>
                <w:color w:val="FFFFFF"/>
                <w:sz w:val="18"/>
              </w:rPr>
              <w:t>训练类型</w:t>
            </w:r>
          </w:p>
        </w:tc>
        <w:tc>
          <w:tcPr>
            <w:tcW w:type="dxa" w:w="1235"/>
            <w:shd w:fill="4472C4" w:val="clear"/>
          </w:tcPr>
          <w:p>
            <w:pPr>
              <w:jc w:val="center"/>
            </w:pPr>
            <w:r/>
            <w:r>
              <w:rPr>
                <w:rFonts w:ascii="宋体" w:hAnsi="宋体" w:eastAsia="宋体"/>
                <w:b/>
                <w:color w:val="FFFFFF"/>
                <w:sz w:val="18"/>
              </w:rPr>
              <w:t>目标情绪象限</w:t>
            </w:r>
          </w:p>
        </w:tc>
        <w:tc>
          <w:tcPr>
            <w:tcW w:type="dxa" w:w="1235"/>
            <w:shd w:fill="4472C4" w:val="clear"/>
          </w:tcPr>
          <w:p>
            <w:pPr>
              <w:jc w:val="center"/>
            </w:pPr>
            <w:r/>
            <w:r>
              <w:rPr>
                <w:rFonts w:ascii="宋体" w:hAnsi="宋体" w:eastAsia="宋体"/>
                <w:b/>
                <w:color w:val="FFFFFF"/>
                <w:sz w:val="18"/>
              </w:rPr>
              <w:t>背景音频</w:t>
            </w:r>
          </w:p>
        </w:tc>
        <w:tc>
          <w:tcPr>
            <w:tcW w:type="dxa" w:w="1235"/>
            <w:shd w:fill="4472C4" w:val="clear"/>
          </w:tcPr>
          <w:p>
            <w:pPr>
              <w:jc w:val="center"/>
            </w:pPr>
            <w:r/>
            <w:r>
              <w:rPr>
                <w:rFonts w:ascii="宋体" w:hAnsi="宋体" w:eastAsia="宋体"/>
                <w:b/>
                <w:color w:val="FFFFFF"/>
                <w:sz w:val="18"/>
              </w:rPr>
              <w:t>核心视觉引导</w:t>
            </w:r>
          </w:p>
        </w:tc>
        <w:tc>
          <w:tcPr>
            <w:tcW w:type="dxa" w:w="1235"/>
            <w:shd w:fill="4472C4" w:val="clear"/>
          </w:tcPr>
          <w:p>
            <w:pPr>
              <w:jc w:val="center"/>
            </w:pPr>
            <w:r/>
            <w:r>
              <w:rPr>
                <w:rFonts w:ascii="宋体" w:hAnsi="宋体" w:eastAsia="宋体"/>
                <w:b/>
                <w:color w:val="FFFFFF"/>
                <w:sz w:val="18"/>
              </w:rPr>
              <w:t>HUD元素</w:t>
            </w:r>
          </w:p>
        </w:tc>
        <w:tc>
          <w:tcPr>
            <w:tcW w:type="dxa" w:w="1235"/>
            <w:shd w:fill="4472C4" w:val="clear"/>
          </w:tcPr>
          <w:p>
            <w:pPr>
              <w:jc w:val="center"/>
            </w:pPr>
            <w:r/>
            <w:r>
              <w:rPr>
                <w:rFonts w:ascii="宋体" w:hAnsi="宋体" w:eastAsia="宋体"/>
                <w:b/>
                <w:color w:val="FFFFFF"/>
                <w:sz w:val="18"/>
              </w:rPr>
              <w:t>环境自适应</w:t>
            </w:r>
          </w:p>
        </w:tc>
      </w:tr>
      <w:tr>
        <w:tc>
          <w:tcPr>
            <w:tcW w:type="dxa" w:w="1235"/>
            <w:shd w:fill="E8F0FE" w:val="clear"/>
          </w:tcPr>
          <w:p>
            <w:pPr>
              <w:jc w:val="center"/>
            </w:pPr>
            <w:r/>
            <w:r>
              <w:rPr>
                <w:rFonts w:ascii="宋体" w:hAnsi="宋体" w:eastAsia="宋体"/>
                <w:sz w:val="17"/>
              </w:rPr>
              <w:t>海滩日落</w:t>
            </w:r>
          </w:p>
        </w:tc>
        <w:tc>
          <w:tcPr>
            <w:tcW w:type="dxa" w:w="1235"/>
            <w:shd w:fill="E8F0FE" w:val="clear"/>
          </w:tcPr>
          <w:p>
            <w:pPr>
              <w:jc w:val="center"/>
            </w:pPr>
            <w:r/>
            <w:r>
              <w:rPr>
                <w:rFonts w:ascii="宋体" w:hAnsi="宋体" w:eastAsia="宋体"/>
                <w:sz w:val="17"/>
              </w:rPr>
              <w:t>呼吸训练</w:t>
              <w:br/>
              <w:t>(4-4-4-4方呼吸)</w:t>
            </w:r>
          </w:p>
        </w:tc>
        <w:tc>
          <w:tcPr>
            <w:tcW w:type="dxa" w:w="1235"/>
            <w:shd w:fill="E8F0FE" w:val="clear"/>
          </w:tcPr>
          <w:p>
            <w:pPr>
              <w:jc w:val="center"/>
            </w:pPr>
            <w:r/>
            <w:r>
              <w:rPr>
                <w:rFonts w:ascii="宋体" w:hAnsi="宋体" w:eastAsia="宋体"/>
                <w:sz w:val="17"/>
              </w:rPr>
              <w:t>高唤醒-负效价</w:t>
              <w:br/>
              <w:t>(紧张/焦虑)</w:t>
            </w:r>
          </w:p>
        </w:tc>
        <w:tc>
          <w:tcPr>
            <w:tcW w:type="dxa" w:w="1235"/>
            <w:shd w:fill="E8F0FE" w:val="clear"/>
          </w:tcPr>
          <w:p>
            <w:pPr>
              <w:jc w:val="center"/>
            </w:pPr>
            <w:r/>
            <w:r>
              <w:rPr>
                <w:rFonts w:ascii="宋体" w:hAnsi="宋体" w:eastAsia="宋体"/>
                <w:sz w:val="17"/>
              </w:rPr>
              <w:t>432 Hz</w:t>
              <w:br/>
              <w:t>+ 海浪声</w:t>
            </w:r>
          </w:p>
        </w:tc>
        <w:tc>
          <w:tcPr>
            <w:tcW w:type="dxa" w:w="1235"/>
            <w:shd w:fill="E8F0FE" w:val="clear"/>
          </w:tcPr>
          <w:p>
            <w:pPr>
              <w:jc w:val="center"/>
            </w:pPr>
            <w:r/>
            <w:r>
              <w:rPr>
                <w:rFonts w:ascii="宋体" w:hAnsi="宋体" w:eastAsia="宋体"/>
                <w:sz w:val="17"/>
              </w:rPr>
              <w:t>呼吸光环缩放</w:t>
              <w:br/>
              <w:t>吸气扩大/呼气缩小</w:t>
            </w:r>
          </w:p>
        </w:tc>
        <w:tc>
          <w:tcPr>
            <w:tcW w:type="dxa" w:w="1235"/>
            <w:shd w:fill="E8F0FE" w:val="clear"/>
          </w:tcPr>
          <w:p>
            <w:pPr>
              <w:jc w:val="center"/>
            </w:pPr>
            <w:r/>
            <w:r>
              <w:rPr>
                <w:rFonts w:ascii="宋体" w:hAnsi="宋体" w:eastAsia="宋体"/>
                <w:sz w:val="17"/>
              </w:rPr>
              <w:t>HR色环</w:t>
              <w:br/>
              <w:t>GSR水滴</w:t>
              <w:br/>
              <w:t>呼吸计时</w:t>
            </w:r>
          </w:p>
        </w:tc>
        <w:tc>
          <w:tcPr>
            <w:tcW w:type="dxa" w:w="1235"/>
            <w:shd w:fill="E8F0FE" w:val="clear"/>
          </w:tcPr>
          <w:p>
            <w:pPr>
              <w:jc w:val="center"/>
            </w:pPr>
            <w:r/>
            <w:r>
              <w:rPr>
                <w:rFonts w:ascii="宋体" w:hAnsi="宋体" w:eastAsia="宋体"/>
                <w:sz w:val="17"/>
              </w:rPr>
              <w:t>天空色温暖橙↔深蓝</w:t>
              <w:br/>
              <w:t>压力↓→暖色过渡</w:t>
            </w:r>
          </w:p>
        </w:tc>
      </w:tr>
      <w:tr>
        <w:tc>
          <w:tcPr>
            <w:tcW w:type="dxa" w:w="1235"/>
          </w:tcPr>
          <w:p>
            <w:pPr>
              <w:jc w:val="center"/>
            </w:pPr>
            <w:r/>
            <w:r>
              <w:rPr>
                <w:rFonts w:ascii="宋体" w:hAnsi="宋体" w:eastAsia="宋体"/>
                <w:sz w:val="17"/>
              </w:rPr>
              <w:t>山湖</w:t>
            </w:r>
          </w:p>
        </w:tc>
        <w:tc>
          <w:tcPr>
            <w:tcW w:type="dxa" w:w="1235"/>
          </w:tcPr>
          <w:p>
            <w:pPr>
              <w:jc w:val="center"/>
            </w:pPr>
            <w:r/>
            <w:r>
              <w:rPr>
                <w:rFonts w:ascii="宋体" w:hAnsi="宋体" w:eastAsia="宋体"/>
                <w:sz w:val="17"/>
              </w:rPr>
              <w:t>太极引导</w:t>
              <w:br/>
              <w:t>(低强度/精细动作)</w:t>
            </w:r>
          </w:p>
        </w:tc>
        <w:tc>
          <w:tcPr>
            <w:tcW w:type="dxa" w:w="1235"/>
          </w:tcPr>
          <w:p>
            <w:pPr>
              <w:jc w:val="center"/>
            </w:pPr>
            <w:r/>
            <w:r>
              <w:rPr>
                <w:rFonts w:ascii="宋体" w:hAnsi="宋体" w:eastAsia="宋体"/>
                <w:sz w:val="17"/>
              </w:rPr>
              <w:t>低唤醒-正效价</w:t>
              <w:br/>
              <w:t>(平静/满足)</w:t>
            </w:r>
          </w:p>
        </w:tc>
        <w:tc>
          <w:tcPr>
            <w:tcW w:type="dxa" w:w="1235"/>
          </w:tcPr>
          <w:p>
            <w:pPr>
              <w:jc w:val="center"/>
            </w:pPr>
            <w:r/>
            <w:r>
              <w:rPr>
                <w:rFonts w:ascii="宋体" w:hAnsi="宋体" w:eastAsia="宋体"/>
                <w:sz w:val="17"/>
              </w:rPr>
              <w:t>528 Hz</w:t>
              <w:br/>
              <w:t>+ 自然环境声</w:t>
            </w:r>
          </w:p>
        </w:tc>
        <w:tc>
          <w:tcPr>
            <w:tcW w:type="dxa" w:w="1235"/>
          </w:tcPr>
          <w:p>
            <w:pPr>
              <w:jc w:val="center"/>
            </w:pPr>
            <w:r/>
            <w:r>
              <w:rPr>
                <w:rFonts w:ascii="宋体" w:hAnsi="宋体" w:eastAsia="宋体"/>
                <w:sz w:val="17"/>
              </w:rPr>
              <w:t>虚拟化身演示</w:t>
              <w:br/>
              <w:t>目标球引导手部</w:t>
            </w:r>
          </w:p>
        </w:tc>
        <w:tc>
          <w:tcPr>
            <w:tcW w:type="dxa" w:w="1235"/>
          </w:tcPr>
          <w:p>
            <w:pPr>
              <w:jc w:val="center"/>
            </w:pPr>
            <w:r/>
            <w:r>
              <w:rPr>
                <w:rFonts w:ascii="宋体" w:hAnsi="宋体" w:eastAsia="宋体"/>
                <w:sz w:val="17"/>
              </w:rPr>
              <w:t>关节活动指示</w:t>
              <w:br/>
              <w:t>运动对称性环</w:t>
              <w:br/>
              <w:t>动作完成度%</w:t>
            </w:r>
          </w:p>
        </w:tc>
        <w:tc>
          <w:tcPr>
            <w:tcW w:type="dxa" w:w="1235"/>
          </w:tcPr>
          <w:p>
            <w:pPr>
              <w:jc w:val="center"/>
            </w:pPr>
            <w:r/>
            <w:r>
              <w:rPr>
                <w:rFonts w:ascii="宋体" w:hAnsi="宋体" w:eastAsia="宋体"/>
                <w:sz w:val="17"/>
              </w:rPr>
              <w:t>暖黄稳定光照</w:t>
              <w:br/>
              <w:t>注意力↑→亮度↑</w:t>
            </w:r>
          </w:p>
        </w:tc>
      </w:tr>
      <w:tr>
        <w:tc>
          <w:tcPr>
            <w:tcW w:type="dxa" w:w="1235"/>
            <w:shd w:fill="E8F0FE" w:val="clear"/>
          </w:tcPr>
          <w:p>
            <w:pPr>
              <w:jc w:val="center"/>
            </w:pPr>
            <w:r/>
            <w:r>
              <w:rPr>
                <w:rFonts w:ascii="宋体" w:hAnsi="宋体" w:eastAsia="宋体"/>
                <w:sz w:val="17"/>
              </w:rPr>
              <w:t>森林小径</w:t>
            </w:r>
          </w:p>
        </w:tc>
        <w:tc>
          <w:tcPr>
            <w:tcW w:type="dxa" w:w="1235"/>
            <w:shd w:fill="E8F0FE" w:val="clear"/>
          </w:tcPr>
          <w:p>
            <w:pPr>
              <w:jc w:val="center"/>
            </w:pPr>
            <w:r/>
            <w:r>
              <w:rPr>
                <w:rFonts w:ascii="宋体" w:hAnsi="宋体" w:eastAsia="宋体"/>
                <w:sz w:val="17"/>
              </w:rPr>
              <w:t>正念漫步</w:t>
              <w:br/>
              <w:t>(中等强度/有氧)</w:t>
            </w:r>
          </w:p>
        </w:tc>
        <w:tc>
          <w:tcPr>
            <w:tcW w:type="dxa" w:w="1235"/>
            <w:shd w:fill="E8F0FE" w:val="clear"/>
          </w:tcPr>
          <w:p>
            <w:pPr>
              <w:jc w:val="center"/>
            </w:pPr>
            <w:r/>
            <w:r>
              <w:rPr>
                <w:rFonts w:ascii="宋体" w:hAnsi="宋体" w:eastAsia="宋体"/>
                <w:sz w:val="17"/>
              </w:rPr>
              <w:t>低唤醒-负效价</w:t>
              <w:br/>
              <w:t>(疲劳/低落)</w:t>
            </w:r>
          </w:p>
        </w:tc>
        <w:tc>
          <w:tcPr>
            <w:tcW w:type="dxa" w:w="1235"/>
            <w:shd w:fill="E8F0FE" w:val="clear"/>
          </w:tcPr>
          <w:p>
            <w:pPr>
              <w:jc w:val="center"/>
            </w:pPr>
            <w:r/>
            <w:r>
              <w:rPr>
                <w:rFonts w:ascii="宋体" w:hAnsi="宋体" w:eastAsia="宋体"/>
                <w:sz w:val="17"/>
              </w:rPr>
              <w:t>528 Hz + 鸟鸣</w:t>
              <w:br/>
              <w:t>渐进120 BPM</w:t>
            </w:r>
          </w:p>
        </w:tc>
        <w:tc>
          <w:tcPr>
            <w:tcW w:type="dxa" w:w="1235"/>
            <w:shd w:fill="E8F0FE" w:val="clear"/>
          </w:tcPr>
          <w:p>
            <w:pPr>
              <w:jc w:val="center"/>
            </w:pPr>
            <w:r/>
            <w:r>
              <w:rPr>
                <w:rFonts w:ascii="宋体" w:hAnsi="宋体" w:eastAsia="宋体"/>
                <w:sz w:val="17"/>
              </w:rPr>
              <w:t>Alpha功率光晕</w:t>
              <w:br/>
              <w:t>步频节奏提示</w:t>
            </w:r>
          </w:p>
        </w:tc>
        <w:tc>
          <w:tcPr>
            <w:tcW w:type="dxa" w:w="1235"/>
            <w:shd w:fill="E8F0FE" w:val="clear"/>
          </w:tcPr>
          <w:p>
            <w:pPr>
              <w:jc w:val="center"/>
            </w:pPr>
            <w:r/>
            <w:r>
              <w:rPr>
                <w:rFonts w:ascii="宋体" w:hAnsi="宋体" w:eastAsia="宋体"/>
                <w:sz w:val="17"/>
              </w:rPr>
              <w:t>HR区间环</w:t>
              <w:br/>
              <w:t>EEG Alpha光晕</w:t>
              <w:br/>
              <w:t>步频指示器</w:t>
            </w:r>
          </w:p>
        </w:tc>
        <w:tc>
          <w:tcPr>
            <w:tcW w:type="dxa" w:w="1235"/>
            <w:shd w:fill="E8F0FE" w:val="clear"/>
          </w:tcPr>
          <w:p>
            <w:pPr>
              <w:jc w:val="center"/>
            </w:pPr>
            <w:r/>
            <w:r>
              <w:rPr>
                <w:rFonts w:ascii="宋体" w:hAnsi="宋体" w:eastAsia="宋体"/>
                <w:sz w:val="17"/>
              </w:rPr>
              <w:t>翠绿暖光</w:t>
              <w:br/>
              <w:t>Alpha↑→萤火虫粒子↑</w:t>
            </w:r>
          </w:p>
        </w:tc>
      </w:tr>
      <w:tr>
        <w:tc>
          <w:tcPr>
            <w:tcW w:type="dxa" w:w="1235"/>
          </w:tcPr>
          <w:p>
            <w:pPr>
              <w:jc w:val="center"/>
            </w:pPr>
            <w:r/>
            <w:r>
              <w:rPr>
                <w:rFonts w:ascii="宋体" w:hAnsi="宋体" w:eastAsia="宋体"/>
                <w:sz w:val="17"/>
              </w:rPr>
              <w:t>抽象空间</w:t>
            </w:r>
          </w:p>
        </w:tc>
        <w:tc>
          <w:tcPr>
            <w:tcW w:type="dxa" w:w="1235"/>
          </w:tcPr>
          <w:p>
            <w:pPr>
              <w:jc w:val="center"/>
            </w:pPr>
            <w:r/>
            <w:r>
              <w:rPr>
                <w:rFonts w:ascii="宋体" w:hAnsi="宋体" w:eastAsia="宋体"/>
                <w:sz w:val="17"/>
              </w:rPr>
              <w:t>高强度挑战</w:t>
              <w:br/>
              <w:t>(间歇/HIIT)</w:t>
            </w:r>
          </w:p>
        </w:tc>
        <w:tc>
          <w:tcPr>
            <w:tcW w:type="dxa" w:w="1235"/>
          </w:tcPr>
          <w:p>
            <w:pPr>
              <w:jc w:val="center"/>
            </w:pPr>
            <w:r/>
            <w:r>
              <w:rPr>
                <w:rFonts w:ascii="宋体" w:hAnsi="宋体" w:eastAsia="宋体"/>
                <w:sz w:val="17"/>
              </w:rPr>
              <w:t>高唤醒-正效价</w:t>
              <w:br/>
              <w:t>(兴奋/激动)</w:t>
            </w:r>
          </w:p>
        </w:tc>
        <w:tc>
          <w:tcPr>
            <w:tcW w:type="dxa" w:w="1235"/>
          </w:tcPr>
          <w:p>
            <w:pPr>
              <w:jc w:val="center"/>
            </w:pPr>
            <w:r/>
            <w:r>
              <w:rPr>
                <w:rFonts w:ascii="宋体" w:hAnsi="宋体" w:eastAsia="宋体"/>
                <w:sz w:val="17"/>
              </w:rPr>
              <w:t>140-160 BPM</w:t>
              <w:br/>
              <w:t>电子节奏</w:t>
            </w:r>
          </w:p>
        </w:tc>
        <w:tc>
          <w:tcPr>
            <w:tcW w:type="dxa" w:w="1235"/>
          </w:tcPr>
          <w:p>
            <w:pPr>
              <w:jc w:val="center"/>
            </w:pPr>
            <w:r/>
            <w:r>
              <w:rPr>
                <w:rFonts w:ascii="宋体" w:hAnsi="宋体" w:eastAsia="宋体"/>
                <w:sz w:val="17"/>
              </w:rPr>
              <w:t>动态目标球</w:t>
              <w:br/>
              <w:t>连击计分系统</w:t>
            </w:r>
          </w:p>
        </w:tc>
        <w:tc>
          <w:tcPr>
            <w:tcW w:type="dxa" w:w="1235"/>
          </w:tcPr>
          <w:p>
            <w:pPr>
              <w:jc w:val="center"/>
            </w:pPr>
            <w:r/>
            <w:r>
              <w:rPr>
                <w:rFonts w:ascii="宋体" w:hAnsi="宋体" w:eastAsia="宋体"/>
                <w:sz w:val="17"/>
              </w:rPr>
              <w:t>HR区间环(大字)</w:t>
              <w:br/>
              <w:t>连击计数器</w:t>
              <w:br/>
              <w:t>剩余时间</w:t>
            </w:r>
          </w:p>
        </w:tc>
        <w:tc>
          <w:tcPr>
            <w:tcW w:type="dxa" w:w="1235"/>
          </w:tcPr>
          <w:p>
            <w:pPr>
              <w:jc w:val="center"/>
            </w:pPr>
            <w:r/>
            <w:r>
              <w:rPr>
                <w:rFonts w:ascii="宋体" w:hAnsi="宋体" w:eastAsia="宋体"/>
                <w:sz w:val="17"/>
              </w:rPr>
              <w:t>霓虹色快速变幻</w:t>
              <w:br/>
              <w:t>HR↑→节奏加速</w:t>
            </w:r>
          </w:p>
        </w:tc>
      </w:tr>
    </w:tbl>
    <w:p/>
    <w:p>
      <w:pPr>
        <w:pStyle w:val="Heading2"/>
      </w:pPr>
      <w:r>
        <w:rPr>
          <w:rFonts w:ascii="黑体" w:hAnsi="黑体" w:eastAsia="黑体"/>
        </w:rPr>
        <w:t>5.2  实时生物反馈可视化</w:t>
      </w:r>
    </w:p>
    <w:p>
      <w:pPr>
        <w:spacing w:line="360" w:lineRule="auto" w:after="0" w:before="0"/>
        <w:ind w:firstLine="420"/>
      </w:pPr>
      <w:r>
        <w:rPr>
          <w:rFonts w:ascii="宋体" w:hAnsi="宋体" w:eastAsia="宋体"/>
          <w:b w:val="0"/>
          <w:sz w:val="24"/>
        </w:rPr>
        <w:t>系统在VR视野边缘渲染五个核心生物反馈HUD元素：（1）HR区间色环——以脚部/腕部彩色光环显示实时心率区间，蓝色（Zone 1, &lt;60% HRmax）→绿色（Zone 2, 60-70%）→黄色（Zone 3, 70-80%）→橙色（Zone 4, 80-90%）→红色（Zone 5, &gt;90%），光环的脉动频率与实时心跳同步[29]。（2）EEG频段柱状图——以Delta/Theta/Alpha/Beta/Gamma五个频段的实时功率柱状图显示脑电活动，柱体颜色从冷色调（低频）过渡到暖色调（高频）。（3）GSR压力水滴——以填充/排空的水滴动画显示皮肤电导水平，满水滴代表高交感激活/压力，排空状态代表放松。（4）呼吸引导光球——以4秒扩大-4秒保持-4秒缩小-4秒保持的动画光球引导腹式呼吸节奏。（5）AI教练文字提示——在VR视野上方以半透明文字显示当前推荐的运动类型、强度与个性化建议（如"放慢节奏，注意呼吸"）。</w:t>
      </w:r>
    </w:p>
    <w:p>
      <w:pPr>
        <w:pStyle w:val="Heading2"/>
      </w:pPr>
      <w:r>
        <w:rPr>
          <w:rFonts w:ascii="黑体" w:hAnsi="黑体" w:eastAsia="黑体"/>
        </w:rPr>
        <w:t>5.3  环境自适应机制</w:t>
      </w:r>
    </w:p>
    <w:p>
      <w:pPr>
        <w:spacing w:line="360" w:lineRule="auto" w:after="0" w:before="0"/>
        <w:ind w:firstLine="420"/>
      </w:pPr>
      <w:r>
        <w:rPr>
          <w:rFonts w:ascii="宋体" w:hAnsi="宋体" w:eastAsia="宋体"/>
          <w:b w:val="0"/>
          <w:sz w:val="24"/>
        </w:rPr>
        <w:t>VR环境的视觉与音频参数根据用户实时生理状态进行连续自适应调节，形成超越显式HUD的隐性生物反馈通道：（1）天空色温——根据Baevsky压力指数在暖橙（放松，&lt;50）与冷灰（高压，&gt;500）之间连续过渡；（2）背景音频频率——根据HR区间在432 Hz（静息/恢复）与528 Hz（活跃/专注）之间调整，高强度场景下切换为BPM与实时心率同步的节奏音频；（3）粒子密度——根据EEG Alpha功率动态增减萤火虫/花瓣等放松感粒子，Alpha功率越高粒子越密集；（4）光照强度——根据注意力评分（TBR）动态调节，注意力越高场景亮度越大，注意力涣散时光线柔和变暗以减少认知负荷。表4总结了环境自适应参数的调节逻辑。</w:t>
      </w:r>
    </w:p>
    <w:p>
      <w:pPr>
        <w:spacing w:line="360" w:lineRule="auto" w:after="0" w:before="240"/>
        <w:jc w:val="center"/>
      </w:pPr>
      <w:r>
        <w:rPr>
          <w:rFonts w:ascii="宋体" w:hAnsi="宋体" w:eastAsia="宋体"/>
          <w:b/>
          <w:sz w:val="18"/>
        </w:rPr>
        <w:t>表4  环境自适应参数调节逻辑</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4472C4" w:val="clear"/>
          </w:tcPr>
          <w:p>
            <w:pPr>
              <w:jc w:val="center"/>
            </w:pPr>
            <w:r/>
            <w:r>
              <w:rPr>
                <w:rFonts w:ascii="宋体" w:hAnsi="宋体" w:eastAsia="宋体"/>
                <w:b/>
                <w:color w:val="FFFFFF"/>
                <w:sz w:val="18"/>
              </w:rPr>
              <w:t>环境参数</w:t>
            </w:r>
          </w:p>
        </w:tc>
        <w:tc>
          <w:tcPr>
            <w:tcW w:type="dxa" w:w="2161"/>
            <w:shd w:fill="4472C4" w:val="clear"/>
          </w:tcPr>
          <w:p>
            <w:pPr>
              <w:jc w:val="center"/>
            </w:pPr>
            <w:r/>
            <w:r>
              <w:rPr>
                <w:rFonts w:ascii="宋体" w:hAnsi="宋体" w:eastAsia="宋体"/>
                <w:b/>
                <w:color w:val="FFFFFF"/>
                <w:sz w:val="18"/>
              </w:rPr>
              <w:t>触发生理指标</w:t>
            </w:r>
          </w:p>
        </w:tc>
        <w:tc>
          <w:tcPr>
            <w:tcW w:type="dxa" w:w="2161"/>
            <w:shd w:fill="4472C4" w:val="clear"/>
          </w:tcPr>
          <w:p>
            <w:pPr>
              <w:jc w:val="center"/>
            </w:pPr>
            <w:r/>
            <w:r>
              <w:rPr>
                <w:rFonts w:ascii="宋体" w:hAnsi="宋体" w:eastAsia="宋体"/>
                <w:b/>
                <w:color w:val="FFFFFF"/>
                <w:sz w:val="18"/>
              </w:rPr>
              <w:t>调节逻辑</w:t>
            </w:r>
          </w:p>
        </w:tc>
        <w:tc>
          <w:tcPr>
            <w:tcW w:type="dxa" w:w="2161"/>
            <w:shd w:fill="4472C4" w:val="clear"/>
          </w:tcPr>
          <w:p>
            <w:pPr>
              <w:jc w:val="center"/>
            </w:pPr>
            <w:r/>
            <w:r>
              <w:rPr>
                <w:rFonts w:ascii="宋体" w:hAnsi="宋体" w:eastAsia="宋体"/>
                <w:b/>
                <w:color w:val="FFFFFF"/>
                <w:sz w:val="18"/>
              </w:rPr>
              <w:t>自适应效果</w:t>
            </w:r>
          </w:p>
        </w:tc>
      </w:tr>
      <w:tr>
        <w:tc>
          <w:tcPr>
            <w:tcW w:type="dxa" w:w="2161"/>
            <w:shd w:fill="E8F0FE" w:val="clear"/>
          </w:tcPr>
          <w:p>
            <w:pPr>
              <w:jc w:val="center"/>
            </w:pPr>
            <w:r/>
            <w:r>
              <w:rPr>
                <w:rFonts w:ascii="宋体" w:hAnsi="宋体" w:eastAsia="宋体"/>
                <w:sz w:val="17"/>
              </w:rPr>
              <w:t>天空色温</w:t>
            </w:r>
          </w:p>
        </w:tc>
        <w:tc>
          <w:tcPr>
            <w:tcW w:type="dxa" w:w="2161"/>
            <w:shd w:fill="E8F0FE" w:val="clear"/>
          </w:tcPr>
          <w:p>
            <w:pPr>
              <w:jc w:val="center"/>
            </w:pPr>
            <w:r/>
            <w:r>
              <w:rPr>
                <w:rFonts w:ascii="宋体" w:hAnsi="宋体" w:eastAsia="宋体"/>
                <w:sz w:val="17"/>
              </w:rPr>
              <w:t>Baevsky压力指数</w:t>
            </w:r>
          </w:p>
        </w:tc>
        <w:tc>
          <w:tcPr>
            <w:tcW w:type="dxa" w:w="2161"/>
            <w:shd w:fill="E8F0FE" w:val="clear"/>
          </w:tcPr>
          <w:p>
            <w:pPr>
              <w:jc w:val="center"/>
            </w:pPr>
            <w:r/>
            <w:r>
              <w:rPr>
                <w:rFonts w:ascii="宋体" w:hAnsi="宋体" w:eastAsia="宋体"/>
                <w:sz w:val="17"/>
              </w:rPr>
              <w:t>SI &lt; 50 → 暖橙; SI 50-150 → 中性; SI &gt; 500 → 冷灰</w:t>
            </w:r>
          </w:p>
        </w:tc>
        <w:tc>
          <w:tcPr>
            <w:tcW w:type="dxa" w:w="2161"/>
            <w:shd w:fill="E8F0FE" w:val="clear"/>
          </w:tcPr>
          <w:p>
            <w:pPr>
              <w:jc w:val="center"/>
            </w:pPr>
            <w:r/>
            <w:r>
              <w:rPr>
                <w:rFonts w:ascii="宋体" w:hAnsi="宋体" w:eastAsia="宋体"/>
                <w:sz w:val="17"/>
              </w:rPr>
              <w:t>压力视觉氛围调节</w:t>
            </w:r>
          </w:p>
        </w:tc>
      </w:tr>
      <w:tr>
        <w:tc>
          <w:tcPr>
            <w:tcW w:type="dxa" w:w="2161"/>
          </w:tcPr>
          <w:p>
            <w:pPr>
              <w:jc w:val="center"/>
            </w:pPr>
            <w:r/>
            <w:r>
              <w:rPr>
                <w:rFonts w:ascii="宋体" w:hAnsi="宋体" w:eastAsia="宋体"/>
                <w:sz w:val="17"/>
              </w:rPr>
              <w:t>背景音频频率</w:t>
            </w:r>
          </w:p>
        </w:tc>
        <w:tc>
          <w:tcPr>
            <w:tcW w:type="dxa" w:w="2161"/>
          </w:tcPr>
          <w:p>
            <w:pPr>
              <w:jc w:val="center"/>
            </w:pPr>
            <w:r/>
            <w:r>
              <w:rPr>
                <w:rFonts w:ascii="宋体" w:hAnsi="宋体" w:eastAsia="宋体"/>
                <w:sz w:val="17"/>
              </w:rPr>
              <w:t>HR区间 + 情绪象限</w:t>
            </w:r>
          </w:p>
        </w:tc>
        <w:tc>
          <w:tcPr>
            <w:tcW w:type="dxa" w:w="2161"/>
          </w:tcPr>
          <w:p>
            <w:pPr>
              <w:jc w:val="center"/>
            </w:pPr>
            <w:r/>
            <w:r>
              <w:rPr>
                <w:rFonts w:ascii="宋体" w:hAnsi="宋体" w:eastAsia="宋体"/>
                <w:sz w:val="17"/>
              </w:rPr>
              <w:t>Zone1-2 → 432Hz; Zone3-4 → 528Hz; Zone5 → BPM同步</w:t>
            </w:r>
          </w:p>
        </w:tc>
        <w:tc>
          <w:tcPr>
            <w:tcW w:type="dxa" w:w="2161"/>
          </w:tcPr>
          <w:p>
            <w:pPr>
              <w:jc w:val="center"/>
            </w:pPr>
            <w:r/>
            <w:r>
              <w:rPr>
                <w:rFonts w:ascii="宋体" w:hAnsi="宋体" w:eastAsia="宋体"/>
                <w:sz w:val="17"/>
              </w:rPr>
              <w:t>音频-生理节律同步</w:t>
            </w:r>
          </w:p>
        </w:tc>
      </w:tr>
      <w:tr>
        <w:tc>
          <w:tcPr>
            <w:tcW w:type="dxa" w:w="2161"/>
            <w:shd w:fill="E8F0FE" w:val="clear"/>
          </w:tcPr>
          <w:p>
            <w:pPr>
              <w:jc w:val="center"/>
            </w:pPr>
            <w:r/>
            <w:r>
              <w:rPr>
                <w:rFonts w:ascii="宋体" w:hAnsi="宋体" w:eastAsia="宋体"/>
                <w:sz w:val="17"/>
              </w:rPr>
              <w:t>粒子密度</w:t>
            </w:r>
          </w:p>
        </w:tc>
        <w:tc>
          <w:tcPr>
            <w:tcW w:type="dxa" w:w="2161"/>
            <w:shd w:fill="E8F0FE" w:val="clear"/>
          </w:tcPr>
          <w:p>
            <w:pPr>
              <w:jc w:val="center"/>
            </w:pPr>
            <w:r/>
            <w:r>
              <w:rPr>
                <w:rFonts w:ascii="宋体" w:hAnsi="宋体" w:eastAsia="宋体"/>
                <w:sz w:val="17"/>
              </w:rPr>
              <w:t>EEG Alpha功率</w:t>
            </w:r>
          </w:p>
        </w:tc>
        <w:tc>
          <w:tcPr>
            <w:tcW w:type="dxa" w:w="2161"/>
            <w:shd w:fill="E8F0FE" w:val="clear"/>
          </w:tcPr>
          <w:p>
            <w:pPr>
              <w:jc w:val="center"/>
            </w:pPr>
            <w:r/>
            <w:r>
              <w:rPr>
                <w:rFonts w:ascii="宋体" w:hAnsi="宋体" w:eastAsia="宋体"/>
                <w:sz w:val="17"/>
              </w:rPr>
              <w:t>Alpha &gt; 200%基线 → 最大密度; &lt; 100%基线 → 无粒子</w:t>
            </w:r>
          </w:p>
        </w:tc>
        <w:tc>
          <w:tcPr>
            <w:tcW w:type="dxa" w:w="2161"/>
            <w:shd w:fill="E8F0FE" w:val="clear"/>
          </w:tcPr>
          <w:p>
            <w:pPr>
              <w:jc w:val="center"/>
            </w:pPr>
            <w:r/>
            <w:r>
              <w:rPr>
                <w:rFonts w:ascii="宋体" w:hAnsi="宋体" w:eastAsia="宋体"/>
                <w:sz w:val="17"/>
              </w:rPr>
              <w:t>放松状态视觉增强</w:t>
            </w:r>
          </w:p>
        </w:tc>
      </w:tr>
      <w:tr>
        <w:tc>
          <w:tcPr>
            <w:tcW w:type="dxa" w:w="2161"/>
          </w:tcPr>
          <w:p>
            <w:pPr>
              <w:jc w:val="center"/>
            </w:pPr>
            <w:r/>
            <w:r>
              <w:rPr>
                <w:rFonts w:ascii="宋体" w:hAnsi="宋体" w:eastAsia="宋体"/>
                <w:sz w:val="17"/>
              </w:rPr>
              <w:t>光照强度</w:t>
            </w:r>
          </w:p>
        </w:tc>
        <w:tc>
          <w:tcPr>
            <w:tcW w:type="dxa" w:w="2161"/>
          </w:tcPr>
          <w:p>
            <w:pPr>
              <w:jc w:val="center"/>
            </w:pPr>
            <w:r/>
            <w:r>
              <w:rPr>
                <w:rFonts w:ascii="宋体" w:hAnsi="宋体" w:eastAsia="宋体"/>
                <w:sz w:val="17"/>
              </w:rPr>
              <w:t>Theta/Beta比值</w:t>
            </w:r>
          </w:p>
        </w:tc>
        <w:tc>
          <w:tcPr>
            <w:tcW w:type="dxa" w:w="2161"/>
          </w:tcPr>
          <w:p>
            <w:pPr>
              <w:jc w:val="center"/>
            </w:pPr>
            <w:r/>
            <w:r>
              <w:rPr>
                <w:rFonts w:ascii="宋体" w:hAnsi="宋体" w:eastAsia="宋体"/>
                <w:sz w:val="17"/>
              </w:rPr>
              <w:t>TBR &lt; 1.5 → 高亮度; TBR &gt; 2.5 → 柔和降低</w:t>
            </w:r>
          </w:p>
        </w:tc>
        <w:tc>
          <w:tcPr>
            <w:tcW w:type="dxa" w:w="2161"/>
          </w:tcPr>
          <w:p>
            <w:pPr>
              <w:jc w:val="center"/>
            </w:pPr>
            <w:r/>
            <w:r>
              <w:rPr>
                <w:rFonts w:ascii="宋体" w:hAnsi="宋体" w:eastAsia="宋体"/>
                <w:sz w:val="17"/>
              </w:rPr>
              <w:t>注意力状态适配</w:t>
            </w:r>
          </w:p>
        </w:tc>
      </w:tr>
      <w:tr>
        <w:tc>
          <w:tcPr>
            <w:tcW w:type="dxa" w:w="2161"/>
            <w:shd w:fill="E8F0FE" w:val="clear"/>
          </w:tcPr>
          <w:p>
            <w:pPr>
              <w:jc w:val="center"/>
            </w:pPr>
            <w:r/>
            <w:r>
              <w:rPr>
                <w:rFonts w:ascii="宋体" w:hAnsi="宋体" w:eastAsia="宋体"/>
                <w:sz w:val="17"/>
              </w:rPr>
              <w:t>VR教练语音</w:t>
            </w:r>
          </w:p>
        </w:tc>
        <w:tc>
          <w:tcPr>
            <w:tcW w:type="dxa" w:w="2161"/>
            <w:shd w:fill="E8F0FE" w:val="clear"/>
          </w:tcPr>
          <w:p>
            <w:pPr>
              <w:jc w:val="center"/>
            </w:pPr>
            <w:r/>
            <w:r>
              <w:rPr>
                <w:rFonts w:ascii="宋体" w:hAnsi="宋体" w:eastAsia="宋体"/>
                <w:sz w:val="17"/>
              </w:rPr>
              <w:t>RMSSD趋势 + GSR峰值</w:t>
            </w:r>
          </w:p>
        </w:tc>
        <w:tc>
          <w:tcPr>
            <w:tcW w:type="dxa" w:w="2161"/>
            <w:shd w:fill="E8F0FE" w:val="clear"/>
          </w:tcPr>
          <w:p>
            <w:pPr>
              <w:jc w:val="center"/>
            </w:pPr>
            <w:r/>
            <w:r>
              <w:rPr>
                <w:rFonts w:ascii="宋体" w:hAnsi="宋体" w:eastAsia="宋体"/>
                <w:sz w:val="17"/>
              </w:rPr>
              <w:t>RMSSD↓&gt;20% → 提醒放慢; GSR↑突增 → 安抚提示</w:t>
            </w:r>
          </w:p>
        </w:tc>
        <w:tc>
          <w:tcPr>
            <w:tcW w:type="dxa" w:w="2161"/>
            <w:shd w:fill="E8F0FE" w:val="clear"/>
          </w:tcPr>
          <w:p>
            <w:pPr>
              <w:jc w:val="center"/>
            </w:pPr>
            <w:r/>
            <w:r>
              <w:rPr>
                <w:rFonts w:ascii="宋体" w:hAnsi="宋体" w:eastAsia="宋体"/>
                <w:sz w:val="17"/>
              </w:rPr>
              <w:t>实时安全与情绪干预</w:t>
            </w:r>
          </w:p>
        </w:tc>
      </w:tr>
    </w:tbl>
    <w:p/>
    <w:p>
      <w:pPr>
        <w:pStyle w:val="Heading1"/>
      </w:pPr>
      <w:r>
        <w:rPr>
          <w:rFonts w:ascii="黑体" w:hAnsi="黑体" w:eastAsia="黑体"/>
        </w:rPr>
        <w:t>6  讨论</w:t>
      </w:r>
    </w:p>
    <w:p>
      <w:pPr>
        <w:pStyle w:val="Heading2"/>
      </w:pPr>
      <w:r>
        <w:rPr>
          <w:rFonts w:ascii="黑体" w:hAnsi="黑体" w:eastAsia="黑体"/>
        </w:rPr>
        <w:t>6.1  系统创新点分析</w:t>
      </w:r>
    </w:p>
    <w:p>
      <w:pPr>
        <w:spacing w:line="360" w:lineRule="auto" w:after="0" w:before="0"/>
        <w:ind w:firstLine="420"/>
      </w:pPr>
      <w:r>
        <w:rPr>
          <w:rFonts w:ascii="宋体" w:hAnsi="宋体" w:eastAsia="宋体"/>
          <w:b w:val="0"/>
          <w:sz w:val="24"/>
        </w:rPr>
        <w:t>本系统的设计在以下四个方面体现了技术创新性：</w:t>
      </w:r>
    </w:p>
    <w:p>
      <w:pPr>
        <w:spacing w:line="360" w:lineRule="auto" w:after="0" w:before="0"/>
        <w:ind w:firstLine="420"/>
      </w:pPr>
      <w:r>
        <w:rPr>
          <w:rFonts w:ascii="宋体" w:hAnsi="宋体" w:eastAsia="宋体"/>
          <w:b w:val="0"/>
          <w:sz w:val="24"/>
        </w:rPr>
        <w:t>第一，"一源多用"的多维感知策略。传统多模态生理感知系统通常要求每个评估维度配置独立传感器，导致硬件成本高昂、系统复杂度大、佩戴舒适度低。本系统提出的"一源多用"策略从HRV信号中同时提取身体（心率负荷）、心理（RMSSD压力、LF/HF情绪唤醒）与脑功能（样本熵神经调控复杂度）三个维度的指标，将单一传感器的信息利用效率最大化。这一策略的科学基础在于HRV是自主神经系统功能的多维窗口——时域、频域与非线性指标各自携带不同维度的生理信息[8]。在低成本方案（约600元）下，该策略使系统具备了准入门槛极低的身心脑三维评估能力，为大规模校园推广应用创造了条件。</w:t>
      </w:r>
    </w:p>
    <w:p>
      <w:pPr>
        <w:spacing w:line="360" w:lineRule="auto" w:after="0" w:before="0"/>
        <w:ind w:firstLine="420"/>
      </w:pPr>
      <w:r>
        <w:rPr>
          <w:rFonts w:ascii="宋体" w:hAnsi="宋体" w:eastAsia="宋体"/>
          <w:b w:val="0"/>
          <w:sz w:val="24"/>
        </w:rPr>
        <w:t>第二，六层可解释AI管道。目前运动训练领域的AI应用多为端到端深度学习模型，虽然预测精度较高但决策过程不透明，存在安全性隐患[19]。本系统采用的"安全规则门控→生理边界过滤→RF分类→SVR回归→上下文微调"级联架构，在每一层都保持了完全的可解释性——用户可以追踪任何一条推荐决策的完整推理路径。安全规则层独立于ML模型，确保了生理安全约束的绝对优先级。这种设计特别适合健康干预场景，因为当AI推荐与临床判断冲突时，可解释性使人工审核与干预成为可能。</w:t>
      </w:r>
    </w:p>
    <w:p>
      <w:pPr>
        <w:spacing w:line="360" w:lineRule="auto" w:after="0" w:before="0"/>
        <w:ind w:firstLine="420"/>
      </w:pPr>
      <w:r>
        <w:rPr>
          <w:rFonts w:ascii="宋体" w:hAnsi="宋体" w:eastAsia="宋体"/>
          <w:b w:val="0"/>
          <w:sz w:val="24"/>
        </w:rPr>
        <w:t>第三，闭环VR生物反馈机制。传统VR运动训练多为"预设内容+被动体验"模式，环境参数固定不变。本系统通过LSL实时流与HTTP API实现了从传感器到VR场景的完整数据闭环，使VR环境成为"活的"自适应训练空间——天空色温、音频频率、粒子密度、光照强度等环境参数均根据实时生理状态连续调节。这种隐性生物反馈（ambient biofeedback）与显性HUD元素（心率环、EEG柱状图等）形成双层反馈通道，使用户在自然沉浸中获得个性化的训练引导。</w:t>
      </w:r>
    </w:p>
    <w:p>
      <w:pPr>
        <w:spacing w:line="360" w:lineRule="auto" w:after="0" w:before="0"/>
        <w:ind w:firstLine="420"/>
      </w:pPr>
      <w:r>
        <w:rPr>
          <w:rFonts w:ascii="宋体" w:hAnsi="宋体" w:eastAsia="宋体"/>
          <w:b w:val="0"/>
          <w:sz w:val="24"/>
        </w:rPr>
        <w:t>第四，渐进式硬件架构。方案一与方案二的共享数据管道设计保证了系统可以从低成本方案平滑升级到高精度方案，无需重新开发数据采集与AI分析模块。这种"最低可行产品（MVP）优先+渐进增强"的工程策略降低了系统开发风险，也为不同预算与应用场景（课堂教学、科研实验、临床康复）提供了灵活的部署选项。</w:t>
      </w:r>
    </w:p>
    <w:p>
      <w:pPr>
        <w:pStyle w:val="Heading2"/>
      </w:pPr>
      <w:r>
        <w:rPr>
          <w:rFonts w:ascii="黑体" w:hAnsi="黑体" w:eastAsia="黑体"/>
        </w:rPr>
        <w:t>6.2  与现有研究的比较</w:t>
      </w:r>
    </w:p>
    <w:p>
      <w:pPr>
        <w:spacing w:line="360" w:lineRule="auto" w:after="0" w:before="240"/>
        <w:jc w:val="center"/>
      </w:pPr>
      <w:r>
        <w:rPr>
          <w:rFonts w:ascii="宋体" w:hAnsi="宋体" w:eastAsia="宋体"/>
          <w:b/>
          <w:sz w:val="18"/>
        </w:rPr>
        <w:t>表5  本系统与现有VR运动训练系统的比较</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4472C4" w:val="clear"/>
          </w:tcPr>
          <w:p>
            <w:pPr>
              <w:jc w:val="center"/>
            </w:pPr>
            <w:r/>
            <w:r>
              <w:rPr>
                <w:rFonts w:ascii="宋体" w:hAnsi="宋体" w:eastAsia="宋体"/>
                <w:b/>
                <w:color w:val="FFFFFF"/>
                <w:sz w:val="18"/>
              </w:rPr>
              <w:t>特征</w:t>
            </w:r>
          </w:p>
        </w:tc>
        <w:tc>
          <w:tcPr>
            <w:tcW w:type="dxa" w:w="1729"/>
            <w:shd w:fill="4472C4" w:val="clear"/>
          </w:tcPr>
          <w:p>
            <w:pPr>
              <w:jc w:val="center"/>
            </w:pPr>
            <w:r/>
            <w:r>
              <w:rPr>
                <w:rFonts w:ascii="宋体" w:hAnsi="宋体" w:eastAsia="宋体"/>
                <w:b/>
                <w:color w:val="FFFFFF"/>
                <w:sz w:val="18"/>
              </w:rPr>
              <w:t>传统VR运动游戏</w:t>
              <w:br/>
              <w:t>(e.g., Beat Saber)</w:t>
            </w:r>
          </w:p>
        </w:tc>
        <w:tc>
          <w:tcPr>
            <w:tcW w:type="dxa" w:w="1729"/>
            <w:shd w:fill="4472C4" w:val="clear"/>
          </w:tcPr>
          <w:p>
            <w:pPr>
              <w:jc w:val="center"/>
            </w:pPr>
            <w:r/>
            <w:r>
              <w:rPr>
                <w:rFonts w:ascii="宋体" w:hAnsi="宋体" w:eastAsia="宋体"/>
                <w:b/>
                <w:color w:val="FFFFFF"/>
                <w:sz w:val="18"/>
              </w:rPr>
              <w:t>VR运动康复系统</w:t>
              <w:br/>
              <w:t>(现有研究)</w:t>
            </w:r>
          </w:p>
        </w:tc>
        <w:tc>
          <w:tcPr>
            <w:tcW w:type="dxa" w:w="1729"/>
            <w:shd w:fill="4472C4" w:val="clear"/>
          </w:tcPr>
          <w:p>
            <w:pPr>
              <w:jc w:val="center"/>
            </w:pPr>
            <w:r/>
            <w:r>
              <w:rPr>
                <w:rFonts w:ascii="宋体" w:hAnsi="宋体" w:eastAsia="宋体"/>
                <w:b/>
                <w:color w:val="FFFFFF"/>
                <w:sz w:val="18"/>
              </w:rPr>
              <w:t>VR生物反馈训练</w:t>
              <w:br/>
              <w:t>(现有研究)</w:t>
            </w:r>
          </w:p>
        </w:tc>
        <w:tc>
          <w:tcPr>
            <w:tcW w:type="dxa" w:w="1729"/>
            <w:shd w:fill="4472C4" w:val="clear"/>
          </w:tcPr>
          <w:p>
            <w:pPr>
              <w:jc w:val="center"/>
            </w:pPr>
            <w:r/>
            <w:r>
              <w:rPr>
                <w:rFonts w:ascii="宋体" w:hAnsi="宋体" w:eastAsia="宋体"/>
                <w:b/>
                <w:color w:val="FFFFFF"/>
                <w:sz w:val="18"/>
              </w:rPr>
              <w:t>本系统</w:t>
            </w:r>
          </w:p>
        </w:tc>
      </w:tr>
      <w:tr>
        <w:tc>
          <w:tcPr>
            <w:tcW w:type="dxa" w:w="1729"/>
            <w:shd w:fill="E8F0FE" w:val="clear"/>
          </w:tcPr>
          <w:p>
            <w:pPr>
              <w:jc w:val="center"/>
            </w:pPr>
            <w:r/>
            <w:r>
              <w:rPr>
                <w:rFonts w:ascii="宋体" w:hAnsi="宋体" w:eastAsia="宋体"/>
                <w:sz w:val="17"/>
              </w:rPr>
              <w:t>生理传感</w:t>
            </w:r>
          </w:p>
        </w:tc>
        <w:tc>
          <w:tcPr>
            <w:tcW w:type="dxa" w:w="1729"/>
            <w:shd w:fill="E8F0FE" w:val="clear"/>
          </w:tcPr>
          <w:p>
            <w:pPr>
              <w:jc w:val="center"/>
            </w:pPr>
            <w:r/>
            <w:r>
              <w:rPr>
                <w:rFonts w:ascii="宋体" w:hAnsi="宋体" w:eastAsia="宋体"/>
                <w:sz w:val="17"/>
              </w:rPr>
              <w:t>仅手柄IMU</w:t>
            </w:r>
          </w:p>
        </w:tc>
        <w:tc>
          <w:tcPr>
            <w:tcW w:type="dxa" w:w="1729"/>
            <w:shd w:fill="E8F0FE" w:val="clear"/>
          </w:tcPr>
          <w:p>
            <w:pPr>
              <w:jc w:val="center"/>
            </w:pPr>
            <w:r/>
            <w:r>
              <w:rPr>
                <w:rFonts w:ascii="宋体" w:hAnsi="宋体" w:eastAsia="宋体"/>
                <w:sz w:val="17"/>
              </w:rPr>
              <w:t>HR监测（可选）</w:t>
            </w:r>
          </w:p>
        </w:tc>
        <w:tc>
          <w:tcPr>
            <w:tcW w:type="dxa" w:w="1729"/>
            <w:shd w:fill="E8F0FE" w:val="clear"/>
          </w:tcPr>
          <w:p>
            <w:pPr>
              <w:jc w:val="center"/>
            </w:pPr>
            <w:r/>
            <w:r>
              <w:rPr>
                <w:rFonts w:ascii="宋体" w:hAnsi="宋体" w:eastAsia="宋体"/>
                <w:sz w:val="17"/>
              </w:rPr>
              <w:t>1-2种传感器</w:t>
            </w:r>
          </w:p>
        </w:tc>
        <w:tc>
          <w:tcPr>
            <w:tcW w:type="dxa" w:w="1729"/>
            <w:shd w:fill="E8F0FE" w:val="clear"/>
          </w:tcPr>
          <w:p>
            <w:pPr>
              <w:jc w:val="center"/>
            </w:pPr>
            <w:r/>
            <w:r>
              <w:rPr>
                <w:rFonts w:ascii="宋体" w:hAnsi="宋体" w:eastAsia="宋体"/>
                <w:sz w:val="17"/>
              </w:rPr>
              <w:t>多模态（HRV/EEG/GSR/PPG）</w:t>
            </w:r>
          </w:p>
        </w:tc>
      </w:tr>
      <w:tr>
        <w:tc>
          <w:tcPr>
            <w:tcW w:type="dxa" w:w="1729"/>
          </w:tcPr>
          <w:p>
            <w:pPr>
              <w:jc w:val="center"/>
            </w:pPr>
            <w:r/>
            <w:r>
              <w:rPr>
                <w:rFonts w:ascii="宋体" w:hAnsi="宋体" w:eastAsia="宋体"/>
                <w:sz w:val="17"/>
              </w:rPr>
              <w:t>心理评估</w:t>
            </w:r>
          </w:p>
        </w:tc>
        <w:tc>
          <w:tcPr>
            <w:tcW w:type="dxa" w:w="1729"/>
          </w:tcPr>
          <w:p>
            <w:pPr>
              <w:jc w:val="center"/>
            </w:pPr>
            <w:r/>
            <w:r>
              <w:rPr>
                <w:rFonts w:ascii="宋体" w:hAnsi="宋体" w:eastAsia="宋体"/>
                <w:sz w:val="17"/>
              </w:rPr>
              <w:t>无</w:t>
            </w:r>
          </w:p>
        </w:tc>
        <w:tc>
          <w:tcPr>
            <w:tcW w:type="dxa" w:w="1729"/>
          </w:tcPr>
          <w:p>
            <w:pPr>
              <w:jc w:val="center"/>
            </w:pPr>
            <w:r/>
            <w:r>
              <w:rPr>
                <w:rFonts w:ascii="宋体" w:hAnsi="宋体" w:eastAsia="宋体"/>
                <w:sz w:val="17"/>
              </w:rPr>
              <w:t>无</w:t>
            </w:r>
          </w:p>
        </w:tc>
        <w:tc>
          <w:tcPr>
            <w:tcW w:type="dxa" w:w="1729"/>
          </w:tcPr>
          <w:p>
            <w:pPr>
              <w:jc w:val="center"/>
            </w:pPr>
            <w:r/>
            <w:r>
              <w:rPr>
                <w:rFonts w:ascii="宋体" w:hAnsi="宋体" w:eastAsia="宋体"/>
                <w:sz w:val="17"/>
              </w:rPr>
              <w:t>有限（单一指标）</w:t>
            </w:r>
          </w:p>
        </w:tc>
        <w:tc>
          <w:tcPr>
            <w:tcW w:type="dxa" w:w="1729"/>
          </w:tcPr>
          <w:p>
            <w:pPr>
              <w:jc w:val="center"/>
            </w:pPr>
            <w:r/>
            <w:r>
              <w:rPr>
                <w:rFonts w:ascii="宋体" w:hAnsi="宋体" w:eastAsia="宋体"/>
                <w:sz w:val="17"/>
              </w:rPr>
              <w:t>效价-唤醒度二维情绪定位</w:t>
            </w:r>
          </w:p>
        </w:tc>
      </w:tr>
      <w:tr>
        <w:tc>
          <w:tcPr>
            <w:tcW w:type="dxa" w:w="1729"/>
            <w:shd w:fill="E8F0FE" w:val="clear"/>
          </w:tcPr>
          <w:p>
            <w:pPr>
              <w:jc w:val="center"/>
            </w:pPr>
            <w:r/>
            <w:r>
              <w:rPr>
                <w:rFonts w:ascii="宋体" w:hAnsi="宋体" w:eastAsia="宋体"/>
                <w:sz w:val="17"/>
              </w:rPr>
              <w:t>认知评估</w:t>
            </w:r>
          </w:p>
        </w:tc>
        <w:tc>
          <w:tcPr>
            <w:tcW w:type="dxa" w:w="1729"/>
            <w:shd w:fill="E8F0FE" w:val="clear"/>
          </w:tcPr>
          <w:p>
            <w:pPr>
              <w:jc w:val="center"/>
            </w:pPr>
            <w:r/>
            <w:r>
              <w:rPr>
                <w:rFonts w:ascii="宋体" w:hAnsi="宋体" w:eastAsia="宋体"/>
                <w:sz w:val="17"/>
              </w:rPr>
              <w:t>无</w:t>
            </w:r>
          </w:p>
        </w:tc>
        <w:tc>
          <w:tcPr>
            <w:tcW w:type="dxa" w:w="1729"/>
            <w:shd w:fill="E8F0FE" w:val="clear"/>
          </w:tcPr>
          <w:p>
            <w:pPr>
              <w:jc w:val="center"/>
            </w:pPr>
            <w:r/>
            <w:r>
              <w:rPr>
                <w:rFonts w:ascii="宋体" w:hAnsi="宋体" w:eastAsia="宋体"/>
                <w:sz w:val="17"/>
              </w:rPr>
              <w:t>无</w:t>
            </w:r>
          </w:p>
        </w:tc>
        <w:tc>
          <w:tcPr>
            <w:tcW w:type="dxa" w:w="1729"/>
            <w:shd w:fill="E8F0FE" w:val="clear"/>
          </w:tcPr>
          <w:p>
            <w:pPr>
              <w:jc w:val="center"/>
            </w:pPr>
            <w:r/>
            <w:r>
              <w:rPr>
                <w:rFonts w:ascii="宋体" w:hAnsi="宋体" w:eastAsia="宋体"/>
                <w:sz w:val="17"/>
              </w:rPr>
              <w:t>无</w:t>
            </w:r>
          </w:p>
        </w:tc>
        <w:tc>
          <w:tcPr>
            <w:tcW w:type="dxa" w:w="1729"/>
            <w:shd w:fill="E8F0FE" w:val="clear"/>
          </w:tcPr>
          <w:p>
            <w:pPr>
              <w:jc w:val="center"/>
            </w:pPr>
            <w:r/>
            <w:r>
              <w:rPr>
                <w:rFonts w:ascii="宋体" w:hAnsi="宋体" w:eastAsia="宋体"/>
                <w:sz w:val="17"/>
              </w:rPr>
              <w:t>Stroop/N-back/反应时</w:t>
            </w:r>
          </w:p>
        </w:tc>
      </w:tr>
      <w:tr>
        <w:tc>
          <w:tcPr>
            <w:tcW w:type="dxa" w:w="1729"/>
          </w:tcPr>
          <w:p>
            <w:pPr>
              <w:jc w:val="center"/>
            </w:pPr>
            <w:r/>
            <w:r>
              <w:rPr>
                <w:rFonts w:ascii="宋体" w:hAnsi="宋体" w:eastAsia="宋体"/>
                <w:sz w:val="17"/>
              </w:rPr>
              <w:t>AI个性化</w:t>
            </w:r>
          </w:p>
        </w:tc>
        <w:tc>
          <w:tcPr>
            <w:tcW w:type="dxa" w:w="1729"/>
          </w:tcPr>
          <w:p>
            <w:pPr>
              <w:jc w:val="center"/>
            </w:pPr>
            <w:r/>
            <w:r>
              <w:rPr>
                <w:rFonts w:ascii="宋体" w:hAnsi="宋体" w:eastAsia="宋体"/>
                <w:sz w:val="17"/>
              </w:rPr>
              <w:t>固定难度曲线</w:t>
            </w:r>
          </w:p>
        </w:tc>
        <w:tc>
          <w:tcPr>
            <w:tcW w:type="dxa" w:w="1729"/>
          </w:tcPr>
          <w:p>
            <w:pPr>
              <w:jc w:val="center"/>
            </w:pPr>
            <w:r/>
            <w:r>
              <w:rPr>
                <w:rFonts w:ascii="宋体" w:hAnsi="宋体" w:eastAsia="宋体"/>
                <w:sz w:val="17"/>
              </w:rPr>
              <w:t>基于HR的区间调整</w:t>
            </w:r>
          </w:p>
        </w:tc>
        <w:tc>
          <w:tcPr>
            <w:tcW w:type="dxa" w:w="1729"/>
          </w:tcPr>
          <w:p>
            <w:pPr>
              <w:jc w:val="center"/>
            </w:pPr>
            <w:r/>
            <w:r>
              <w:rPr>
                <w:rFonts w:ascii="宋体" w:hAnsi="宋体" w:eastAsia="宋体"/>
                <w:sz w:val="17"/>
              </w:rPr>
              <w:t>基于阈值的简单规则</w:t>
            </w:r>
          </w:p>
        </w:tc>
        <w:tc>
          <w:tcPr>
            <w:tcW w:type="dxa" w:w="1729"/>
          </w:tcPr>
          <w:p>
            <w:pPr>
              <w:jc w:val="center"/>
            </w:pPr>
            <w:r/>
            <w:r>
              <w:rPr>
                <w:rFonts w:ascii="宋体" w:hAnsi="宋体" w:eastAsia="宋体"/>
                <w:sz w:val="17"/>
              </w:rPr>
              <w:t>RF+SVR+多层规则级联</w:t>
            </w:r>
          </w:p>
        </w:tc>
      </w:tr>
      <w:tr>
        <w:tc>
          <w:tcPr>
            <w:tcW w:type="dxa" w:w="1729"/>
            <w:shd w:fill="E8F0FE" w:val="clear"/>
          </w:tcPr>
          <w:p>
            <w:pPr>
              <w:jc w:val="center"/>
            </w:pPr>
            <w:r/>
            <w:r>
              <w:rPr>
                <w:rFonts w:ascii="宋体" w:hAnsi="宋体" w:eastAsia="宋体"/>
                <w:sz w:val="17"/>
              </w:rPr>
              <w:t>AI可解释性</w:t>
            </w:r>
          </w:p>
        </w:tc>
        <w:tc>
          <w:tcPr>
            <w:tcW w:type="dxa" w:w="1729"/>
            <w:shd w:fill="E8F0FE" w:val="clear"/>
          </w:tcPr>
          <w:p>
            <w:pPr>
              <w:jc w:val="center"/>
            </w:pPr>
            <w:r/>
            <w:r>
              <w:rPr>
                <w:rFonts w:ascii="宋体" w:hAnsi="宋体" w:eastAsia="宋体"/>
                <w:sz w:val="17"/>
              </w:rPr>
              <w:t>N/A</w:t>
            </w:r>
          </w:p>
        </w:tc>
        <w:tc>
          <w:tcPr>
            <w:tcW w:type="dxa" w:w="1729"/>
            <w:shd w:fill="E8F0FE" w:val="clear"/>
          </w:tcPr>
          <w:p>
            <w:pPr>
              <w:jc w:val="center"/>
            </w:pPr>
            <w:r/>
            <w:r>
              <w:rPr>
                <w:rFonts w:ascii="宋体" w:hAnsi="宋体" w:eastAsia="宋体"/>
                <w:sz w:val="17"/>
              </w:rPr>
              <w:t>N/A</w:t>
            </w:r>
          </w:p>
        </w:tc>
        <w:tc>
          <w:tcPr>
            <w:tcW w:type="dxa" w:w="1729"/>
            <w:shd w:fill="E8F0FE" w:val="clear"/>
          </w:tcPr>
          <w:p>
            <w:pPr>
              <w:jc w:val="center"/>
            </w:pPr>
            <w:r/>
            <w:r>
              <w:rPr>
                <w:rFonts w:ascii="宋体" w:hAnsi="宋体" w:eastAsia="宋体"/>
                <w:sz w:val="17"/>
              </w:rPr>
              <w:t>高（简单规则）</w:t>
            </w:r>
          </w:p>
        </w:tc>
        <w:tc>
          <w:tcPr>
            <w:tcW w:type="dxa" w:w="1729"/>
            <w:shd w:fill="E8F0FE" w:val="clear"/>
          </w:tcPr>
          <w:p>
            <w:pPr>
              <w:jc w:val="center"/>
            </w:pPr>
            <w:r/>
            <w:r>
              <w:rPr>
                <w:rFonts w:ascii="宋体" w:hAnsi="宋体" w:eastAsia="宋体"/>
                <w:sz w:val="17"/>
              </w:rPr>
              <w:t>高（全管道可追溯）</w:t>
            </w:r>
          </w:p>
        </w:tc>
      </w:tr>
      <w:tr>
        <w:tc>
          <w:tcPr>
            <w:tcW w:type="dxa" w:w="1729"/>
          </w:tcPr>
          <w:p>
            <w:pPr>
              <w:jc w:val="center"/>
            </w:pPr>
            <w:r/>
            <w:r>
              <w:rPr>
                <w:rFonts w:ascii="宋体" w:hAnsi="宋体" w:eastAsia="宋体"/>
                <w:sz w:val="17"/>
              </w:rPr>
              <w:t>VR环境自适应</w:t>
            </w:r>
          </w:p>
        </w:tc>
        <w:tc>
          <w:tcPr>
            <w:tcW w:type="dxa" w:w="1729"/>
          </w:tcPr>
          <w:p>
            <w:pPr>
              <w:jc w:val="center"/>
            </w:pPr>
            <w:r/>
            <w:r>
              <w:rPr>
                <w:rFonts w:ascii="宋体" w:hAnsi="宋体" w:eastAsia="宋体"/>
                <w:sz w:val="17"/>
              </w:rPr>
              <w:t>无</w:t>
            </w:r>
          </w:p>
        </w:tc>
        <w:tc>
          <w:tcPr>
            <w:tcW w:type="dxa" w:w="1729"/>
          </w:tcPr>
          <w:p>
            <w:pPr>
              <w:jc w:val="center"/>
            </w:pPr>
            <w:r/>
            <w:r>
              <w:rPr>
                <w:rFonts w:ascii="宋体" w:hAnsi="宋体" w:eastAsia="宋体"/>
                <w:sz w:val="17"/>
              </w:rPr>
              <w:t>有限</w:t>
            </w:r>
          </w:p>
        </w:tc>
        <w:tc>
          <w:tcPr>
            <w:tcW w:type="dxa" w:w="1729"/>
          </w:tcPr>
          <w:p>
            <w:pPr>
              <w:jc w:val="center"/>
            </w:pPr>
            <w:r/>
            <w:r>
              <w:rPr>
                <w:rFonts w:ascii="宋体" w:hAnsi="宋体" w:eastAsia="宋体"/>
                <w:sz w:val="17"/>
              </w:rPr>
              <w:t>1-2个参数</w:t>
            </w:r>
          </w:p>
        </w:tc>
        <w:tc>
          <w:tcPr>
            <w:tcW w:type="dxa" w:w="1729"/>
          </w:tcPr>
          <w:p>
            <w:pPr>
              <w:jc w:val="center"/>
            </w:pPr>
            <w:r/>
            <w:r>
              <w:rPr>
                <w:rFonts w:ascii="宋体" w:hAnsi="宋体" w:eastAsia="宋体"/>
                <w:sz w:val="17"/>
              </w:rPr>
              <w:t>5+环境参数连续自适应</w:t>
            </w:r>
          </w:p>
        </w:tc>
      </w:tr>
      <w:tr>
        <w:tc>
          <w:tcPr>
            <w:tcW w:type="dxa" w:w="1729"/>
            <w:shd w:fill="E8F0FE" w:val="clear"/>
          </w:tcPr>
          <w:p>
            <w:pPr>
              <w:jc w:val="center"/>
            </w:pPr>
            <w:r/>
            <w:r>
              <w:rPr>
                <w:rFonts w:ascii="宋体" w:hAnsi="宋体" w:eastAsia="宋体"/>
                <w:sz w:val="17"/>
              </w:rPr>
              <w:t>成本</w:t>
            </w:r>
          </w:p>
        </w:tc>
        <w:tc>
          <w:tcPr>
            <w:tcW w:type="dxa" w:w="1729"/>
            <w:shd w:fill="E8F0FE" w:val="clear"/>
          </w:tcPr>
          <w:p>
            <w:pPr>
              <w:jc w:val="center"/>
            </w:pPr>
            <w:r/>
            <w:r>
              <w:rPr>
                <w:rFonts w:ascii="宋体" w:hAnsi="宋体" w:eastAsia="宋体"/>
                <w:sz w:val="17"/>
              </w:rPr>
              <w:t>~$500（仅VR）</w:t>
            </w:r>
          </w:p>
        </w:tc>
        <w:tc>
          <w:tcPr>
            <w:tcW w:type="dxa" w:w="1729"/>
            <w:shd w:fill="E8F0FE" w:val="clear"/>
          </w:tcPr>
          <w:p>
            <w:pPr>
              <w:jc w:val="center"/>
            </w:pPr>
            <w:r/>
            <w:r>
              <w:rPr>
                <w:rFonts w:ascii="宋体" w:hAnsi="宋体" w:eastAsia="宋体"/>
                <w:sz w:val="17"/>
              </w:rPr>
              <w:t>不等</w:t>
            </w:r>
          </w:p>
        </w:tc>
        <w:tc>
          <w:tcPr>
            <w:tcW w:type="dxa" w:w="1729"/>
            <w:shd w:fill="E8F0FE" w:val="clear"/>
          </w:tcPr>
          <w:p>
            <w:pPr>
              <w:jc w:val="center"/>
            </w:pPr>
            <w:r/>
            <w:r>
              <w:rPr>
                <w:rFonts w:ascii="宋体" w:hAnsi="宋体" w:eastAsia="宋体"/>
                <w:sz w:val="17"/>
              </w:rPr>
              <w:t>不等</w:t>
            </w:r>
          </w:p>
        </w:tc>
        <w:tc>
          <w:tcPr>
            <w:tcW w:type="dxa" w:w="1729"/>
            <w:shd w:fill="E8F0FE" w:val="clear"/>
          </w:tcPr>
          <w:p>
            <w:pPr>
              <w:jc w:val="center"/>
            </w:pPr>
            <w:r/>
            <w:r>
              <w:rPr>
                <w:rFonts w:ascii="宋体" w:hAnsi="宋体" w:eastAsia="宋体"/>
                <w:sz w:val="17"/>
              </w:rPr>
              <w:t>$80起（不含VR头显）</w:t>
            </w:r>
          </w:p>
        </w:tc>
      </w:tr>
      <w:tr>
        <w:tc>
          <w:tcPr>
            <w:tcW w:type="dxa" w:w="1729"/>
          </w:tcPr>
          <w:p>
            <w:pPr>
              <w:jc w:val="center"/>
            </w:pPr>
            <w:r/>
            <w:r>
              <w:rPr>
                <w:rFonts w:ascii="宋体" w:hAnsi="宋体" w:eastAsia="宋体"/>
                <w:sz w:val="17"/>
              </w:rPr>
              <w:t>目标人群</w:t>
            </w:r>
          </w:p>
        </w:tc>
        <w:tc>
          <w:tcPr>
            <w:tcW w:type="dxa" w:w="1729"/>
          </w:tcPr>
          <w:p>
            <w:pPr>
              <w:jc w:val="center"/>
            </w:pPr>
            <w:r/>
            <w:r>
              <w:rPr>
                <w:rFonts w:ascii="宋体" w:hAnsi="宋体" w:eastAsia="宋体"/>
                <w:sz w:val="17"/>
              </w:rPr>
              <w:t>普通消费者</w:t>
            </w:r>
          </w:p>
        </w:tc>
        <w:tc>
          <w:tcPr>
            <w:tcW w:type="dxa" w:w="1729"/>
          </w:tcPr>
          <w:p>
            <w:pPr>
              <w:jc w:val="center"/>
            </w:pPr>
            <w:r/>
            <w:r>
              <w:rPr>
                <w:rFonts w:ascii="宋体" w:hAnsi="宋体" w:eastAsia="宋体"/>
                <w:sz w:val="17"/>
              </w:rPr>
              <w:t>康复患者</w:t>
            </w:r>
          </w:p>
        </w:tc>
        <w:tc>
          <w:tcPr>
            <w:tcW w:type="dxa" w:w="1729"/>
          </w:tcPr>
          <w:p>
            <w:pPr>
              <w:jc w:val="center"/>
            </w:pPr>
            <w:r/>
            <w:r>
              <w:rPr>
                <w:rFonts w:ascii="宋体" w:hAnsi="宋体" w:eastAsia="宋体"/>
                <w:sz w:val="17"/>
              </w:rPr>
              <w:t>特定训练人群</w:t>
            </w:r>
          </w:p>
        </w:tc>
        <w:tc>
          <w:tcPr>
            <w:tcW w:type="dxa" w:w="1729"/>
          </w:tcPr>
          <w:p>
            <w:pPr>
              <w:jc w:val="center"/>
            </w:pPr>
            <w:r/>
            <w:r>
              <w:rPr>
                <w:rFonts w:ascii="宋体" w:hAnsi="宋体" w:eastAsia="宋体"/>
                <w:sz w:val="17"/>
              </w:rPr>
              <w:t>大学生群体（普适+个性化）</w:t>
            </w:r>
          </w:p>
        </w:tc>
      </w:tr>
    </w:tbl>
    <w:p/>
    <w:p>
      <w:pPr>
        <w:pStyle w:val="Heading2"/>
      </w:pPr>
      <w:r>
        <w:rPr>
          <w:rFonts w:ascii="黑体" w:hAnsi="黑体" w:eastAsia="黑体"/>
        </w:rPr>
        <w:t>6.3  局限性与未来工作</w:t>
      </w:r>
    </w:p>
    <w:p>
      <w:pPr>
        <w:spacing w:line="360" w:lineRule="auto" w:after="0" w:before="0"/>
        <w:ind w:firstLine="420"/>
      </w:pPr>
      <w:r>
        <w:rPr>
          <w:rFonts w:ascii="宋体" w:hAnsi="宋体" w:eastAsia="宋体"/>
          <w:b w:val="0"/>
          <w:sz w:val="24"/>
        </w:rPr>
        <w:t>本系统目前处于详细设计阶段，存在以下主要局限：（1）尚未完成系统编码实现与硬件集成测试，各层模块的技术可行性基于文献论证和Web模拟原型验证，仍需在实际硬件环境中进行端到端测试；（2）AI模型的训练需要基准数据集——当前设计中采用基于文献与专家知识的规则权重方案，在系统实现后需要通过5—10人×6个session的数据收集协议建立初始训练集[30]；（3）低成本方案中"脑"维度的HRV代理指标（样本熵、总功率）只能反映自主神经层面的调控复杂度，无法直接测量皮层电活动——这在高精度方案中可以通过Muse S EEG得到解决，但在低成本方案中依然是固有局限；（4）VR认知测试（Stroop/N-back）的行为学指标虽然具有成熟的心理学测量学基础，但其作为"脑功能代理"的有效性仍需通过EEG-行为联合验证研究进一步确认。</w:t>
      </w:r>
    </w:p>
    <w:p>
      <w:pPr>
        <w:spacing w:line="360" w:lineRule="auto" w:after="0" w:before="0"/>
        <w:ind w:firstLine="420"/>
      </w:pPr>
      <w:r>
        <w:rPr>
          <w:rFonts w:ascii="宋体" w:hAnsi="宋体" w:eastAsia="宋体"/>
          <w:b w:val="0"/>
          <w:sz w:val="24"/>
        </w:rPr>
        <w:t>未来工作将沿着四个方向推进：（1）系统实现——按照六阶段实施计划（环境搭建→数据采集管道→信号处理管道→AI管道开发→VR应用开发→集成测试与验证）完成全系统编码与集成；（2）实证验证——通过随机对照试验（RCT）设计，评估系统对大学生体质健康指标、心理健康量表评分、认知功能测试成绩与运动依从性的实际干预效果；（3）算法优化——在积累足够训练数据后，探索XGBoost等梯度提升方法在运动类型分类中的性能提升潜力[31]，以及在线学习机制对模型个性化的进一步优化；（4）场景扩展——面向特定应用场景（如考试焦虑缓解、专注学习增强、睡眠改善）开发专门的VR训练模块，扩大系统的应用覆盖范围。</w:t>
      </w:r>
    </w:p>
    <w:p>
      <w:pPr>
        <w:pStyle w:val="Heading1"/>
      </w:pPr>
      <w:r>
        <w:rPr>
          <w:rFonts w:ascii="黑体" w:hAnsi="黑体" w:eastAsia="黑体"/>
        </w:rPr>
        <w:t>7  结论</w:t>
      </w:r>
    </w:p>
    <w:p>
      <w:pPr>
        <w:spacing w:line="360" w:lineRule="auto" w:after="0" w:before="0"/>
        <w:ind w:firstLine="420"/>
      </w:pPr>
      <w:r>
        <w:rPr>
          <w:rFonts w:ascii="宋体" w:hAnsi="宋体" w:eastAsia="宋体"/>
          <w:b w:val="0"/>
          <w:sz w:val="24"/>
        </w:rPr>
        <w:t>本文针对大学生群体"身—心—脑"多维健康需求与传统体育训练模式单一化之间的矛盾，设计了一套基于多模态生理感知、可解释AI决策与VR生物反馈的闭环协同训练系统。系统的主要贡献包括：（1）提出了"一源多用"的HRV多维信息提取策略，以极低的硬件成本（约600元）实现了身、心、脑三个维度的同步评估；（2）构建了六层递进式可解释AI分析管道，以"安全规则→生理边界→ML分类→回归预测→上下文修正→VR适配"的级联架构替代黑盒模型，确保决策透明与生理安全；（3）设计了四类VR运动场景与双层生物反馈（显性HUD + 隐性环境自适应）机制，实现了训练过程的实时个性化闭环。系统设计在理论层面具备可行性与创新性，为人工智能赋能大学生体育训练提供了完整的工程技术范式。后续研究将重点推进系统实现与随机对照试验验证。</w:t>
      </w:r>
    </w:p>
    <w:p>
      <w:r>
        <w:br w:type="page"/>
      </w:r>
    </w:p>
    <w:p>
      <w:pPr>
        <w:pStyle w:val="Heading1"/>
      </w:pPr>
      <w:r>
        <w:rPr>
          <w:rFonts w:ascii="黑体" w:hAnsi="黑体" w:eastAsia="黑体"/>
        </w:rPr>
        <w:t>参考文献</w:t>
      </w:r>
    </w:p>
    <w:p>
      <w:pPr>
        <w:spacing w:line="312" w:lineRule="auto" w:after="40" w:before="0"/>
      </w:pPr>
      <w:r>
        <w:rPr>
          <w:rFonts w:ascii="宋体" w:hAnsi="宋体" w:eastAsia="宋体"/>
          <w:b w:val="0"/>
          <w:sz w:val="18"/>
        </w:rPr>
        <w:t>[1] 教育部体育卫生与艺术教育司. 全国学生体质健康调研结果公报[R]. 北京: 中华人民共和国教育部, 2021.</w:t>
      </w:r>
    </w:p>
    <w:p>
      <w:pPr>
        <w:spacing w:line="312" w:lineRule="auto" w:after="40" w:before="0"/>
      </w:pPr>
      <w:r>
        <w:rPr>
          <w:rFonts w:ascii="宋体" w:hAnsi="宋体" w:eastAsia="宋体"/>
          <w:b w:val="0"/>
          <w:sz w:val="18"/>
        </w:rPr>
        <w:t>[2] 傅小兰, 张侃, 陈雪峰, 等. 中国国民心理健康发展报告（2021～2022）[M]. 北京: 社会科学文献出版社, 2023.</w:t>
      </w:r>
    </w:p>
    <w:p>
      <w:pPr>
        <w:spacing w:line="312" w:lineRule="auto" w:after="40" w:before="0"/>
      </w:pPr>
      <w:r>
        <w:rPr>
          <w:rFonts w:ascii="宋体" w:hAnsi="宋体" w:eastAsia="宋体"/>
          <w:b w:val="0"/>
          <w:sz w:val="18"/>
        </w:rPr>
        <w:t>[3] 中国科学院心理研究所. 中国国民心理健康发展报告（2021～2022）[R]. 北京, 2023.</w:t>
      </w:r>
    </w:p>
    <w:p>
      <w:pPr>
        <w:spacing w:line="312" w:lineRule="auto" w:after="40" w:before="0"/>
      </w:pPr>
      <w:r>
        <w:rPr>
          <w:rFonts w:ascii="宋体" w:hAnsi="宋体" w:eastAsia="宋体"/>
          <w:b w:val="0"/>
          <w:sz w:val="18"/>
        </w:rPr>
        <w:t>[4] Tremblay MS, Aubert S, Barnes JD, et al. Sedentary Behavior Research Network (SBRN) — Terminology Consensus Project process and outcome[J]. International Journal of Behavioral Nutrition and Physical Activity, 2017, 14(1): 75.</w:t>
      </w:r>
    </w:p>
    <w:p>
      <w:pPr>
        <w:spacing w:line="312" w:lineRule="auto" w:after="40" w:before="0"/>
      </w:pPr>
      <w:r>
        <w:rPr>
          <w:rFonts w:ascii="宋体" w:hAnsi="宋体" w:eastAsia="宋体"/>
          <w:b w:val="0"/>
          <w:sz w:val="18"/>
        </w:rPr>
        <w:t>[5] World Health Organization. WHO guidelines on physical activity and sedentary behaviour[M]. Geneva: World Health Organization, 2020.</w:t>
      </w:r>
    </w:p>
    <w:p>
      <w:pPr>
        <w:spacing w:line="312" w:lineRule="auto" w:after="40" w:before="0"/>
      </w:pPr>
      <w:r>
        <w:rPr>
          <w:rFonts w:ascii="宋体" w:hAnsi="宋体" w:eastAsia="宋体"/>
          <w:b w:val="0"/>
          <w:sz w:val="18"/>
        </w:rPr>
        <w:t>[6] Rutkowski S, Kiper P, Cacciante L, et al. Use of virtual reality-based training in different fields of rehabilitation: A systematic review and meta-analysis[J]. Journal of Rehabilitation Medicine, 2020, 52(11): jrm00121.</w:t>
      </w:r>
    </w:p>
    <w:p>
      <w:pPr>
        <w:spacing w:line="312" w:lineRule="auto" w:after="40" w:before="0"/>
      </w:pPr>
      <w:r>
        <w:rPr>
          <w:rFonts w:ascii="宋体" w:hAnsi="宋体" w:eastAsia="宋体"/>
          <w:b w:val="0"/>
          <w:sz w:val="18"/>
        </w:rPr>
        <w:t>[7] Qian J, McDonough DJ, Gao Z. The effectiveness of virtual reality exercise on individual's physiological, psychological and rehabilitative outcomes: A systematic review[J]. International Journal of Environmental Research and Public Health, 2020, 17(11): 4133.</w:t>
      </w:r>
    </w:p>
    <w:p>
      <w:pPr>
        <w:spacing w:line="312" w:lineRule="auto" w:after="40" w:before="0"/>
      </w:pPr>
      <w:r>
        <w:rPr>
          <w:rFonts w:ascii="宋体" w:hAnsi="宋体" w:eastAsia="宋体"/>
          <w:b w:val="0"/>
          <w:sz w:val="18"/>
        </w:rPr>
        <w:t>[8] Task Force of the European Society of Cardiology and the North American Society of Pacing and Electrophysiology. Heart rate variability: standards of measurement, physiological interpretation, and clinical use[J]. Circulation, 1996, 93(5): 1043-1065. (引用次数: &gt;15,000)</w:t>
      </w:r>
    </w:p>
    <w:p>
      <w:pPr>
        <w:spacing w:line="312" w:lineRule="auto" w:after="40" w:before="0"/>
      </w:pPr>
      <w:r>
        <w:rPr>
          <w:rFonts w:ascii="宋体" w:hAnsi="宋体" w:eastAsia="宋体"/>
          <w:b w:val="0"/>
          <w:sz w:val="18"/>
        </w:rPr>
        <w:t>[9] Gilgen-Ammann R, Schweizer T, Wyss T. RR interval signal quality of a heart rate monitor and an ECG Holter at rest and during exercise[J]. European Journal of Applied Physiology, 2019, 119(7): 1525-1532.</w:t>
      </w:r>
    </w:p>
    <w:p>
      <w:pPr>
        <w:spacing w:line="312" w:lineRule="auto" w:after="40" w:before="0"/>
      </w:pPr>
      <w:r>
        <w:rPr>
          <w:rFonts w:ascii="宋体" w:hAnsi="宋体" w:eastAsia="宋体"/>
          <w:b w:val="0"/>
          <w:sz w:val="18"/>
        </w:rPr>
        <w:t>[10] Schaffarczyk M, Rogers B, Reer R, et al. Validity of the Polar H10 sensor for heart rate variability analysis during resting state and incremental exercise in recreational athletes[J]. Sensors, 2022, 22(17): 6536. DOI: 10.3390/s22176536</w:t>
        <w:br/>
        <w:t>[10a] Machado R, Pereira T, Silva H, et al. Signal quality and reliability of wearable devices during dynamic physical activities: A systematic review[J]. Sensors, 2025, 25(19): 6049.</w:t>
      </w:r>
    </w:p>
    <w:p>
      <w:pPr>
        <w:spacing w:line="312" w:lineRule="auto" w:after="40" w:before="0"/>
      </w:pPr>
      <w:r>
        <w:rPr>
          <w:rFonts w:ascii="宋体" w:hAnsi="宋体" w:eastAsia="宋体"/>
          <w:b w:val="0"/>
          <w:sz w:val="18"/>
        </w:rPr>
        <w:t>[11] Russell JA. A circumplex model of affect[J]. Journal of Personality and Social Psychology, 1980, 39(6): 1161-1178. DOI: 10.1037/h0077714</w:t>
      </w:r>
    </w:p>
    <w:p>
      <w:pPr>
        <w:spacing w:line="312" w:lineRule="auto" w:after="40" w:before="0"/>
      </w:pPr>
      <w:r>
        <w:rPr>
          <w:rFonts w:ascii="宋体" w:hAnsi="宋体" w:eastAsia="宋体"/>
          <w:b w:val="0"/>
          <w:sz w:val="18"/>
        </w:rPr>
        <w:t>[12] Davidson RJ, Ekman P, Saron CD, et al. Approach-withdrawal and cerebral asymmetry: Emotional expression and brain physiology I[J]. Journal of Personality and Social Psychology, 1990, 58(2): 330-341. DOI: 10.1037/0022-3514.58.2.330</w:t>
        <w:br/>
        <w:t>[12a] Harmon-Jones E, Allen JJB. Anger and frontal brain activity: EEG asymmetry consistent with approach motivation despite negative affective valence[J]. Journal of Personality and Social Psychology, 1998, 74(5): 1310-1316.</w:t>
        <w:br/>
        <w:t>[12b] Kaur S, Lopez-Duran N, et al. (#EEGManyLabs). Resting frontal EEG asymmetry and psychopathology: A multi-site, multi-lab registered replication[J]. Biological Psychiatry: Cognitive Neuroscience and Neuroimaging, 2025. DOI: 10.1016/j.bpsc.2024.12.005</w:t>
      </w:r>
    </w:p>
    <w:p>
      <w:pPr>
        <w:spacing w:line="312" w:lineRule="auto" w:after="40" w:before="0"/>
      </w:pPr>
      <w:r>
        <w:rPr>
          <w:rFonts w:ascii="宋体" w:hAnsi="宋体" w:eastAsia="宋体"/>
          <w:b w:val="0"/>
          <w:sz w:val="18"/>
        </w:rPr>
        <w:t>[13] Davidson RJ. What does the prefrontal cortex "do" in affect: perspectives on frontal EEG asymmetry research[J]. Biological Psychology, 2004, 67(1-2): 219-234. DOI: 10.1016/j.biopsycho.2004.03.008</w:t>
      </w:r>
    </w:p>
    <w:p>
      <w:pPr>
        <w:spacing w:line="312" w:lineRule="auto" w:after="40" w:before="0"/>
      </w:pPr>
      <w:r>
        <w:rPr>
          <w:rFonts w:ascii="宋体" w:hAnsi="宋体" w:eastAsia="宋体"/>
          <w:b w:val="0"/>
          <w:sz w:val="18"/>
        </w:rPr>
        <w:t>[14] Lubar JF. Discourse on the development of EEG diagnostics and biofeedback for attention-deficit/hyperactivity disorders[J]. Biofeedback and Self-Regulation, 1991, 16(3): 201-225.</w:t>
      </w:r>
    </w:p>
    <w:p>
      <w:pPr>
        <w:spacing w:line="312" w:lineRule="auto" w:after="40" w:before="0"/>
      </w:pPr>
      <w:r>
        <w:rPr>
          <w:rFonts w:ascii="宋体" w:hAnsi="宋体" w:eastAsia="宋体"/>
          <w:b w:val="0"/>
          <w:sz w:val="18"/>
        </w:rPr>
        <w:t>[15] Monastra VJ, Lubar JF, Linden M, et al. Assessing attention deficit hyperactivity disorder via quantitative electroencephalography: an initial validation study[J]. Neuropsychology, 1999, 13(3): 424-433.</w:t>
      </w:r>
    </w:p>
    <w:p>
      <w:pPr>
        <w:spacing w:line="312" w:lineRule="auto" w:after="40" w:before="0"/>
      </w:pPr>
      <w:r>
        <w:rPr>
          <w:rFonts w:ascii="宋体" w:hAnsi="宋体" w:eastAsia="宋体"/>
          <w:b w:val="0"/>
          <w:sz w:val="18"/>
        </w:rPr>
        <w:t>[16] Arns M, Conners CK, Kraemer HC. A decade of EEG theta/beta ratio research in attention deficit/hyperactivity disorder: a meta-analysis[J]. Journal of Attention Disorders, 2013, 17(5): 374-383. DOI: 10.1177/1087054712460087</w:t>
        <w:br/>
        <w:t>[16a] Boxum E, Voetterl H, Arns M, et al. Theta/beta ratio in ADHD: An updated meta-analysis controlling for slow alpha peak frequency[J]. Applied Psychophysiology and Biofeedback, 2024. DOI: 10.1007/s10484-024-09649-y</w:t>
      </w:r>
    </w:p>
    <w:p>
      <w:pPr>
        <w:spacing w:line="312" w:lineRule="auto" w:after="40" w:before="0"/>
      </w:pPr>
      <w:r>
        <w:rPr>
          <w:rFonts w:ascii="宋体" w:hAnsi="宋体" w:eastAsia="宋体"/>
          <w:b w:val="0"/>
          <w:sz w:val="18"/>
        </w:rPr>
        <w:t>[17] Makowski D, Pham T, Lau ZJ, et al. NeuroKit2: A Python toolbox for neurophysiological signal processing[J]. Behavior Research Methods, 2021, 53(4): 1689-1696.</w:t>
      </w:r>
    </w:p>
    <w:p>
      <w:pPr>
        <w:spacing w:line="312" w:lineRule="auto" w:after="40" w:before="0"/>
      </w:pPr>
      <w:r>
        <w:rPr>
          <w:rFonts w:ascii="宋体" w:hAnsi="宋体" w:eastAsia="宋体"/>
          <w:b w:val="0"/>
          <w:sz w:val="18"/>
        </w:rPr>
        <w:t>[18] Gramfort A, Luessi M, Larson E, et al. MEG and EEG data analysis with MNE-Python[J]. Frontiers in Neuroscience, 2013, 7: 267.</w:t>
      </w:r>
    </w:p>
    <w:p>
      <w:pPr>
        <w:spacing w:line="312" w:lineRule="auto" w:after="40" w:before="0"/>
      </w:pPr>
      <w:r>
        <w:rPr>
          <w:rFonts w:ascii="宋体" w:hAnsi="宋体" w:eastAsia="宋体"/>
          <w:b w:val="0"/>
          <w:sz w:val="18"/>
        </w:rPr>
        <w:t>[19] Arrieta AB, Díaz-Rodríguez N, Del Ser J, et al. Explainable Artificial Intelligence (XAI): Concepts, taxonomies, opportunities and challenges toward responsible AI[J]. Information Fusion, 2020, 58: 82-115.</w:t>
      </w:r>
    </w:p>
    <w:p>
      <w:pPr>
        <w:spacing w:line="312" w:lineRule="auto" w:after="40" w:before="0"/>
      </w:pPr>
      <w:r>
        <w:rPr>
          <w:rFonts w:ascii="宋体" w:hAnsi="宋体" w:eastAsia="宋体"/>
          <w:b w:val="0"/>
          <w:sz w:val="18"/>
        </w:rPr>
        <w:t>[20] Klimesch W. EEG alpha and theta oscillations reflect cognitive and memory performance: a review and analysis[J]. Brain Research Reviews, 1999, 29(2-3): 169-195.</w:t>
      </w:r>
    </w:p>
    <w:p>
      <w:pPr>
        <w:spacing w:line="312" w:lineRule="auto" w:after="40" w:before="0"/>
      </w:pPr>
      <w:r>
        <w:rPr>
          <w:rFonts w:ascii="宋体" w:hAnsi="宋体" w:eastAsia="宋体"/>
          <w:b w:val="0"/>
          <w:sz w:val="18"/>
        </w:rPr>
        <w:t>[21] Greco A, Valenza G, Lanata A, et al. cvxEDA: A convex optimization approach to electrodermal activity processing[J]. IEEE Transactions on Biomedical Engineering, 2016, 63(4): 797-804.</w:t>
      </w:r>
    </w:p>
    <w:p>
      <w:pPr>
        <w:spacing w:line="312" w:lineRule="auto" w:after="40" w:before="0"/>
      </w:pPr>
      <w:r>
        <w:rPr>
          <w:rFonts w:ascii="宋体" w:hAnsi="宋体" w:eastAsia="宋体"/>
          <w:b w:val="0"/>
          <w:sz w:val="18"/>
        </w:rPr>
        <w:t>[22] MacLeod CM. Half a century of research on the Stroop effect: an integrative review[J]. Psychological Bulletin, 1991, 109(2): 163-203.</w:t>
      </w:r>
    </w:p>
    <w:p>
      <w:pPr>
        <w:spacing w:line="312" w:lineRule="auto" w:after="40" w:before="0"/>
      </w:pPr>
      <w:r>
        <w:rPr>
          <w:rFonts w:ascii="宋体" w:hAnsi="宋体" w:eastAsia="宋体"/>
          <w:b w:val="0"/>
          <w:sz w:val="18"/>
        </w:rPr>
        <w:t>[23] Owen AM, McMillan KM, Laird AR, et al. N-back working memory paradigm: A meta-analysis of normative functional neuroimaging studies[J]. Human Brain Mapping, 2005, 25(1): 46-59.</w:t>
      </w:r>
    </w:p>
    <w:p>
      <w:pPr>
        <w:spacing w:line="312" w:lineRule="auto" w:after="40" w:before="0"/>
      </w:pPr>
      <w:r>
        <w:rPr>
          <w:rFonts w:ascii="宋体" w:hAnsi="宋体" w:eastAsia="宋体"/>
          <w:b w:val="0"/>
          <w:sz w:val="18"/>
        </w:rPr>
        <w:t>[24] Warm JS, Parasuraman R, Matthews G. Vigilance requires hard mental work and is stressful[J]. Human Factors, 2008, 50(3): 433-441.</w:t>
      </w:r>
    </w:p>
    <w:p>
      <w:pPr>
        <w:spacing w:line="312" w:lineRule="auto" w:after="40" w:before="0"/>
      </w:pPr>
      <w:r>
        <w:rPr>
          <w:rFonts w:ascii="宋体" w:hAnsi="宋体" w:eastAsia="宋体"/>
          <w:b w:val="0"/>
          <w:sz w:val="18"/>
        </w:rPr>
        <w:t>[25] Tallon-Baudry C, Bertrand O. Oscillatory gamma activity in humans and its role in object representation[J]. Trends in Cognitive Sciences, 1999, 3(4): 151-162.</w:t>
      </w:r>
    </w:p>
    <w:p>
      <w:pPr>
        <w:spacing w:line="312" w:lineRule="auto" w:after="40" w:before="0"/>
      </w:pPr>
      <w:r>
        <w:rPr>
          <w:rFonts w:ascii="宋体" w:hAnsi="宋体" w:eastAsia="宋体"/>
          <w:b w:val="0"/>
          <w:sz w:val="18"/>
        </w:rPr>
        <w:t>[26] Pincus SM. Approximate entropy as a measure of system complexity[J]. Proceedings of the National Academy of Sciences, 1991, 88(6): 2297-2301.</w:t>
      </w:r>
    </w:p>
    <w:p>
      <w:pPr>
        <w:spacing w:line="312" w:lineRule="auto" w:after="40" w:before="0"/>
      </w:pPr>
      <w:r>
        <w:rPr>
          <w:rFonts w:ascii="宋体" w:hAnsi="宋体" w:eastAsia="宋体"/>
          <w:b w:val="0"/>
          <w:sz w:val="18"/>
        </w:rPr>
        <w:t>[27] Pedregosa F, Varoquaux G, Gramfort A, et al. Scikit-learn: Machine learning in Python[J]. Journal of Machine Learning Research, 2011, 12: 2825-2830.</w:t>
      </w:r>
    </w:p>
    <w:p>
      <w:pPr>
        <w:spacing w:line="312" w:lineRule="auto" w:after="40" w:before="0"/>
      </w:pPr>
      <w:r>
        <w:rPr>
          <w:rFonts w:ascii="宋体" w:hAnsi="宋体" w:eastAsia="宋体"/>
          <w:b w:val="0"/>
          <w:sz w:val="18"/>
        </w:rPr>
        <w:t>[28] Slater M, Sanchez-Vives MV. Enhancing our lives with immersive virtual reality[J]. Frontiers in Robotics and AI, 2016, 3: 74.</w:t>
      </w:r>
    </w:p>
    <w:p>
      <w:pPr>
        <w:spacing w:line="312" w:lineRule="auto" w:after="40" w:before="0"/>
      </w:pPr>
      <w:r>
        <w:rPr>
          <w:rFonts w:ascii="宋体" w:hAnsi="宋体" w:eastAsia="宋体"/>
          <w:b w:val="0"/>
          <w:sz w:val="18"/>
        </w:rPr>
        <w:t>[29] Tanaka H, Monahan KD, Seals DR. Age-predicted maximal heart rate revisited[J]. Journal of the American College of Cardiology, 2001, 37(1): 153-156.</w:t>
      </w:r>
    </w:p>
    <w:p>
      <w:pPr>
        <w:spacing w:line="312" w:lineRule="auto" w:after="40" w:before="0"/>
      </w:pPr>
      <w:r>
        <w:rPr>
          <w:rFonts w:ascii="宋体" w:hAnsi="宋体" w:eastAsia="宋体"/>
          <w:b w:val="0"/>
          <w:sz w:val="18"/>
        </w:rPr>
        <w:t>[30] Yang CM, Li M, Zhang Y, et al. Physical activity and mental health among Chinese college students: A systematic review and meta-analysis[J]. Medicine, 2023, 102(49): e36524. DOI: 10.1097/MD.0000000000036524</w:t>
      </w:r>
    </w:p>
    <w:p>
      <w:pPr>
        <w:spacing w:line="312" w:lineRule="auto" w:after="40" w:before="0"/>
      </w:pPr>
      <w:r>
        <w:rPr>
          <w:rFonts w:ascii="宋体" w:hAnsi="宋体" w:eastAsia="宋体"/>
          <w:b w:val="0"/>
          <w:sz w:val="18"/>
        </w:rPr>
        <w:t>[31] Shu J, Wang Y, Liu T, et al. Effects of aerobic exercise on body self-esteem among Chinese college students: A meta-analysis[J]. PLoS ONE, 2023, 18(9): e0291045. DOI: 10.1371/journal.pone.0291045</w:t>
      </w:r>
    </w:p>
    <w:p>
      <w:pPr>
        <w:spacing w:line="312" w:lineRule="auto" w:after="40" w:before="0"/>
      </w:pPr>
      <w:r>
        <w:rPr>
          <w:rFonts w:ascii="宋体" w:hAnsi="宋体" w:eastAsia="宋体"/>
          <w:b w:val="0"/>
          <w:sz w:val="18"/>
        </w:rPr>
        <w:t>[32] Morone G, Paolucci S, Iosa M, et al. Virtual reality for the treatment of chronic low back pain: A systematic review[J]. Sensors, 2024, 24(19): 6269. DOI: 10.3390/s24196269</w:t>
      </w:r>
    </w:p>
    <w:p>
      <w:pPr>
        <w:spacing w:line="312" w:lineRule="auto" w:after="40" w:before="0"/>
      </w:pPr>
      <w:r>
        <w:rPr>
          <w:rFonts w:ascii="宋体" w:hAnsi="宋体" w:eastAsia="宋体"/>
          <w:b w:val="0"/>
          <w:sz w:val="18"/>
        </w:rPr>
        <w:t>[33] Kober SE, Wood G, Hofer D, et al. Virtual reality and neurofeedback: A systematic review of applications, effects, and challenges[J]. Applied Psychophysiology and Biofeedback, 2025. DOI: 10.1007/s10484-024-09677-8</w:t>
      </w:r>
    </w:p>
    <w:p>
      <w:pPr>
        <w:spacing w:line="312" w:lineRule="auto" w:after="40" w:before="0"/>
      </w:pPr>
      <w:r>
        <w:rPr>
          <w:rFonts w:ascii="宋体" w:hAnsi="宋体" w:eastAsia="宋体"/>
          <w:b w:val="0"/>
          <w:sz w:val="18"/>
        </w:rPr>
        <w:t>[34] Kranzinger S, Stöckl M, Lames M. Explainable artificial intelligence in sports science: A systematic scoping review[J]. Discover Artificial Intelligence, 2025. DOI: 10.1007/s44163-025-00709-8</w:t>
      </w:r>
    </w:p>
    <w:p>
      <w:pPr>
        <w:spacing w:line="312" w:lineRule="auto" w:after="40" w:before="0"/>
      </w:pPr>
      <w:r>
        <w:rPr>
          <w:rFonts w:ascii="宋体" w:hAnsi="宋体" w:eastAsia="宋体"/>
          <w:b w:val="0"/>
          <w:sz w:val="18"/>
        </w:rPr>
        <w:t>[35] Abdelaal M, Galzarano S, Chessa S, et al. Explainable AI in wearable health data analytics: A systematic review[J]. JMIR Medical Informatics, 2024, 12: e53863. DOI: 10.2196/53863</w:t>
      </w:r>
    </w:p>
    <w:p>
      <w:pPr>
        <w:spacing w:line="312" w:lineRule="auto" w:after="40" w:before="0"/>
      </w:pPr>
      <w:r>
        <w:rPr>
          <w:rFonts w:ascii="宋体" w:hAnsi="宋体" w:eastAsia="宋体"/>
          <w:b w:val="0"/>
          <w:sz w:val="18"/>
        </w:rPr>
        <w:t>[36] Shen Y, Wang J, Li X, et al. Explainable artificial intelligence for physiological signal analysis: A comprehensive review[J]. Neurocomputing, 2024, 610: 128587.</w:t>
      </w:r>
    </w:p>
    <w:p>
      <w:pPr>
        <w:spacing w:line="312" w:lineRule="auto" w:after="40" w:before="0"/>
      </w:pPr>
      <w:r>
        <w:rPr>
          <w:rFonts w:ascii="宋体" w:hAnsi="宋体" w:eastAsia="宋体"/>
          <w:b w:val="0"/>
          <w:sz w:val="18"/>
        </w:rPr>
        <w:t>[37] Chen T, Guestrin C. XGBoost: A scalable tree boosting system[C]. Proceedings of the 22nd ACM SIGKDD International Conference on Knowledge Discovery and Data Mining, 2016: 785-794.</w:t>
      </w:r>
    </w:p>
    <w:p>
      <w:pPr>
        <w:spacing w:line="312" w:lineRule="auto" w:after="40" w:before="0"/>
      </w:pPr>
      <w:r>
        <w:rPr>
          <w:rFonts w:ascii="宋体" w:hAnsi="宋体" w:eastAsia="宋体"/>
          <w:b w:val="0"/>
          <w:sz w:val="18"/>
        </w:rPr>
        <w:t>[38] Johansson M, Andersson E, Nilsson J, et al. Validation of the Polar H10 heart rate sensor for heart rate variability analysis during exercise[J]. Frontiers in Physiology, 2026, 16: 1707318. DOI: 10.3389/fphys.2025.1707318</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