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3B41C5"/>
          <w:sz w:val="44"/>
          <w:szCs w:val="44"/>
        </w:rPr>
        <w:t xml:space="preserve">Encaixe</w:t>
      </w:r>
    </w:p>
    <w:p>
      <w:pPr>
        <w:spacing w:after="60"/>
      </w:pPr>
      <w:r>
        <w:rPr>
          <w:b/>
          <w:bCs/>
          <w:sz w:val="32"/>
          <w:szCs w:val="32"/>
        </w:rPr>
        <w:t xml:space="preserve">Próximos passos do projeto</w:t>
      </w:r>
    </w:p>
    <w:p>
      <w:pPr>
        <w:spacing w:after="120"/>
      </w:pPr>
      <w:r>
        <w:t xml:space="preserve">Modelagem de Software · 2026-2 · Turma 04I · documento de passagem de 2026-10-01</w:t>
      </w:r>
    </w:p>
    <w:p>
      <w:pPr>
        <w:spacing w:after="120"/>
      </w:pPr>
      <w:r>
        <w:rPr>
          <w:b/>
          <w:bCs/>
        </w:rPr>
        <w:t xml:space="preserve">Para quem é:</w:t>
      </w:r>
      <w:r>
        <w:t xml:space="preserve"> os três integrantes que vão continuar o trabalho. Leia inteiro antes de pegar a primeira issue: ele explica onde o projeto está, o processo que passou a valer, o que cada pessoa faz e em que ordem.</w:t>
      </w:r>
    </w:p>
    <w:p>
      <w:pPr>
        <w:pStyle w:val="Heading1"/>
      </w:pPr>
      <w:r>
        <w:t xml:space="preserve">1. Onde o projeto está</w:t>
      </w:r>
    </w:p>
    <w:p>
      <w:pPr>
        <w:spacing w:after="120"/>
      </w:pPr>
      <w:r>
        <w:t xml:space="preserve">O projeto passou a seguir o roteiro de </w:t>
      </w:r>
      <w:r>
        <w:rPr>
          <w:b/>
          <w:bCs/>
        </w:rPr>
        <w:t xml:space="preserve">Spec-Driven Development (SDD)</w:t>
      </w:r>
      <w:r>
        <w:t xml:space="preserve"> recebido em 2026-10-01 (o PDF "Prompt de apoio para Spec-Driven Development"). O roteiro tem duas etapas: primeiro um mapa ordenado de Specs, aprovado pela equipe; depois uma Spec por vez, cada uma aprovada antes da implementação.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58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</w:tr>
      <w:tr>
        <w:tc>
          <w:tcPr>
            <w:tcW w:type="dxa" w:w="32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Mapa de Specs (29 Specs)</w:t>
            </w:r>
          </w:p>
        </w:tc>
        <w:tc>
          <w:tcPr>
            <w:tcW w:type="dxa" w:w="58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Aprovado</w:t>
            </w:r>
            <w:r>
              <w:t xml:space="preserve"> pela equipe, na ordem proposta</w:t>
            </w:r>
          </w:p>
        </w:tc>
      </w:tr>
      <w:tr>
        <w:tc>
          <w:tcPr>
            <w:tcW w:type="dxa" w:w="32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SPEC-001 Fundação</w:t>
            </w:r>
          </w:p>
        </w:tc>
        <w:tc>
          <w:tcPr>
            <w:tcW w:type="dxa" w:w="58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Aprovada</w:t>
            </w:r>
          </w:p>
        </w:tc>
      </w:tr>
      <w:tr>
        <w:tc>
          <w:tcPr>
            <w:tcW w:type="dxa" w:w="32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SPEC-002 Cadastro e autenticação</w:t>
            </w:r>
          </w:p>
        </w:tc>
        <w:tc>
          <w:tcPr>
            <w:tcW w:type="dxa" w:w="58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Aprovada</w:t>
            </w:r>
            <w:r>
              <w:t xml:space="preserve"> (v1.1.0, já com as decisões das OPEN-12, 202 e 203)</w:t>
            </w:r>
          </w:p>
        </w:tc>
      </w:tr>
      <w:tr>
        <w:tc>
          <w:tcPr>
            <w:tcW w:type="dxa" w:w="32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SPEC-003 a SPEC-029</w:t>
            </w:r>
          </w:p>
        </w:tc>
        <w:tc>
          <w:tcPr>
            <w:tcW w:type="dxa" w:w="58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gerar, uma por vez, na ordem do mapa</w:t>
            </w:r>
          </w:p>
        </w:tc>
      </w:tr>
      <w:tr>
        <w:tc>
          <w:tcPr>
            <w:tcW w:type="dxa" w:w="32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Código do MVP</w:t>
            </w:r>
          </w:p>
        </w:tc>
        <w:tc>
          <w:tcPr>
            <w:tcW w:type="dxa" w:w="58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Existe por inteiro e foi escrito </w:t>
            </w:r>
            <w:r>
              <w:rPr>
                <w:b/>
                <w:bCs/>
              </w:rPr>
              <w:t xml:space="preserve">antes</w:t>
            </w:r>
            <w:r>
              <w:t xml:space="preserve"> das Specs. 141 testes passando. Commitado em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a653fa7</w:t>
            </w:r>
          </w:p>
        </w:tc>
      </w:tr>
      <w:tr>
        <w:tc>
          <w:tcPr>
            <w:tcW w:type="dxa" w:w="32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Identidade visual</w:t>
            </w:r>
          </w:p>
        </w:tc>
        <w:tc>
          <w:tcPr>
            <w:tcW w:type="dxa" w:w="58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Aprovada e aplicada</w:t>
            </w:r>
            <w:r>
              <w:t xml:space="preserve"> no site: logo nova, favicon e fonte Bricolage Grotesque em todo o site</w:t>
            </w:r>
          </w:p>
        </w:tc>
      </w:tr>
      <w:tr>
        <w:tc>
          <w:tcPr>
            <w:tcW w:type="dxa" w:w="32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Issues no GitHub</w:t>
            </w:r>
          </w:p>
        </w:tc>
        <w:tc>
          <w:tcPr>
            <w:tcW w:type="dxa" w:w="58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54 fechadas com evidência; 53 abertas, todas com responsável</w:t>
            </w:r>
          </w:p>
        </w:tc>
      </w:tr>
      <w:tr>
        <w:tc>
          <w:tcPr>
            <w:tcW w:type="dxa" w:w="32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Branch</w:t>
            </w:r>
          </w:p>
        </w:tc>
        <w:tc>
          <w:tcPr>
            <w:tcW w:type="dxa" w:w="58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sdd/especificacao-e-identidade</w:t>
            </w:r>
            <w:r>
              <w:t xml:space="preserve">, </w:t>
            </w:r>
            <w:r>
              <w:rPr>
                <w:b/>
                <w:bCs/>
              </w:rPr>
              <w:t xml:space="preserve">ainda não mergeada na main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Atenção:</w:t>
      </w:r>
      <w:r>
        <w:t xml:space="preserve"> o ponto mais importante a entender é que o código veio antes das Specs. Por isso o trabalho daqui em diante é, na maior parte, </w:t>
      </w:r>
      <w:r>
        <w:rPr>
          <w:b/>
          <w:bCs/>
        </w:rPr>
        <w:t xml:space="preserve">conferir o código existente contra cada Spec aprovada</w:t>
      </w:r>
      <w:r>
        <w:t xml:space="preserve"> e corrigir onde ele diverge, e não escrever o sistema de novo. Essa é a recomendação da OPEN-01, ainda pendente de decisão (seção 4).</w:t>
      </w:r>
    </w:p>
    <w:p>
      <w:pPr>
        <w:pStyle w:val="Heading1"/>
      </w:pPr>
      <w:r>
        <w:t xml:space="preserve">2. Primeiro passo: revisar e mergear a branch</w:t>
      </w:r>
    </w:p>
    <w:p>
      <w:pPr>
        <w:spacing w:after="120"/>
      </w:pPr>
      <w:r>
        <w:t xml:space="preserve">Tudo o que foi feito em 2026-10-01 está na branch </w:t>
      </w:r>
      <w:r>
        <w:rPr>
          <w:rFonts w:ascii="Consolas" w:cs="Consolas" w:eastAsia="Consolas" w:hAnsi="Consolas"/>
          <w:sz w:val="19"/>
          <w:szCs w:val="19"/>
        </w:rPr>
        <w:t xml:space="preserve">sdd/especificacao-e-identidade</w:t>
      </w:r>
      <w:r>
        <w:t xml:space="preserve">, em quatro commits. A constituição do projeto (princípio X) pede revisão de outro integrante antes do merge.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Abrir um pull request da branch para a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(o GitHub já oferece o link).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integrante que não seja o autor revisa. Para conferir o código: </w:t>
      </w:r>
      <w:r>
        <w:rPr>
          <w:rFonts w:ascii="Consolas" w:cs="Consolas" w:eastAsia="Consolas" w:hAnsi="Consolas"/>
          <w:sz w:val="19"/>
          <w:szCs w:val="19"/>
        </w:rPr>
        <w:t xml:space="preserve">npm test</w:t>
      </w:r>
      <w:r>
        <w:t xml:space="preserve"> precisa dar 141/141.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Mergear. Só depois disso as issues fechadas passam a apontar para código que está na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.</w:t>
      </w:r>
    </w:p>
    <w:p>
      <w:pPr>
        <w:pStyle w:val="Heading1"/>
      </w:pPr>
      <w:r>
        <w:t xml:space="preserve">3. Como trabalhar: o ciclo de cada Spec</w:t>
      </w:r>
    </w:p>
    <w:p>
      <w:pPr>
        <w:spacing w:after="120"/>
      </w:pPr>
      <w:r>
        <w:t xml:space="preserve">Cada Spec tem uma issue própria (#80 a #108). O ciclo é sempre o mesmo, e a lista de tarefas já está dentro de cada issue: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Gerar a Spec</w:t>
      </w:r>
      <w:r>
        <w:t xml:space="preserve"> com o prompt complementar do roteiro: "Gerar SPEC-0XX". Uma Spec por vez, na ordem do mapa, com as 14 seções que o roteiro exige.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Aprovação da equipe.</w:t>
      </w:r>
      <w:r>
        <w:t xml:space="preserve"> Ninguém implementa nada de uma Spec que não foi aprovada.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Conferir o código existente</w:t>
      </w:r>
      <w:r>
        <w:t xml:space="preserve"> contra os critérios de aceitação (formato Dado, Quando, Então).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Registrar cada divergência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docs/specs/registro-sdd.md</w:t>
      </w:r>
      <w:r>
        <w:t xml:space="preserve">, escolhendo uma de duas ações: corrigir o código, ou propor mudança na spec para a equipe aprovar.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Corrigir e testar.</w:t>
      </w:r>
      <w:r>
        <w:t xml:space="preserve"> Todo teste novo leva o identificador da regra no nome, por exemplo </w:t>
      </w:r>
      <w:r>
        <w:rPr>
          <w:rFonts w:ascii="Consolas" w:cs="Consolas" w:eastAsia="Consolas" w:hAnsi="Consolas"/>
          <w:sz w:val="19"/>
          <w:szCs w:val="19"/>
        </w:rPr>
        <w:t xml:space="preserve">T-SESSAO-04a | RNF-02: 2 h sem uso expiram a sessao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Fechar as issues</w:t>
      </w:r>
      <w:r>
        <w:t xml:space="preserve"> relacionadas e registrar a etapa no registro.</w:t>
      </w:r>
    </w:p>
    <w:p>
      <w:pPr>
        <w:pStyle w:val="Heading2"/>
      </w:pPr>
      <w:r>
        <w:t xml:space="preserve">A regra fundamental</w:t>
      </w:r>
    </w:p>
    <w:p>
      <w:pPr>
        <w:spacing w:after="120"/>
      </w:pPr>
      <w:r>
        <w:t xml:space="preserve">Se aparecer conflito entre código, Spec e modelagem, </w:t>
      </w:r>
      <w:r>
        <w:rPr>
          <w:b/>
          <w:bCs/>
        </w:rPr>
        <w:t xml:space="preserve">nunca mude o comportamento em silêncio</w:t>
      </w:r>
      <w:r>
        <w:t xml:space="preserve">. Registre a divergência e escolha uma ação: corrigir a implementação para respeitar a baseline, ou propor alteração da baseline para aprovação humana. A decisão é sempre da equipe.</w:t>
      </w:r>
    </w:p>
    <w:p>
      <w:pPr>
        <w:spacing w:after="120"/>
      </w:pPr>
      <w:r>
        <w:t xml:space="preserve">Quando uma decisão mudar uma regra, a </w:t>
      </w:r>
      <w:r>
        <w:rPr>
          <w:rFonts w:ascii="Consolas" w:cs="Consolas" w:eastAsia="Consolas" w:hAnsi="Consolas"/>
          <w:sz w:val="19"/>
          <w:szCs w:val="19"/>
        </w:rPr>
        <w:t xml:space="preserve">docs/spec.md</w:t>
      </w:r>
      <w:r>
        <w:t xml:space="preserve"> muda </w:t>
      </w:r>
      <w:r>
        <w:rPr>
          <w:b/>
          <w:bCs/>
        </w:rPr>
        <w:t xml:space="preserve">antes</w:t>
      </w:r>
      <w:r>
        <w:t xml:space="preserve"> do código, com uma linha no histórico de versões. Foi o que aconteceu com a v0.1.5.</w:t>
      </w:r>
    </w:p>
    <w:p>
      <w:pPr>
        <w:pStyle w:val="Heading1"/>
      </w:pPr>
      <w:r>
        <w:t xml:space="preserve">4. Decisões que faltam (issue #79)</w:t>
      </w:r>
    </w:p>
    <w:p>
      <w:pPr>
        <w:spacing w:after="120"/>
      </w:pPr>
      <w:r>
        <w:t xml:space="preserve">Três decisões do roteiro estão abertas e afetam todo mundo. A issue #79 é do 1Noriyuki, mas a decisão é da equipe. Estas são as recomendações:</w:t>
      </w:r>
    </w:p>
    <w:p>
      <w:pPr>
        <w:pStyle w:val="Heading2"/>
      </w:pPr>
      <w:r>
        <w:t xml:space="preserve">OPEN-01: o que fazer com o código existente</w:t>
      </w:r>
    </w:p>
    <w:p>
      <w:pPr>
        <w:spacing w:after="120"/>
      </w:pPr>
      <w:r>
        <w:rPr>
          <w:b/>
          <w:bCs/>
        </w:rPr>
        <w:t xml:space="preserve">Recomendação: manter o código e conferi-lo contra cada Spec, corrigindo só as divergências.</w:t>
      </w:r>
      <w:r>
        <w:t xml:space="preserve"> Não reescrever.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roteiro permite isso: a regra fundamental manda corrigir a implementação, e não manda jogar fora o que existe.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código é sólido: 141 testes e arquitetura em camadas conforme os ADRs. Reescrever as 29 Specs custaria semanas.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conferência funciona: só a SPEC-002 já revelou três divergências reais (seção 6).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tasks.md</w:t>
      </w:r>
      <w:r>
        <w:t xml:space="preserve"> já reflete isso: ✅ quando há evidência de teste, 🔄 quando a tarefa foi implementada mas ainda falta teste ou conferência.</w:t>
      </w:r>
    </w:p>
    <w:p>
      <w:pPr>
        <w:pStyle w:val="Heading2"/>
      </w:pPr>
      <w:r>
        <w:t xml:space="preserve">OPEN-02: nomenclatura</w:t>
      </w:r>
    </w:p>
    <w:p>
      <w:pPr>
        <w:spacing w:after="120"/>
      </w:pPr>
      <w:r>
        <w:rPr>
          <w:b/>
          <w:bCs/>
        </w:rPr>
        <w:t xml:space="preserve">Recomendação: manter `RN-xx`</w:t>
      </w:r>
      <w:r>
        <w:t xml:space="preserve"> e registrar na spec que "RB" no roteiro equivale a "RN" no projeto. As 34 regras aparecem no código, nos testes e na tela (o usuário vê o selo "RN-12"); trocar não traz ganho nenhum.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Dentro de cada Spec, os invariantes continuam </w:t>
      </w:r>
      <w:r>
        <w:rPr>
          <w:rFonts w:ascii="Consolas" w:cs="Consolas" w:eastAsia="Consolas" w:hAnsi="Consolas"/>
          <w:sz w:val="19"/>
          <w:szCs w:val="19"/>
        </w:rPr>
        <w:t xml:space="preserve">INV-001</w:t>
      </w:r>
      <w:r>
        <w:t xml:space="preserve">, como o roteiro pede.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Fora da Spec, sempre citar com o nome dela, por exemplo "SPEC-002 INV-003", para não confundir com os </w:t>
      </w:r>
      <w:r>
        <w:rPr>
          <w:rFonts w:ascii="Consolas" w:cs="Consolas" w:eastAsia="Consolas" w:hAnsi="Consolas"/>
          <w:sz w:val="19"/>
          <w:szCs w:val="19"/>
        </w:rPr>
        <w:t xml:space="preserve">INV-01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INV-14</w:t>
      </w:r>
      <w:r>
        <w:t xml:space="preserve"> da spec geral.</w:t>
      </w:r>
    </w:p>
    <w:p>
      <w:pPr>
        <w:pStyle w:val="Heading2"/>
      </w:pPr>
      <w:r>
        <w:t xml:space="preserve">OPEN-210: o que acontece depois do cadastro</w:t>
      </w:r>
    </w:p>
    <w:p>
      <w:pPr>
        <w:spacing w:after="120"/>
      </w:pPr>
      <w:r>
        <w:rPr>
          <w:b/>
          <w:bCs/>
        </w:rPr>
        <w:t xml:space="preserve">Recomendação:</w:t>
      </w:r>
      <w:r>
        <w:t xml:space="preserve"> a conta já sai logada do cadastro, como o código faz hoje. O prestador pendente pode preparar serviços e régua antes da aprovação, porque a RN-08 já impede a publicação. Isso pede ajustar o texto do UC-01, passo 6.</w:t>
      </w:r>
    </w:p>
    <w:p>
      <w:pPr>
        <w:pStyle w:val="Heading1"/>
      </w:pPr>
      <w:r>
        <w:t xml:space="preserve">5. Divisão do trabalho</w:t>
      </w:r>
    </w:p>
    <w:p>
      <w:pPr>
        <w:spacing w:after="120"/>
      </w:pPr>
      <w:r>
        <w:t xml:space="preserve">A divisão seguiu as três trilhas que o </w:t>
      </w:r>
      <w:r>
        <w:rPr>
          <w:rFonts w:ascii="Consolas" w:cs="Consolas" w:eastAsia="Consolas" w:hAnsi="Consolas"/>
          <w:sz w:val="19"/>
          <w:szCs w:val="19"/>
        </w:rPr>
        <w:t xml:space="preserve">tasks.md</w:t>
      </w:r>
      <w:r>
        <w:t xml:space="preserve"> já previa, para cada pessoa ficar com uma área coerente do sistema. Cada pessoa tem a issue da Spec e as issues de implementação ainda abertas daquela área.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50"/>
        <w:gridCol w:w="3076"/>
        <w:gridCol w:w="2400"/>
        <w:gridCol w:w="700"/>
      </w:tblGrid>
      <w:tr>
        <w:trPr>
          <w:tblHeader/>
        </w:trPr>
        <w:tc>
          <w:tcPr>
            <w:tcW w:type="dxa" w:w="15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Pessoa</w:t>
            </w:r>
          </w:p>
        </w:tc>
        <w:tc>
          <w:tcPr>
            <w:tcW w:type="dxa" w:w="135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Trilha</w:t>
            </w:r>
          </w:p>
        </w:tc>
        <w:tc>
          <w:tcPr>
            <w:tcW w:type="dxa" w:w="307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Specs (issues)</w:t>
            </w:r>
          </w:p>
        </w:tc>
        <w:tc>
          <w:tcPr>
            <w:tcW w:type="dxa" w:w="24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Issues de implementação abertas</w:t>
            </w:r>
          </w:p>
        </w:tc>
        <w:tc>
          <w:tcPr>
            <w:tcW w:type="dxa" w:w="7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tcPr>
            <w:tcW w:type="dxa" w:w="15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gostislavs</w:t>
            </w:r>
            <w:r>
              <w:t xml:space="preserve"> (Gustavo)</w:t>
            </w:r>
          </w:p>
        </w:tc>
        <w:tc>
          <w:tcPr>
            <w:tcW w:type="dxa" w:w="135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A: domínio e financeiro</w:t>
            </w:r>
          </w:p>
        </w:tc>
        <w:tc>
          <w:tcPr>
            <w:tcW w:type="dxa" w:w="307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SPEC-001, 006, 007, 008, 009, 011, 020, 021, 024, 026 (#80, #85–#88, #90, #99, #100, #103, #105)</w:t>
            </w:r>
          </w:p>
        </w:tc>
        <w:tc>
          <w:tcPr>
            <w:tcW w:type="dxa" w:w="24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T-07, T-15, T-16, T-17, T-47, T-56, T-57, T-68</w:t>
            </w:r>
          </w:p>
        </w:tc>
        <w:tc>
          <w:tcPr>
            <w:tcW w:type="dxa" w:w="7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</w:t>
            </w:r>
          </w:p>
        </w:tc>
      </w:tr>
      <w:tr>
        <w:tc>
          <w:tcPr>
            <w:tcW w:type="dxa" w:w="15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2dart5</w:t>
            </w:r>
          </w:p>
        </w:tc>
        <w:tc>
          <w:tcPr>
            <w:tcW w:type="dxa" w:w="135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B: transação e consequência</w:t>
            </w:r>
          </w:p>
        </w:tc>
        <w:tc>
          <w:tcPr>
            <w:tcW w:type="dxa" w:w="307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SPEC-010, 012 a 019, 022, 023 (#89, #91–#98, #101, #102)</w:t>
            </w:r>
          </w:p>
        </w:tc>
        <w:tc>
          <w:tcPr>
            <w:tcW w:type="dxa" w:w="24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T-22, T-23, T-28, T-29, T-33, T-53</w:t>
            </w:r>
          </w:p>
        </w:tc>
        <w:tc>
          <w:tcPr>
            <w:tcW w:type="dxa" w:w="7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</w:t>
            </w:r>
          </w:p>
        </w:tc>
      </w:tr>
      <w:tr>
        <w:tc>
          <w:tcPr>
            <w:tcW w:type="dxa" w:w="15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1Noriyuki</w:t>
            </w:r>
            <w:r>
              <w:t xml:space="preserve"> (Enzo)</w:t>
            </w:r>
          </w:p>
        </w:tc>
        <w:tc>
          <w:tcPr>
            <w:tcW w:type="dxa" w:w="135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C: acesso, admin e IA</w:t>
            </w:r>
          </w:p>
        </w:tc>
        <w:tc>
          <w:tcPr>
            <w:tcW w:type="dxa" w:w="307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SPEC-002, 003, 004, 005, 025, 027, 028, 029 (#81–#84, #104, #106–#108) e decisões (#79)</w:t>
            </w:r>
          </w:p>
        </w:tc>
        <w:tc>
          <w:tcPr>
            <w:tcW w:type="dxa" w:w="24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T-09, T-10, T-11, T-14, T-55, T-58, T-61, T-66, T-67</w:t>
            </w:r>
          </w:p>
        </w:tc>
        <w:tc>
          <w:tcPr>
            <w:tcW w:type="dxa" w:w="7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colaborador </w:t>
      </w:r>
      <w:r>
        <w:rPr>
          <w:b/>
          <w:bCs/>
        </w:rPr>
        <w:t xml:space="preserve">niltonmack</w:t>
      </w:r>
      <w:r>
        <w:t xml:space="preserve"> foi tratado como professor e não recebeu issues. Se for integrante, basta redistribuir.</w:t>
      </w:r>
    </w:p>
    <w:p>
      <w:pPr>
        <w:pStyle w:val="Heading2"/>
      </w:pPr>
      <w:r>
        <w:t xml:space="preserve">Ordem e paralelismo</w:t>
      </w:r>
    </w:p>
    <w:p>
      <w:pPr>
        <w:spacing w:after="120"/>
      </w:pPr>
      <w:r>
        <w:t xml:space="preserve">As Specs são </w:t>
      </w:r>
      <w:r>
        <w:rPr>
          <w:b/>
          <w:bCs/>
        </w:rPr>
        <w:t xml:space="preserve">geradas e aprovadas na ordem do mapa</w:t>
      </w:r>
      <w:r>
        <w:t xml:space="preserve">, uma por vez. Como o código já existe, a </w:t>
      </w:r>
      <w:r>
        <w:rPr>
          <w:b/>
          <w:bCs/>
        </w:rPr>
        <w:t xml:space="preserve">conferência</w:t>
      </w:r>
      <w:r>
        <w:t xml:space="preserve"> de Specs diferentes pode correr em paralelo. Ainda assim, algumas dependem de outras: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300"/>
        <w:gridCol w:w="5426"/>
      </w:tblGrid>
      <w:tr>
        <w:trPr>
          <w:tblHeader/>
        </w:trPr>
        <w:tc>
          <w:tcPr>
            <w:tcW w:type="dxa" w:w="1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</w:t>
            </w:r>
          </w:p>
        </w:tc>
        <w:tc>
          <w:tcPr>
            <w:tcW w:type="dxa" w:w="2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</w:t>
            </w:r>
          </w:p>
        </w:tc>
        <w:tc>
          <w:tcPr>
            <w:tcW w:type="dxa" w:w="54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quê</w:t>
            </w:r>
          </w:p>
        </w:tc>
      </w:tr>
      <w:tr>
        <w:tc>
          <w:tcPr>
            <w:tcW w:type="dxa" w:w="1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Agora</w:t>
            </w:r>
          </w:p>
        </w:tc>
        <w:tc>
          <w:tcPr>
            <w:tcW w:type="dxa" w:w="2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todos</w:t>
            </w:r>
          </w:p>
        </w:tc>
        <w:tc>
          <w:tcPr>
            <w:tcW w:type="dxa" w:w="54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Revisar e mergear a branch; decidir a #79</w:t>
            </w:r>
          </w:p>
        </w:tc>
      </w:tr>
      <w:tr>
        <w:tc>
          <w:tcPr>
            <w:tcW w:type="dxa" w:w="1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1</w:t>
            </w:r>
          </w:p>
        </w:tc>
        <w:tc>
          <w:tcPr>
            <w:tcW w:type="dxa" w:w="2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· 1Noriyuki</w:t>
            </w:r>
          </w:p>
        </w:tc>
        <w:tc>
          <w:tcPr>
            <w:tcW w:type="dxa" w:w="54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Conferir SPEC-001 (parâmetros, estados, auditoria) · corrigir SPEC-002 (T-11, as três divergências)</w:t>
            </w:r>
          </w:p>
        </w:tc>
      </w:tr>
      <w:tr>
        <w:tc>
          <w:tcPr>
            <w:tcW w:type="dxa" w:w="1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2</w:t>
            </w:r>
          </w:p>
        </w:tc>
        <w:tc>
          <w:tcPr>
            <w:tcW w:type="dxa" w:w="2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1Noriyuki · gostislavs</w:t>
            </w:r>
          </w:p>
        </w:tc>
        <w:tc>
          <w:tcPr>
            <w:tcW w:type="dxa" w:w="54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SPEC-003, 004, 005 · SPEC-006, 007, 008</w:t>
            </w:r>
          </w:p>
        </w:tc>
      </w:tr>
      <w:tr>
        <w:tc>
          <w:tcPr>
            <w:tcW w:type="dxa" w:w="1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3</w:t>
            </w:r>
          </w:p>
        </w:tc>
        <w:tc>
          <w:tcPr>
            <w:tcW w:type="dxa" w:w="2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· 2dart5</w:t>
            </w:r>
          </w:p>
        </w:tc>
        <w:tc>
          <w:tcPr>
            <w:tcW w:type="dxa" w:w="54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SPEC-009 e 011 · SPEC-010 e 012 (dependem da 009)</w:t>
            </w:r>
          </w:p>
        </w:tc>
      </w:tr>
      <w:tr>
        <w:tc>
          <w:tcPr>
            <w:tcW w:type="dxa" w:w="1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4</w:t>
            </w:r>
          </w:p>
        </w:tc>
        <w:tc>
          <w:tcPr>
            <w:tcW w:type="dxa" w:w="2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</w:t>
            </w:r>
          </w:p>
        </w:tc>
        <w:tc>
          <w:tcPr>
            <w:tcW w:type="dxa" w:w="54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SPEC-013 a 019 (a reserva depende de 004, 006, 011 e 013)</w:t>
            </w:r>
          </w:p>
        </w:tc>
      </w:tr>
      <w:tr>
        <w:tc>
          <w:tcPr>
            <w:tcW w:type="dxa" w:w="1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5</w:t>
            </w:r>
          </w:p>
        </w:tc>
        <w:tc>
          <w:tcPr>
            <w:tcW w:type="dxa" w:w="2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· 2dart5</w:t>
            </w:r>
          </w:p>
        </w:tc>
        <w:tc>
          <w:tcPr>
            <w:tcW w:type="dxa" w:w="54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SPEC-020, 021, 024, 026 · SPEC-022 e 023 (dependem da 019 e da 020)</w:t>
            </w:r>
          </w:p>
        </w:tc>
      </w:tr>
      <w:tr>
        <w:tc>
          <w:tcPr>
            <w:tcW w:type="dxa" w:w="1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6</w:t>
            </w:r>
          </w:p>
        </w:tc>
        <w:tc>
          <w:tcPr>
            <w:tcW w:type="dxa" w:w="2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1Noriyuki</w:t>
            </w:r>
          </w:p>
        </w:tc>
        <w:tc>
          <w:tcPr>
            <w:tcW w:type="dxa" w:w="54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SPEC-025, 027, 028 (depende da 013) e 029 (fecha a trilha de auditoria)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Enquanto espera uma dependência, a pessoa pode adiantar os testes que faltam nas issues 🔄 da própria trilha. Eles valem com o código atual.</w:t>
      </w:r>
    </w:p>
    <w:p>
      <w:pPr>
        <w:pStyle w:val="Heading1"/>
      </w:pPr>
      <w:r>
        <w:t xml:space="preserve">6. Pontos de atenção já conhecidos</w:t>
      </w:r>
    </w:p>
    <w:p>
      <w:pPr>
        <w:pStyle w:val="Heading2"/>
      </w:pPr>
      <w:r>
        <w:t xml:space="preserve">Divergências do código com a SPEC-002 (issue T-11, #13)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00"/>
        <w:gridCol w:w="3326"/>
      </w:tblGrid>
      <w:tr>
        <w:trPr>
          <w:tblHeader/>
        </w:trPr>
        <w:tc>
          <w:tcPr>
            <w:tcW w:type="dxa" w:w="30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Arquivo</w:t>
            </w:r>
          </w:p>
        </w:tc>
        <w:tc>
          <w:tcPr>
            <w:tcW w:type="dxa" w:w="27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código faz</w:t>
            </w:r>
          </w:p>
        </w:tc>
        <w:tc>
          <w:tcPr>
            <w:tcW w:type="dxa" w:w="33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 Spec exige</w:t>
            </w:r>
          </w:p>
        </w:tc>
      </w:tr>
      <w:tr>
        <w:tc>
          <w:tcPr>
            <w:tcW w:type="dxa" w:w="30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src/aplicacao/contas.js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autenticar()</w:t>
            </w:r>
          </w:p>
        </w:tc>
        <w:tc>
          <w:tcPr>
            <w:tcW w:type="dxa" w:w="27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deixa conta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SUSPENSO</w:t>
            </w:r>
            <w:r>
              <w:t xml:space="preserve"> entrar</w:t>
            </w:r>
          </w:p>
        </w:tc>
        <w:tc>
          <w:tcPr>
            <w:tcW w:type="dxa" w:w="33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recusar, com mensagem própria (CA-08)</w:t>
            </w:r>
          </w:p>
        </w:tc>
      </w:tr>
      <w:tr>
        <w:tc>
          <w:tcPr>
            <w:tcW w:type="dxa" w:w="30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src/aplicacao/contas.js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autenticar()</w:t>
            </w:r>
          </w:p>
        </w:tc>
        <w:tc>
          <w:tcPr>
            <w:tcW w:type="dxa" w:w="27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REPROVADO</w:t>
            </w:r>
          </w:p>
        </w:tc>
        <w:tc>
          <w:tcPr>
            <w:tcW w:type="dxa" w:w="33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autenticar (CA-11)</w:t>
            </w:r>
          </w:p>
        </w:tc>
      </w:tr>
      <w:tr>
        <w:tc>
          <w:tcPr>
            <w:tcW w:type="dxa" w:w="30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src/interface/http/sessao.js</w:t>
            </w:r>
          </w:p>
        </w:tc>
        <w:tc>
          <w:tcPr>
            <w:tcW w:type="dxa" w:w="27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expiração fixa de 12 h</w:t>
            </w:r>
          </w:p>
        </w:tc>
        <w:tc>
          <w:tcPr>
            <w:tcW w:type="dxa" w:w="33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h sem uso e teto de 12 h (CA-09a/b/c, ADR-004)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Regras sem teste (issue T-68, #70)</w:t>
      </w:r>
    </w:p>
    <w:p>
      <w:pPr>
        <w:spacing w:after="120"/>
      </w:pPr>
      <w:r>
        <w:t xml:space="preserve">A suíte promete um teste nomeado para cada regra da spec §6, mas </w:t>
      </w:r>
      <w:r>
        <w:rPr>
          <w:b/>
          <w:bCs/>
        </w:rPr>
        <w:t xml:space="preserve">RN-00, RN-05, RN-08, RN-11, RN-28 e RN-33</w:t>
      </w:r>
      <w:r>
        <w:t xml:space="preserve"> não têm nenhum. Os testes entram nas Specs correspondentes.</w:t>
      </w:r>
    </w:p>
    <w:p>
      <w:pPr>
        <w:pStyle w:val="Heading2"/>
      </w:pPr>
      <w:r>
        <w:t xml:space="preserve">Questões em aberto que vão aparecer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OPEN-207 (SPEC-006):</w:t>
      </w:r>
      <w:r>
        <w:t xml:space="preserve"> o INV-08 diz que a reputação é a soma dos eventos, mas a conta nasce com 70 sem evento nenhum. A fórmula precisa virar "P-08 + eventos" ou nascer com um evento de abertura.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OPEN-05:</w:t>
      </w:r>
      <w:r>
        <w:t xml:space="preserve"> os deltas de reputação (−3, −6, −12…) são números fixos, embora a spec diga que todo número é parâmetro.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OPEN-06, 07 e 08:</w:t>
      </w:r>
      <w:r>
        <w:t xml:space="preserve"> lacunas nas máquinas de estado (desfechos de disputa, disputa por acusação mútua sem evidência, suspensão de qualquer conta). O código já trata algumas delas por conta própria.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OPEN-13:</w:t>
      </w:r>
      <w:r>
        <w:t xml:space="preserve"> a RNF-06 exige integração contínua a cada pull request, e o repositório não tem CI.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lista completa está em </w:t>
      </w:r>
      <w:r>
        <w:rPr>
          <w:rFonts w:ascii="Consolas" w:cs="Consolas" w:eastAsia="Consolas" w:hAnsi="Consolas"/>
          <w:sz w:val="19"/>
          <w:szCs w:val="19"/>
        </w:rPr>
        <w:t xml:space="preserve">docs/specs/mapa-de-specs.md</w:t>
      </w:r>
      <w:r>
        <w:t xml:space="preserve"> §3 e na seção 13 de cada Spec.</w:t>
      </w:r>
    </w:p>
    <w:p>
      <w:pPr>
        <w:pStyle w:val="Heading2"/>
      </w:pPr>
      <w:r>
        <w:t xml:space="preserve">Armadilhas práticas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Alteração de CSS ou de tela exige reiniciar o servidor. Use </w:t>
      </w:r>
      <w:r>
        <w:rPr>
          <w:rFonts w:ascii="Consolas" w:cs="Consolas" w:eastAsia="Consolas" w:hAnsi="Consolas"/>
          <w:sz w:val="19"/>
          <w:szCs w:val="19"/>
        </w:rPr>
        <w:t xml:space="preserve">npm run dev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npm run db:reset</w:t>
      </w:r>
      <w:r>
        <w:t xml:space="preserve"> falha com </w:t>
      </w:r>
      <w:r>
        <w:rPr>
          <w:rFonts w:ascii="Consolas" w:cs="Consolas" w:eastAsia="Consolas" w:hAnsi="Consolas"/>
          <w:sz w:val="19"/>
          <w:szCs w:val="19"/>
        </w:rPr>
        <w:t xml:space="preserve">EPERM</w:t>
      </w:r>
      <w:r>
        <w:t xml:space="preserve"> se houver servidor rodando.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fonte da marca é um pouco mais larga que a do sistema. Confira textos novos em 320 px.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prévia de link (</w:t>
      </w:r>
      <w:r>
        <w:rPr>
          <w:rFonts w:ascii="Consolas" w:cs="Consolas" w:eastAsia="Consolas" w:hAnsi="Consolas"/>
          <w:sz w:val="19"/>
          <w:szCs w:val="19"/>
        </w:rPr>
        <w:t xml:space="preserve">og.jpg</w:t>
      </w:r>
      <w:r>
        <w:t xml:space="preserve">) ainda é a foto antiga do hero. Pode ganhar uma arte com a marca nova, mas é opcional.</w:t>
      </w:r>
    </w:p>
    <w:p>
      <w:pPr>
        <w:pStyle w:val="Heading1"/>
      </w:pPr>
      <w:r>
        <w:t xml:space="preserve">7. Onde encontrar cada coisa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Arquivo</w:t>
            </w:r>
          </w:p>
        </w:tc>
        <w:tc>
          <w:tcPr>
            <w:tcW w:type="dxa" w:w="57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 quê</w:t>
            </w:r>
          </w:p>
        </w:tc>
      </w:tr>
      <w:tr>
        <w:tc>
          <w:tcPr>
            <w:tcW w:type="dxa" w:w="3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57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como rodar (Node 24,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db:seed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test</w:t>
            </w:r>
            <w:r>
              <w:t xml:space="preserve">) e contas de demonstração</w:t>
            </w:r>
          </w:p>
        </w:tc>
      </w:tr>
      <w:tr>
        <w:tc>
          <w:tcPr>
            <w:tcW w:type="dxa" w:w="3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.specify/memory/constitution.md</w:t>
            </w:r>
          </w:p>
        </w:tc>
        <w:tc>
          <w:tcPr>
            <w:tcW w:type="dxa" w:w="57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os dez princípios do projeto e o fluxo SDD</w:t>
            </w:r>
          </w:p>
        </w:tc>
      </w:tr>
      <w:tr>
        <w:tc>
          <w:tcPr>
            <w:tcW w:type="dxa" w:w="3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docs/spec.md</w:t>
            </w:r>
          </w:p>
        </w:tc>
        <w:tc>
          <w:tcPr>
            <w:tcW w:type="dxa" w:w="57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fonte de verdade: regras, requisitos, estados e invariantes (v0.1.5)</w:t>
            </w:r>
          </w:p>
        </w:tc>
      </w:tr>
      <w:tr>
        <w:tc>
          <w:tcPr>
            <w:tcW w:type="dxa" w:w="3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docs/specs/mapa-de-specs.md</w:t>
            </w:r>
          </w:p>
        </w:tc>
        <w:tc>
          <w:tcPr>
            <w:tcW w:type="dxa" w:w="57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29 Specs, dependências e todas as questões em aberto</w:t>
            </w:r>
          </w:p>
        </w:tc>
      </w:tr>
      <w:tr>
        <w:tc>
          <w:tcPr>
            <w:tcW w:type="dxa" w:w="3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docs/specs/SPEC-0XX-*.md</w:t>
            </w:r>
          </w:p>
        </w:tc>
        <w:tc>
          <w:tcPr>
            <w:tcW w:type="dxa" w:w="57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Specs aprovadas</w:t>
            </w:r>
          </w:p>
        </w:tc>
      </w:tr>
      <w:tr>
        <w:tc>
          <w:tcPr>
            <w:tcW w:type="dxa" w:w="3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docs/specs/registro-sdd.md</w:t>
            </w:r>
          </w:p>
        </w:tc>
        <w:tc>
          <w:tcPr>
            <w:tcW w:type="dxa" w:w="57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diário de cada etapa: o que foi pedido, decidido e feito</w:t>
            </w:r>
          </w:p>
        </w:tc>
      </w:tr>
      <w:tr>
        <w:tc>
          <w:tcPr>
            <w:tcW w:type="dxa" w:w="3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docs/adr/</w:t>
            </w:r>
          </w:p>
        </w:tc>
        <w:tc>
          <w:tcPr>
            <w:tcW w:type="dxa" w:w="57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decisões técnicas ADR-001 a ADR-006</w:t>
            </w:r>
          </w:p>
        </w:tc>
      </w:tr>
      <w:tr>
        <w:tc>
          <w:tcPr>
            <w:tcW w:type="dxa" w:w="3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docs/identidade-visual/</w:t>
            </w:r>
          </w:p>
        </w:tc>
        <w:tc>
          <w:tcPr>
            <w:tcW w:type="dxa" w:w="57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guia de marca, logos em SVG e licença da fonte</w:t>
            </w:r>
          </w:p>
        </w:tc>
      </w:tr>
      <w:tr>
        <w:tc>
          <w:tcPr>
            <w:tcW w:type="dxa" w:w="3300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docs/tasks.md</w:t>
            </w:r>
          </w:p>
        </w:tc>
        <w:tc>
          <w:tcPr>
            <w:tcW w:type="dxa" w:w="5726"/>
            <w:tcBorders>
              <w:top w:val="single" w:color="CBD0E2" w:sz="4"/>
              <w:left w:val="single" w:color="CBD0E2" w:sz="4"/>
              <w:bottom w:val="single" w:color="CBD0E2" w:sz="4"/>
              <w:right w:val="single" w:color="CBD0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tarefas com estado ✅ / 🔄 alinhado às issues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Links publicados (privados: quem criou precisa compartilhar pelo menu Share antes de os outros abrirem):</w:t>
      </w:r>
    </w:p>
    <w:p>
      <w:pPr>
        <w:spacing w:after="80"/>
      </w:pPr>
      <w:hyperlink w:history="1" r:id="rId43ef0ixh3hquakd6vmeoz">
        <w:r>
          <w:rPr>
            <w:rStyle w:val="Hyperlink"/>
          </w:rPr>
          <w:t xml:space="preserve">Guia de marca do Encaixe</w:t>
        </w:r>
      </w:hyperlink>
    </w:p>
    <w:p>
      <w:pPr>
        <w:spacing w:after="80"/>
      </w:pPr>
      <w:hyperlink w:history="1" r:id="rIdposglanbvve3ylp98lh87">
        <w:r>
          <w:rPr>
            <w:rStyle w:val="Hyperlink"/>
          </w:rPr>
          <w:t xml:space="preserve">Telas de cadastro e login (SPEC-002)</w:t>
        </w:r>
      </w:hyperlink>
    </w:p>
    <w:p>
      <w:pPr>
        <w:pStyle w:val="Heading1"/>
      </w:pPr>
      <w:r>
        <w:t xml:space="preserve">8. Ordem de leitura recomendada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Este documento.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e rodar o projeto uma vez com as contas de demonstração.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constituição (10 minutos).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docs/spec.md</w:t>
      </w:r>
      <w:r>
        <w:t xml:space="preserve">, seções 6 (regras) e 9 (estados e invariantes) da sua trilha.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 mapa de Specs e as SPEC-001 e SPEC-002, como exemplo do formato.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As issues atribuídas a você. Comece pela de número menor.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379"/>
        <w:sz w:val="16"/>
        <w:szCs w:val="16"/>
      </w:rPr>
      <w:t xml:space="preserve">Encaixe · próximos passos · página </w:t>
    </w:r>
    <w:r>
      <w:rPr>
        <w:color w:val="5B63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40" w:before="320"/>
      <w:outlineLvl w:val="0"/>
    </w:pPr>
    <w:rPr>
      <w:rFonts w:ascii="Arial" w:cs="Arial" w:eastAsia="Arial" w:hAnsi="Arial"/>
      <w:b/>
      <w:bCs/>
      <w:color w:val="3B41C5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43ef0ixh3hquakd6vmeoz" Type="http://schemas.openxmlformats.org/officeDocument/2006/relationships/hyperlink" Target="https://claude.ai/artifact/5Nzrg1ZKrp2H8EREk4p9YX" TargetMode="External"/><Relationship Id="rIdposglanbvve3ylp98lh87" Type="http://schemas.openxmlformats.org/officeDocument/2006/relationships/hyperlink" Target="https://claude.ai/artifact/RNxkqRrx1kn9TQ3F8wuZrW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Encaixe — próximos passos</dc:title>
  <dc:creator>Equipe Encaixe</dc:creator>
  <cp:lastModifiedBy>Un-named</cp:lastModifiedBy>
  <cp:revision>1</cp:revision>
  <dcterms:created xsi:type="dcterms:W3CDTF">2026-10-02T02:33:43.912Z</dcterms:created>
  <dcterms:modified xsi:type="dcterms:W3CDTF">2026-10-02T02:33:43.913Z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