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Date"/>
      </w:pPr>
      <w:r>
        <w:t xml:space="preserve">2025-02-21</w:t>
      </w:r>
    </w:p>
    <w:bookmarkStart w:id="35" w:name="doku"/>
    <w:p>
      <w:pPr>
        <w:pStyle w:val="Heading1"/>
      </w:pPr>
      <w:r>
        <w:t xml:space="preserve">Doku</w:t>
      </w:r>
    </w:p>
    <w:bookmarkStart w:id="20" w:name="vorbereitungen"/>
    <w:p>
      <w:pPr>
        <w:pStyle w:val="Heading2"/>
      </w:pPr>
      <w:r>
        <w:t xml:space="preserve">Vorbereitungen</w:t>
      </w:r>
    </w:p>
    <w:p>
      <w:pPr>
        <w:numPr>
          <w:ilvl w:val="0"/>
          <w:numId w:val="1001"/>
        </w:numPr>
      </w:pPr>
      <w:r>
        <w:t xml:space="preserve">Das Geopackage mit Gebäuden (</w:t>
      </w:r>
      <w:r>
        <w:t xml:space="preserve">“</w:t>
      </w:r>
      <w:r>
        <w:t xml:space="preserve">Gebäude-DB</w:t>
      </w:r>
      <w:r>
        <w:t xml:space="preserve">”</w:t>
      </w:r>
      <w:r>
        <w:t xml:space="preserve">) wurde von LAEA Europe (EPSG 3035) auf Lambert Austria (EPSG 31287) umprojiziert, um der Projektion der Eingangsraster (DOM, Globalstrahlung) zu entsprechen.</w:t>
      </w:r>
    </w:p>
    <w:p>
      <w:pPr>
        <w:numPr>
          <w:ilvl w:val="0"/>
          <w:numId w:val="1001"/>
        </w:numPr>
      </w:pPr>
      <w:r>
        <w:t xml:space="preserve">Durch Verschneidung der Gebäude-DB mit Gemeindepolygonen wurden eine Nachschlagetabelle für die spätere Zuordnung von Gebäuden und Gemeinden (und die Aggregierung auf Gemeindeebene) erstellt.</w:t>
      </w:r>
    </w:p>
    <w:bookmarkEnd w:id="20"/>
    <w:bookmarkStart w:id="21" w:name="konstanten"/>
    <w:p>
      <w:pPr>
        <w:pStyle w:val="Heading2"/>
      </w:pPr>
      <w:r>
        <w:t xml:space="preserve">Konstanten</w:t>
      </w:r>
    </w:p>
    <w:p>
      <w:pPr>
        <w:pStyle w:val="FirstParagraph"/>
      </w:pPr>
      <w:r>
        <w:t xml:space="preserve">Die Liste am Eingang des Hauptskripts</w:t>
      </w:r>
      <w:r>
        <w:t xml:space="preserve"> </w:t>
      </w:r>
      <w:r>
        <w:rPr>
          <w:rStyle w:val="VerbatimChar"/>
        </w:rPr>
        <w:t xml:space="preserve">main.R</w:t>
      </w:r>
      <w:r>
        <w:t xml:space="preserve"> </w:t>
      </w:r>
      <w:r>
        <w:t xml:space="preserve">enthält alle user servicable parts: Neigungslimit für Flachdächer,</w:t>
      </w:r>
      <w:r>
        <w:t xml:space="preserve"> </w:t>
      </w:r>
      <w:r>
        <w:t xml:space="preserve">Nutzbarkeitsklassen etc. Die Einstellung der Parameter wird (nur) hier vorgenommen:</w:t>
      </w:r>
    </w:p>
    <w:p>
      <w:pPr>
        <w:pStyle w:val="SourceCode"/>
      </w:pPr>
      <w:r>
        <w:rPr>
          <w:rStyle w:val="VerbatimChar"/>
        </w:rPr>
        <w:t xml:space="preserve">constants &lt;- list(</w:t>
      </w:r>
      <w:r>
        <w:br/>
      </w:r>
      <w:r>
        <w:rPr>
          <w:rStyle w:val="VerbatimChar"/>
        </w:rPr>
        <w:t xml:space="preserve">  flat = 10,  # Schwellenwert (°), unter dem Dach als flach angenommen wird</w:t>
      </w:r>
      <w:r>
        <w:br/>
      </w:r>
      <w:r>
        <w:rPr>
          <w:rStyle w:val="VerbatimChar"/>
        </w:rPr>
        <w:t xml:space="preserve">  steep = 70, # Schwellenwert (°), oberhalb dessen eine Dachfläche als Kante</w:t>
      </w:r>
      <w:r>
        <w:br/>
      </w:r>
      <w:r>
        <w:rPr>
          <w:rStyle w:val="VerbatimChar"/>
        </w:rPr>
        <w:t xml:space="preserve">  ## bzw. nicht montagetauglich betrachtet wird.</w:t>
      </w:r>
      <w:r>
        <w:br/>
      </w:r>
      <w:r>
        <w:rPr>
          <w:rStyle w:val="VerbatimChar"/>
        </w:rPr>
        <w:t xml:space="preserve">  minsize = 3, # erforderliche Mindestausdehnung zusammenhängender Flächen (Pixel = m²)</w:t>
      </w:r>
      <w:r>
        <w:br/>
      </w:r>
      <w:r>
        <w:rPr>
          <w:rStyle w:val="VerbatimChar"/>
        </w:rPr>
        <w:t xml:space="preserve">  # zusammenhängender Dachfläche</w:t>
      </w:r>
      <w:r>
        <w:br/>
      </w:r>
      <w:r>
        <w:rPr>
          <w:rStyle w:val="VerbatimChar"/>
        </w:rPr>
        <w:t xml:space="preserve">  minbuildings = 3, ## Mindestanzahl an Gebäuden, ab der die Kachel berechnet wird</w:t>
      </w:r>
      <w:r>
        <w:br/>
      </w:r>
      <w:r>
        <w:rPr>
          <w:rStyle w:val="VerbatimChar"/>
        </w:rPr>
        <w:t xml:space="preserve">  a_usable = .7,  # Anteil der für PV nutzbaren Dachfläche (0-1)</w:t>
      </w:r>
      <w:r>
        <w:br/>
      </w:r>
      <w:r>
        <w:rPr>
          <w:rStyle w:val="VerbatimChar"/>
        </w:rPr>
        <w:t xml:space="preserve">  modul_m2 = 2.1,  # Fläche pro Modul [m2]</w:t>
      </w:r>
      <w:r>
        <w:br/>
      </w:r>
      <w:r>
        <w:rPr>
          <w:rStyle w:val="VerbatimChar"/>
        </w:rPr>
        <w:t xml:space="preserve">  pv_e = .18,  # PV efficiency (0-1)</w:t>
      </w:r>
      <w:r>
        <w:br/>
      </w:r>
      <w:r>
        <w:rPr>
          <w:rStyle w:val="VerbatimChar"/>
        </w:rPr>
        <w:t xml:space="preserve">  pv_e_f = \(irr_global) .1898 * irr_global - 3.9931, ## Regression statt Konstante</w:t>
      </w:r>
      <w:r>
        <w:br/>
      </w:r>
      <w:r>
        <w:rPr>
          <w:rStyle w:val="VerbatimChar"/>
        </w:rPr>
        <w:t xml:space="preserve">  st_e = .4,  # ST efficiency (0-1)</w:t>
      </w:r>
      <w:r>
        <w:br/>
      </w:r>
      <w:r>
        <w:rPr>
          <w:rStyle w:val="VerbatimChar"/>
        </w:rPr>
        <w:t xml:space="preserve">  buffer = 0,  # Puffer um Gebäudepolygone [m]; nicht puffern, die Berechnung von Neigung/Aspekt </w:t>
      </w:r>
      <w:r>
        <w:br/>
      </w:r>
      <w:r>
        <w:rPr>
          <w:rStyle w:val="VerbatimChar"/>
        </w:rPr>
        <w:t xml:space="preserve">  ## entfernt sowieso schon den Zellsaum;</w:t>
      </w:r>
      <w:r>
        <w:br/>
      </w:r>
      <w:r>
        <w:rPr>
          <w:rStyle w:val="VerbatimChar"/>
        </w:rPr>
        <w:t xml:space="preserve">  intervals_solar = c(0, 550, 700, 850, 1000, 1150, Inf), ## Klassen solar</w:t>
      </w:r>
      <w:r>
        <w:br/>
      </w:r>
      <w:r>
        <w:rPr>
          <w:rStyle w:val="VerbatimChar"/>
        </w:rPr>
        <w:t xml:space="preserve">  labels = list(</w:t>
      </w:r>
      <w:r>
        <w:br/>
      </w:r>
      <w:r>
        <w:rPr>
          <w:rStyle w:val="VerbatimChar"/>
        </w:rPr>
        <w:t xml:space="preserve">    aspect = c('N', 'NO', 'O', 'SO', 'S', 'SW', 'W', 'NW'),</w:t>
      </w:r>
      <w:r>
        <w:br/>
      </w:r>
      <w:r>
        <w:rPr>
          <w:rStyle w:val="VerbatimChar"/>
        </w:rPr>
        <w:t xml:space="preserve">    eignung_solar = c('nicht', 'wenig_2040', 'wenig_2020', 'geeignet', 'gut', 'sehr_gut')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)</w:t>
      </w:r>
    </w:p>
    <w:bookmarkEnd w:id="21"/>
    <w:bookmarkStart w:id="31" w:name="methodik"/>
    <w:p>
      <w:pPr>
        <w:pStyle w:val="Heading2"/>
      </w:pPr>
      <w:r>
        <w:t xml:space="preserve">Methodik</w:t>
      </w:r>
    </w:p>
    <w:bookmarkStart w:id="30" w:name="workflow"/>
    <w:p>
      <w:pPr>
        <w:pStyle w:val="Heading3"/>
      </w:pPr>
      <w:r>
        <w:t xml:space="preserve">Workflow</w:t>
      </w:r>
    </w:p>
    <w:bookmarkStart w:id="25" w:name="X979e963d0b371ba62d3417d3e876c01ce412f90"/>
    <w:p>
      <w:pPr>
        <w:pStyle w:val="Heading4"/>
      </w:pPr>
      <w:r>
        <w:t xml:space="preserve">Teil 1: von den Eingangsdateien bis zur Hauptmaske</w:t>
      </w:r>
    </w:p>
    <w:p>
      <w:pPr>
        <w:pStyle w:val="FirstParagraph"/>
      </w:pPr>
      <w:r>
        <w:t xml:space="preserve">Die in der Gebäude-DB enthaltenen Gebäudegeometrien werden nur für</w:t>
      </w:r>
      <w:r>
        <w:t xml:space="preserve"> </w:t>
      </w:r>
      <w:r>
        <w:t xml:space="preserve">die jeweils bearbeitete Kachel abgefragt und in ein Raster mit Auflösung</w:t>
      </w:r>
      <w:r>
        <w:t xml:space="preserve"> </w:t>
      </w:r>
      <w:r>
        <w:t xml:space="preserve">und Projektion der DOM-Kachel umgewandelt. Dieses Raster enthält OBJECTID</w:t>
      </w:r>
      <w:r>
        <w:t xml:space="preserve"> </w:t>
      </w:r>
      <w:r>
        <w:t xml:space="preserve">und Abgrenzung der Gebäude für die nachfolgenden Berechnungen.</w:t>
      </w:r>
    </w:p>
    <w:p>
      <w:pPr>
        <w:pStyle w:val="BodyText"/>
      </w:pPr>
      <w:r>
        <w:t xml:space="preserve">Aus dem DOM wird die Neigung (slope) abgeleitet*, aus der u. a. die Hauptmaske generiert wird. Die Hauptmaske scheidet alle Rasterpixel aus, die bei der Auswertung vernachlässigt werden sollen. Dazu gehören:</w:t>
      </w:r>
    </w:p>
    <w:p>
      <w:pPr>
        <w:pStyle w:val="Compact"/>
        <w:numPr>
          <w:ilvl w:val="0"/>
          <w:numId w:val="1002"/>
        </w:numPr>
      </w:pPr>
      <w:r>
        <w:t xml:space="preserve">Pixel außerhalb von Gebäuden (Objekten) lt. Gebäude-DB</w:t>
      </w:r>
    </w:p>
    <w:p>
      <w:pPr>
        <w:pStyle w:val="Compact"/>
        <w:numPr>
          <w:ilvl w:val="0"/>
          <w:numId w:val="1002"/>
        </w:numPr>
      </w:pPr>
      <w:r>
        <w:t xml:space="preserve">Grate: langgezogene, dünne (≤</w:t>
      </w:r>
      <w:r>
        <w:t xml:space="preserve"> </w:t>
      </w:r>
      <w:r>
        <w:rPr>
          <w:rStyle w:val="VerbatimChar"/>
        </w:rPr>
        <w:t xml:space="preserve">minsize</w:t>
      </w:r>
      <w:r>
        <w:t xml:space="preserve"> </w:t>
      </w:r>
      <w:r>
        <w:t xml:space="preserve">Pixelreihen) mit max. 10° Neigung, wie sie im DOM z. B. durch Dachfirste erzeugt werden</w:t>
      </w:r>
    </w:p>
    <w:p>
      <w:pPr>
        <w:pStyle w:val="Compact"/>
        <w:numPr>
          <w:ilvl w:val="0"/>
          <w:numId w:val="1002"/>
        </w:numPr>
      </w:pPr>
      <w:r>
        <w:t xml:space="preserve">Inseln: kleine Pixelhaufen, etwa durch Dachaufbauten, mit den Ausscheidungskriterien für Grate</w:t>
      </w:r>
    </w:p>
    <w:p>
      <w:pPr>
        <w:pStyle w:val="Compact"/>
        <w:numPr>
          <w:ilvl w:val="0"/>
          <w:numId w:val="1002"/>
        </w:numPr>
      </w:pPr>
      <w:r>
        <w:t xml:space="preserve">Kanten oder steile Flächen &gt;</w:t>
      </w:r>
      <w:r>
        <w:t xml:space="preserve"> </w:t>
      </w:r>
      <w:r>
        <w:rPr>
          <w:rStyle w:val="VerbatimChar"/>
        </w:rPr>
        <w:t xml:space="preserve">steep</w:t>
      </w:r>
      <w:r>
        <w:t xml:space="preserve"> </w:t>
      </w:r>
      <w:r>
        <w:t xml:space="preserve">Neigungswinkel</w:t>
      </w:r>
    </w:p>
    <w:p>
      <w:pPr>
        <w:pStyle w:val="FirstParagraph"/>
      </w:pPr>
      <w:r>
        <w:t xml:space="preserve">Mit dieser Hauptmaske werden die übrigen Eingangsdaten maskiert, d. h. ausgeschiedene Pixel werden auf rechnerisch neutral (</w:t>
      </w:r>
      <w:r>
        <w:rPr>
          <w:rStyle w:val="VerbatimChar"/>
        </w:rPr>
        <w:t xml:space="preserve">NA</w:t>
      </w:r>
      <w:r>
        <w:t xml:space="preserve">) gesetzt.</w:t>
      </w:r>
    </w:p>
    <w:p>
      <w:pPr>
        <w:pStyle w:val="Compact"/>
        <w:numPr>
          <w:ilvl w:val="0"/>
          <w:numId w:val="1003"/>
        </w:numPr>
      </w:pPr>
      <w:r>
        <w:t xml:space="preserve">Neigung und Aspekt werden aus den 4 orthogonal angrenzenden Pixeln berechnet</w:t>
      </w:r>
    </w:p>
    <w:p>
      <w:pPr>
        <w:pStyle w:val="SourceCode"/>
      </w:pPr>
      <w:r>
        <w:rPr>
          <w:rStyle w:val="VerbatimChar"/>
        </w:rPr>
        <w:t xml:space="preserve">## file:////tmp/RtmpvOENww/file385794f31fea3/widget3857956d55f79.html screenshot completed</w:t>
      </w:r>
    </w:p>
    <w:p>
      <w:pPr>
        <w:pStyle w:val="CaptionedFigure"/>
      </w:pPr>
      <w:r>
        <w:drawing>
          <wp:inline>
            <wp:extent cx="5334000" cy="4044078"/>
            <wp:effectExtent b="0" l="0" r="0" t="0"/>
            <wp:docPr descr="Workflow, Teil 1" title="" id="23" name="Picture"/>
            <a:graphic>
              <a:graphicData uri="http://schemas.openxmlformats.org/drawingml/2006/picture">
                <pic:pic>
                  <pic:nvPicPr>
                    <pic:cNvPr descr="README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Workflow, Teil 1</w:t>
      </w:r>
    </w:p>
    <w:bookmarkEnd w:id="25"/>
    <w:bookmarkStart w:id="29" w:name="X5ab5c2a4a45d3434f345b8b2bb360fd8928bbf0"/>
    <w:p>
      <w:pPr>
        <w:pStyle w:val="Heading4"/>
      </w:pPr>
      <w:r>
        <w:t xml:space="preserve">Teil 2: Von den maskierten Eingangsrastern bis zu den Ergebnissen</w:t>
      </w:r>
    </w:p>
    <w:p>
      <w:pPr>
        <w:pStyle w:val="FirstParagraph"/>
      </w:pPr>
      <w:r>
        <w:t xml:space="preserve">Mit der oben erstellten Hauptmaske werden die übrigen benötigten Eingangsraster</w:t>
      </w:r>
      <w:r>
        <w:t xml:space="preserve"> </w:t>
      </w:r>
      <w:r>
        <w:t xml:space="preserve">(Globalstrahlung) und das aus dem DOM abgeleitete Raster</w:t>
      </w:r>
      <w:r>
        <w:t xml:space="preserve"> </w:t>
      </w:r>
      <w:r>
        <w:t xml:space="preserve">“</w:t>
      </w:r>
      <w:r>
        <w:t xml:space="preserve">Aspekt</w:t>
      </w:r>
      <w:r>
        <w:t xml:space="preserve">”</w:t>
      </w:r>
      <w:r>
        <w:t xml:space="preserve"> </w:t>
      </w:r>
      <w:r>
        <w:t xml:space="preserve">beschnitten.</w:t>
      </w:r>
      <w:r>
        <w:t xml:space="preserve"> </w:t>
      </w:r>
      <w:r>
        <w:t xml:space="preserve">Die weiteren abgeleiteten Raster (wahre Dachfläche, Eignungsklassen, Dachtyp [</w:t>
      </w:r>
      <w:r>
        <w:t xml:space="preserve"> </w:t>
      </w:r>
      <w:r>
        <w:t xml:space="preserve">flach/geneigt]) werden überhaupt aus den bereits maskierten Rastern berechnet, weil dafür</w:t>
      </w:r>
      <w:r>
        <w:t xml:space="preserve"> </w:t>
      </w:r>
      <w:r>
        <w:t xml:space="preserve">keine Saumpixel mehr benötigt werden (anders als beim Aspekt).</w:t>
      </w:r>
      <w:r>
        <w:t xml:space="preserve"> </w:t>
      </w:r>
      <w:r>
        <w:t xml:space="preserve">Aus den maskierten Rastern werden die Werte auf Gebäudeebene aggregiert in</w:t>
      </w:r>
      <w:r>
        <w:t xml:space="preserve"> </w:t>
      </w:r>
      <w:r>
        <w:t xml:space="preserve">Tabellenform (</w:t>
      </w:r>
      <w:r>
        <w:rPr>
          <w:rStyle w:val="VerbatimChar"/>
        </w:rPr>
        <w:t xml:space="preserve">data.frames</w:t>
      </w:r>
      <w:r>
        <w:t xml:space="preserve">) ausgelesen. Die tabellierten Daten werden samt</w:t>
      </w:r>
      <w:r>
        <w:t xml:space="preserve"> </w:t>
      </w:r>
      <w:r>
        <w:t xml:space="preserve">Gemeindezugehörigkeit kachelweise als CSV und/oder Excel-Dateien gespeichert und</w:t>
      </w:r>
      <w:r>
        <w:t xml:space="preserve"> </w:t>
      </w:r>
      <w:r>
        <w:t xml:space="preserve">kachelübergreifend in eine Datenbankdatei (dzt. SQLite) gespeichert. Letzteres</w:t>
      </w:r>
      <w:r>
        <w:t xml:space="preserve"> </w:t>
      </w:r>
      <w:r>
        <w:t xml:space="preserve">ermöglicht die gemeindeweise Auswertung des Kachelschnitts.</w:t>
      </w:r>
    </w:p>
    <w:p>
      <w:pPr>
        <w:pStyle w:val="SourceCode"/>
      </w:pPr>
      <w:r>
        <w:rPr>
          <w:rStyle w:val="VerbatimChar"/>
        </w:rPr>
        <w:t xml:space="preserve">## file:////tmp/RtmpvOENww/file385795eb24b1a/widget385793d78b7aa.html screenshot completed</w:t>
      </w:r>
    </w:p>
    <w:p>
      <w:pPr>
        <w:pStyle w:val="CaptionedFigure"/>
      </w:pPr>
      <w:r>
        <w:drawing>
          <wp:inline>
            <wp:extent cx="5334000" cy="4044078"/>
            <wp:effectExtent b="0" l="0" r="0" t="0"/>
            <wp:docPr descr="Workflow, Teil 2" title="" id="27" name="Picture"/>
            <a:graphic>
              <a:graphicData uri="http://schemas.openxmlformats.org/drawingml/2006/picture">
                <pic:pic>
                  <pic:nvPicPr>
                    <pic:cNvPr descr="README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Workflow, Teil 2</w:t>
      </w:r>
    </w:p>
    <w:bookmarkEnd w:id="29"/>
    <w:bookmarkEnd w:id="30"/>
    <w:bookmarkEnd w:id="31"/>
    <w:bookmarkStart w:id="34" w:name="anmerkungen"/>
    <w:p>
      <w:pPr>
        <w:pStyle w:val="Heading2"/>
      </w:pPr>
      <w:r>
        <w:t xml:space="preserve">Anmerkungen</w:t>
      </w:r>
    </w:p>
    <w:bookmarkStart w:id="32" w:name="einfluss-pufferdistanz"/>
    <w:p>
      <w:pPr>
        <w:pStyle w:val="Heading3"/>
      </w:pPr>
      <w:r>
        <w:t xml:space="preserve">Einfluss Pufferdistanz</w:t>
      </w:r>
    </w:p>
    <w:p>
      <w:pPr>
        <w:pStyle w:val="FirstParagraph"/>
      </w:pPr>
      <w:r>
        <w:rPr>
          <w:i/>
          <w:iCs/>
        </w:rPr>
        <w:t xml:space="preserve">obsolet, da Kantenbereinigung jetzt über die Neigung erfolgt</w:t>
      </w:r>
      <w:r>
        <w:t xml:space="preserve"> </w:t>
      </w:r>
      <w:r>
        <w:t xml:space="preserve">Bei ca. 1,5 m Puffer (Erweiterung des Gebäudeumrissen treten die meisten Höhen-Ausreißer auf, von da weg nehmen sie rel. linear in beide Richtungen</w:t>
      </w:r>
      <w:r>
        <w:t xml:space="preserve"> </w:t>
      </w:r>
      <w:r>
        <w:t xml:space="preserve">ab. Eine markante Änderung der Ausreißerzahl bei einer bestimmten Pufferdistanz zur Optimierung der Distanz ist leider nicht erkennbar.)</w:t>
      </w:r>
      <w:r>
        <w:t xml:space="preserve"> </w:t>
      </w:r>
    </w:p>
    <w:bookmarkEnd w:id="32"/>
    <w:bookmarkStart w:id="33" w:name="höhenausreißer"/>
    <w:p>
      <w:pPr>
        <w:pStyle w:val="Heading3"/>
      </w:pPr>
      <w:r>
        <w:t xml:space="preserve">Höhenausreißer</w:t>
      </w:r>
    </w:p>
    <w:p>
      <w:pPr>
        <w:pStyle w:val="FirstParagraph"/>
      </w:pPr>
      <w:r>
        <w:rPr>
          <w:i/>
          <w:iCs/>
        </w:rPr>
        <w:t xml:space="preserve">obsolet (s. o.)</w:t>
      </w:r>
      <w:r>
        <w:t xml:space="preserve"> </w:t>
      </w:r>
      <w:r>
        <w:t xml:space="preserve">Die jetzige Ausreißerdefinition würde Flachdächer desselben Gebäudes bei größeren Niveauunterschieden ausscheiden.</w:t>
      </w:r>
      <w:r>
        <w:t xml:space="preserve"> 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/>
  <cp:keywords/>
  <dcterms:created xsi:type="dcterms:W3CDTF">2025-02-24T11:27:39Z</dcterms:created>
  <dcterms:modified xsi:type="dcterms:W3CDTF">2025-02-24T11:27:39Z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2025-02-21</vt:lpwstr>
  </property>
  <property fmtid="{D5CDD505-2E9C-101B-9397-08002B2CF9AE}" pid="3" name="output">
    <vt:lpwstr/>
  </property>
</Properties>
</file>