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36"/>
          <w:szCs w:val="36"/>
          <w:highlight w:val="white"/>
          <w:rtl w:val="0"/>
        </w:rPr>
        <w:t xml:space="preserve">Фінального проєкт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Крок1_схема_pandemic_імпорт_10521.png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37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Крок2_нормалізовані_таблиці_10521.png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40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Крок3_аналіз_Number_rabies_top10.png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Крок4_різниця_років.png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94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Крок5_функція_years_since_year.png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78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