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r w:rsidRPr="00BA70BB">
        <w:rPr>
          <w:rFonts w:ascii="Noto Sans TC" w:eastAsia="Noto Sans TC" w:hAnsi="Noto Sans TC" w:cs="Arial"/>
          <w:color w:val="000000"/>
          <w:sz w:val="32"/>
          <w:szCs w:val="32"/>
        </w:rPr>
        <w:t>教育部高中職資安教學資源與推廣中心</w:t>
      </w:r>
    </w:p>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proofErr w:type="spellStart"/>
      <w:r w:rsidRPr="00BA70BB">
        <w:rPr>
          <w:rFonts w:ascii="Noto Sans TC" w:eastAsia="Noto Sans TC" w:hAnsi="Noto Sans TC" w:cs="Arial"/>
          <w:color w:val="000000"/>
          <w:sz w:val="32"/>
          <w:szCs w:val="32"/>
        </w:rPr>
        <w:t>ZeroDay</w:t>
      </w:r>
      <w:proofErr w:type="spellEnd"/>
      <w:r w:rsidRPr="00BA70BB">
        <w:rPr>
          <w:rFonts w:ascii="Noto Sans TC" w:eastAsia="Noto Sans TC" w:hAnsi="Noto Sans TC" w:cs="Arial"/>
          <w:color w:val="000000"/>
          <w:sz w:val="32"/>
          <w:szCs w:val="32"/>
        </w:rPr>
        <w:t xml:space="preserve"> Cookie 零日餅乾社</w:t>
      </w:r>
    </w:p>
    <w:p w:rsidR="00BA70BB" w:rsidRPr="00BA70BB" w:rsidRDefault="00BA70BB" w:rsidP="00BA70BB">
      <w:pPr>
        <w:pStyle w:val="Heading2"/>
        <w:shd w:val="clear" w:color="auto" w:fill="FFFFFF"/>
        <w:spacing w:before="0" w:beforeAutospacing="0" w:after="0" w:afterAutospacing="0"/>
        <w:jc w:val="center"/>
        <w:rPr>
          <w:rFonts w:ascii="Noto Sans TC" w:eastAsia="Noto Sans TC" w:hAnsi="Noto Sans TC" w:cs="Arial"/>
          <w:color w:val="000000"/>
          <w:sz w:val="32"/>
          <w:szCs w:val="32"/>
        </w:rPr>
      </w:pPr>
      <w:r w:rsidRPr="00BA70BB">
        <w:rPr>
          <w:rFonts w:ascii="Noto Sans TC" w:eastAsia="Noto Sans TC" w:hAnsi="Noto Sans TC" w:cs="Arial"/>
          <w:color w:val="000000"/>
          <w:sz w:val="32"/>
          <w:szCs w:val="32"/>
        </w:rPr>
        <w:t>社團簡章</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壹、社團說明</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 xml:space="preserve">教育部高中職資安教學資源與推廣中心因應資訊安全技術的快速發展，以及資訊安全重要性的提昇，特別成立 </w:t>
      </w:r>
      <w:proofErr w:type="spellStart"/>
      <w:r w:rsidRPr="00BA70BB">
        <w:rPr>
          <w:rFonts w:asciiTheme="minorEastAsia" w:eastAsiaTheme="minorEastAsia" w:hAnsiTheme="minorEastAsia" w:cs="Arial"/>
          <w:b w:val="0"/>
          <w:bCs w:val="0"/>
          <w:color w:val="000000"/>
          <w:sz w:val="24"/>
          <w:szCs w:val="24"/>
        </w:rPr>
        <w:t>ZeroDay</w:t>
      </w:r>
      <w:proofErr w:type="spellEnd"/>
      <w:r w:rsidRPr="00BA70BB">
        <w:rPr>
          <w:rFonts w:asciiTheme="minorEastAsia" w:eastAsiaTheme="minorEastAsia" w:hAnsiTheme="minorEastAsia" w:cs="Arial"/>
          <w:b w:val="0"/>
          <w:bCs w:val="0"/>
          <w:color w:val="000000"/>
          <w:sz w:val="24"/>
          <w:szCs w:val="24"/>
        </w:rPr>
        <w:t xml:space="preserve"> Cookies 零日餅乾社。本社團由各校中心講師介紹之學生所組成，希冀透過師生交流與與社團活動，讓學生學習資訊安全技術，進而增加特殊選材機會並促進資安扎根教育。課程與學習活動包括：(1) 跨校交流：與各校資安社團建立合作關係，使社員能在全臺各區參與交流。(2) 專業講師陣容：由中心講師授課，提供最適合高中生的課程並令聘具有比賽經驗的大學生、高中生擔任講師。(3) 實戰導向的學習方法:定期舉辦社內 CTF 競賽，培養社員解決問題的能力並組織團隊參加 CTF 比賽，如資安女婕思、金盾獎等。(4) 持續學習與認證支持：開設CEH等國際證照的準備課程、利用資深社員的統整與分享，以整理資源乃至開發線上學習平台、透過表單申請CDX 機器，以利於資安課程的學習或 CTF 競賽、建置程式傳送各大資安媒體的最新貼文，讓社員追蹤最新的漏洞揭露。(5) 全面的資安課程架構 : 從資安倫理到滲透測試，系統性培養社員能力。再者，本中心期待通過此次社團增進跨校之間的交流與共同學習，提昇資訊安全知識與技術能量，共創一個理論與實踐並重的社團。</w:t>
      </w:r>
    </w:p>
    <w:p w:rsid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貳、辦理單位</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指導單位：教育部資訊及科技教育司、教育部先進資通安全實務人才培育計畫推動辦公室</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主辦單位：高中職資安教學資源與推廣中心、高中資通安全實務適性教學教材研發實驗計畫辦公室、長庚大學資訊管理學系</w:t>
      </w:r>
    </w:p>
    <w:p w:rsidR="00BA70BB" w:rsidRPr="00BA70BB" w:rsidRDefault="00BA70BB" w:rsidP="00BA70BB">
      <w:pPr>
        <w:pStyle w:val="Heading2"/>
        <w:shd w:val="clear" w:color="auto" w:fill="FFFFFF"/>
        <w:spacing w:before="0" w:beforeAutospacing="0" w:after="0" w:afterAutospacing="0"/>
        <w:ind w:left="1191" w:hanging="1191"/>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協辦單位：元智大學資訊管理學系</w:t>
      </w:r>
    </w:p>
    <w:p w:rsid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color w:val="000000"/>
          <w:sz w:val="24"/>
          <w:szCs w:val="24"/>
        </w:rPr>
      </w:pPr>
      <w:r w:rsidRPr="00BA70BB">
        <w:rPr>
          <w:rFonts w:asciiTheme="minorEastAsia" w:eastAsiaTheme="minorEastAsia" w:hAnsiTheme="minorEastAsia" w:cs="Arial"/>
          <w:color w:val="000000"/>
          <w:sz w:val="24"/>
          <w:szCs w:val="24"/>
        </w:rPr>
        <w:t>參、入社方式</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一、招生對象：中心講師介紹之學生</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color w:val="000000"/>
          <w:sz w:val="24"/>
          <w:szCs w:val="24"/>
        </w:rPr>
        <w:t>二、入社條件：擁有</w:t>
      </w:r>
      <w:r w:rsidRPr="00BA70BB">
        <w:rPr>
          <w:rFonts w:ascii="Yu Gothic" w:eastAsia="Yu Gothic" w:hAnsi="Yu Gothic" w:cs="Yu Gothic" w:hint="eastAsia"/>
          <w:b w:val="0"/>
          <w:bCs w:val="0"/>
          <w:color w:val="000000"/>
          <w:sz w:val="24"/>
          <w:szCs w:val="24"/>
        </w:rPr>
        <w:t>⼀</w:t>
      </w:r>
      <w:r w:rsidRPr="00BA70BB">
        <w:rPr>
          <w:rFonts w:asciiTheme="minorEastAsia" w:eastAsiaTheme="minorEastAsia" w:hAnsiTheme="minorEastAsia" w:cs="Arial"/>
          <w:b w:val="0"/>
          <w:bCs w:val="0"/>
          <w:color w:val="000000"/>
          <w:sz w:val="24"/>
          <w:szCs w:val="24"/>
        </w:rPr>
        <w:t>顆熱誠的心</w:t>
      </w:r>
    </w:p>
    <w:p w:rsidR="00BA70BB" w:rsidRPr="00BA70BB" w:rsidRDefault="00BA70BB" w:rsidP="00BA70BB">
      <w:pPr>
        <w:pStyle w:val="Heading2"/>
        <w:shd w:val="clear" w:color="auto" w:fill="FFFFFF"/>
        <w:spacing w:before="0" w:beforeAutospacing="0" w:after="0" w:afterAutospacing="0"/>
        <w:rPr>
          <w:rFonts w:asciiTheme="minorEastAsia" w:eastAsiaTheme="minorEastAsia" w:hAnsiTheme="minorEastAsia" w:cs="Arial"/>
          <w:b w:val="0"/>
          <w:bCs w:val="0"/>
          <w:vanish/>
          <w:color w:val="000000"/>
          <w:sz w:val="24"/>
          <w:szCs w:val="24"/>
        </w:rPr>
      </w:pPr>
      <w:r w:rsidRPr="00BA70BB">
        <w:rPr>
          <w:rFonts w:asciiTheme="minorEastAsia" w:eastAsiaTheme="minorEastAsia" w:hAnsiTheme="minorEastAsia" w:cs="Arial"/>
          <w:b w:val="0"/>
          <w:bCs w:val="0"/>
          <w:color w:val="000000"/>
          <w:sz w:val="24"/>
          <w:szCs w:val="24"/>
        </w:rPr>
        <w:t>三、入社方式：請聯絡各校之中心講師</w:t>
      </w:r>
    </w:p>
    <w:p w:rsidR="006443A9" w:rsidRPr="006443A9" w:rsidRDefault="000E4B7E" w:rsidP="006443A9">
      <w:pPr>
        <w:pStyle w:val="Heading2"/>
        <w:shd w:val="clear" w:color="auto" w:fill="FFFFFF"/>
        <w:spacing w:before="0" w:beforeAutospacing="0" w:after="0" w:afterAutospacing="0"/>
        <w:jc w:val="center"/>
        <w:rPr>
          <w:rFonts w:asciiTheme="minorEastAsia" w:eastAsiaTheme="minorEastAsia" w:hAnsiTheme="minorEastAsia" w:cs="Arial"/>
          <w:b w:val="0"/>
          <w:bCs w:val="0"/>
          <w:color w:val="000000"/>
          <w:sz w:val="24"/>
          <w:szCs w:val="24"/>
        </w:rPr>
      </w:pPr>
      <w:r w:rsidRPr="00BA70BB">
        <w:rPr>
          <w:rFonts w:asciiTheme="minorEastAsia" w:eastAsiaTheme="minorEastAsia" w:hAnsiTheme="minorEastAsia" w:cs="Arial"/>
          <w:b w:val="0"/>
          <w:bCs w:val="0"/>
          <w:vanish/>
          <w:color w:val="000000"/>
          <w:sz w:val="30"/>
          <w:szCs w:val="30"/>
        </w:rPr>
        <w:t>FHF</w:t>
      </w:r>
      <w:r w:rsidR="002C6539" w:rsidRPr="00BA70BB">
        <w:rPr>
          <w:rFonts w:asciiTheme="minorEastAsia" w:eastAsiaTheme="minorEastAsia" w:hAnsiTheme="minorEastAsia" w:cs="Arial"/>
          <w:b w:val="0"/>
          <w:bCs w:val="0"/>
          <w:vanish/>
          <w:color w:val="000000"/>
          <w:sz w:val="30"/>
          <w:szCs w:val="30"/>
        </w:rPr>
        <w:t>CTF{</w:t>
      </w:r>
      <w:r w:rsidR="00CC4C19" w:rsidRPr="00BA70BB">
        <w:rPr>
          <w:rFonts w:asciiTheme="minorEastAsia" w:eastAsiaTheme="minorEastAsia" w:hAnsiTheme="minorEastAsia" w:cs="Arial"/>
          <w:b w:val="0"/>
          <w:bCs w:val="0"/>
          <w:vanish/>
          <w:color w:val="000000"/>
          <w:sz w:val="30"/>
          <w:szCs w:val="30"/>
        </w:rPr>
        <w:t>I_hate_office365_and_word</w:t>
      </w:r>
      <w:r w:rsidR="002C6539" w:rsidRPr="00BA70BB">
        <w:rPr>
          <w:rFonts w:asciiTheme="minorEastAsia" w:eastAsiaTheme="minorEastAsia" w:hAnsiTheme="minorEastAsia" w:cs="Arial"/>
          <w:b w:val="0"/>
          <w:bCs w:val="0"/>
          <w:vanish/>
          <w:color w:val="000000"/>
          <w:sz w:val="30"/>
          <w:szCs w:val="30"/>
        </w:rPr>
        <w:t>}</w:t>
      </w:r>
    </w:p>
    <w:sectPr w:rsidR="006443A9" w:rsidRPr="006443A9">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E73" w:rsidRDefault="009F7E73">
      <w:r>
        <w:separator/>
      </w:r>
    </w:p>
  </w:endnote>
  <w:endnote w:type="continuationSeparator" w:id="0">
    <w:p w:rsidR="009F7E73" w:rsidRDefault="009F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TC">
    <w:panose1 w:val="020B0500000000000000"/>
    <w:charset w:val="80"/>
    <w:family w:val="swiss"/>
    <w:notTrueType/>
    <w:pitch w:val="variable"/>
    <w:sig w:usb0="20000083" w:usb1="2ADF3C10" w:usb2="00000016" w:usb3="00000000" w:csb0="00120107"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90" w:rsidRDefault="00F44890">
    <w:pPr>
      <w:pStyle w:val="Footer"/>
      <w:jc w:val="center"/>
    </w:pPr>
    <w:r>
      <w:rPr>
        <w:rStyle w:val="PageNumber"/>
      </w:rPr>
      <w:fldChar w:fldCharType="begin"/>
    </w:r>
    <w:r>
      <w:rPr>
        <w:rStyle w:val="PageNumber"/>
      </w:rPr>
      <w:instrText xml:space="preserve"> PAGE </w:instrText>
    </w:r>
    <w:r>
      <w:rPr>
        <w:rStyle w:val="PageNumber"/>
      </w:rPr>
      <w:fldChar w:fldCharType="separate"/>
    </w:r>
    <w:r w:rsidR="009926F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E73" w:rsidRDefault="009F7E73">
      <w:r>
        <w:separator/>
      </w:r>
    </w:p>
  </w:footnote>
  <w:footnote w:type="continuationSeparator" w:id="0">
    <w:p w:rsidR="009F7E73" w:rsidRDefault="009F7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90"/>
    <w:rsid w:val="000E4B7E"/>
    <w:rsid w:val="00163F62"/>
    <w:rsid w:val="001913E6"/>
    <w:rsid w:val="00236626"/>
    <w:rsid w:val="002700AB"/>
    <w:rsid w:val="002C6539"/>
    <w:rsid w:val="003223E2"/>
    <w:rsid w:val="00470263"/>
    <w:rsid w:val="004846B4"/>
    <w:rsid w:val="004B62A3"/>
    <w:rsid w:val="006443A9"/>
    <w:rsid w:val="00657CC2"/>
    <w:rsid w:val="006E5AFF"/>
    <w:rsid w:val="009926F8"/>
    <w:rsid w:val="009F7E73"/>
    <w:rsid w:val="00BA70BB"/>
    <w:rsid w:val="00C226C9"/>
    <w:rsid w:val="00CC4C19"/>
    <w:rsid w:val="00F44890"/>
    <w:rsid w:val="00FE6D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AC29C"/>
  <w15:chartTrackingRefBased/>
  <w15:docId w15:val="{3941F7A8-A6A9-4338-8E1E-7C29568E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paragraph" w:styleId="Heading2">
    <w:name w:val="heading 2"/>
    <w:basedOn w:val="Normal"/>
    <w:link w:val="Heading2Char"/>
    <w:uiPriority w:val="9"/>
    <w:qFormat/>
    <w:rsid w:val="00CC4C19"/>
    <w:pPr>
      <w:widowControl/>
      <w:spacing w:before="100" w:beforeAutospacing="1" w:after="100" w:afterAutospacing="1"/>
      <w:outlineLvl w:val="1"/>
    </w:pPr>
    <w:rPr>
      <w:rFonts w:ascii="PMingLiU" w:hAnsi="PMingLiU" w:cs="PMingLiU"/>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Arial" w:hAnsi="Arial" w:cs="Arial" w:hint="default"/>
      <w:strike w:val="0"/>
      <w:dstrike w:val="0"/>
      <w:color w:val="0066CC"/>
      <w:sz w:val="30"/>
      <w:szCs w:val="30"/>
      <w:u w:val="none"/>
      <w:effect w:val="none"/>
    </w:rPr>
  </w:style>
  <w:style w:type="character" w:customStyle="1" w:styleId="h11">
    <w:name w:val="h11"/>
    <w:rPr>
      <w:b/>
      <w:bCs/>
      <w:color w:val="FF6600"/>
      <w:sz w:val="32"/>
      <w:szCs w:val="32"/>
    </w:rPr>
  </w:style>
  <w:style w:type="character" w:customStyle="1" w:styleId="categoryright1">
    <w:name w:val="categoryright1"/>
    <w:rPr>
      <w:b w:val="0"/>
      <w:bCs w:val="0"/>
    </w:rPr>
  </w:style>
  <w:style w:type="paragraph" w:styleId="NormalWeb">
    <w:name w:val="Normal (Web)"/>
    <w:basedOn w:val="Normal"/>
    <w:pPr>
      <w:widowControl/>
      <w:spacing w:before="100" w:beforeAutospacing="1" w:after="100" w:afterAutospacing="1"/>
    </w:pPr>
    <w:rPr>
      <w:rFonts w:ascii="Arial Unicode MS" w:eastAsia="Arial Unicode MS" w:hAnsi="Arial Unicode MS" w:cs="Arial Unicode MS"/>
      <w:kern w:val="0"/>
    </w:rPr>
  </w:style>
  <w:style w:type="character" w:styleId="Strong">
    <w:name w:val="Strong"/>
    <w:qFormat/>
    <w:rPr>
      <w:b/>
      <w:bCs/>
    </w:rPr>
  </w:style>
  <w:style w:type="paragraph" w:styleId="Header">
    <w:name w:val="header"/>
    <w:basedOn w:val="Normal"/>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character" w:styleId="PageNumber">
    <w:name w:val="page number"/>
    <w:basedOn w:val="DefaultParagraphFont"/>
  </w:style>
  <w:style w:type="character" w:customStyle="1" w:styleId="Heading2Char">
    <w:name w:val="Heading 2 Char"/>
    <w:basedOn w:val="DefaultParagraphFont"/>
    <w:link w:val="Heading2"/>
    <w:uiPriority w:val="9"/>
    <w:rsid w:val="00CC4C19"/>
    <w:rPr>
      <w:rFonts w:ascii="PMingLiU" w:hAnsi="PMingLiU" w:cs="PMingLiU"/>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667</Characters>
  <Application>Microsoft Office Word</Application>
  <DocSecurity>0</DocSecurity>
  <Lines>5</Lines>
  <Paragraphs>1</Paragraphs>
  <ScaleCrop>false</ScaleCrop>
  <Company>moea</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行政院及所屬各機關資訊安全管理要點</dc:title>
  <dc:subject/>
  <dc:creator>moea</dc:creator>
  <cp:keywords/>
  <dc:description/>
  <cp:lastModifiedBy>yiping sun</cp:lastModifiedBy>
  <cp:revision>4</cp:revision>
  <cp:lastPrinted>2008-03-18T03:24:00Z</cp:lastPrinted>
  <dcterms:created xsi:type="dcterms:W3CDTF">2025-01-02T13:12:00Z</dcterms:created>
  <dcterms:modified xsi:type="dcterms:W3CDTF">2025-01-03T08:13:00Z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序號">
    <vt:lpwstr/>
  </property>
  <property fmtid="{D5CDD505-2E9C-101B-9397-08002B2CF9AE}" pid="4" name="Owner">
    <vt:lpwstr/>
  </property>
  <property fmtid="{D5CDD505-2E9C-101B-9397-08002B2CF9AE}" pid="5" name="Status">
    <vt:lpwstr/>
  </property>
</Properties>
</file>