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The example in Exhibit 6 shows a company with an initial higher short-term dividend</w:t>
      </w:r>
      <w:r>
        <w:t xml:space="preserve"> </w:t>
      </w:r>
      <w:r>
        <w:t xml:space="preserve">growth of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for the first three years, followed by lower long-term growth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rPr>
                <m:nor/>
                <m:sty m:val="p"/>
              </m:rPr>
              <m:t>, where 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indefinitely thereafter. If we generalize the initial growth phase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</w:t>
      </w:r>
      <w:r>
        <w:t xml:space="preserve"> </w:t>
      </w:r>
      <w:r>
        <w:t xml:space="preserve">followed by indefinite slower growth at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 we obtain a modified version of Equation</w:t>
      </w:r>
      <w:r>
        <w:t xml:space="preserve"> </w:t>
      </w:r>
      <w:r>
        <w:t xml:space="preserve">14 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w:r>
        <w:t xml:space="preserve">Note that the second expression in Equation 15 involves constant growth starting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periods, for which we can substitute the geometric series simplification: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where the stock value of the stock in n periods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is referred to as the terminal</w:t>
      </w:r>
      <w:r>
        <w:t xml:space="preserve"> </w:t>
      </w:r>
      <w:r>
        <w:t xml:space="preserve">value) and is equal to the following: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(17)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2025-12-18T00:12:20Z</dcterms:created>
  <dcterms:modified xsi:type="dcterms:W3CDTF">2025-12-18T00:12:20Z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