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Testing Sample</w:t>
      </w:r>
    </w:p>
    <w:p>
      <w:pPr>
        <w:pStyle w:val="FirstParagraph"/>
      </w:pPr>
      <w:r>
        <w:t xml:space="preserve">Future value (</w:t>
      </w:r>
      <m:oMath>
        <m:r>
          <m:t>F</m:t>
        </m:r>
        <m:r>
          <m:t>V</m:t>
        </m:r>
      </m:oMath>
      <w:r>
        <w:t xml:space="preserve">) of a cash flow,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stated discount rate per period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number of compounding periods, 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the number of compounding periods t is very large, that is,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we compound</w:t>
      </w:r>
      <w:r>
        <w:t xml:space="preserve"> </w:t>
      </w:r>
      <w:r>
        <w:t xml:space="preserve">the initial cash flow on a continuous basis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r>
                <m:t>e</m:t>
              </m:r>
            </m:e>
            <m:sup>
              <m:r>
                <m:t>r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dividend cash flows continue to grow 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indefinitely, then we may rewrite Equation 10</w:t>
      </w:r>
      <w:r>
        <w:t xml:space="preserve"> </w:t>
      </w:r>
      <w:r>
        <w:t xml:space="preserve">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g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(13)</w:t>
      </w:r>
    </w:p>
    <w:p>
      <w:pPr>
        <w:pStyle w:val="BodyText"/>
      </w:pPr>
      <w:r>
        <w:t xml:space="preserve">The example in Exhibit 6 shows a company with an initial higher short-term dividend</w:t>
      </w:r>
      <w:r>
        <w:t xml:space="preserve"> </w:t>
      </w:r>
      <w:r>
        <w:t xml:space="preserve">growth of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for the first three years, followed by lower long-term growth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  <m:r>
              <m:rPr>
                <m:nor/>
                <m:sty m:val="p"/>
              </m:rPr>
              <m:t>, where </m:t>
            </m:r>
            <m:sSub>
              <m:e>
                <m:r>
                  <m:t>g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e>
        </m:d>
      </m:oMath>
      <w:r>
        <w:t xml:space="preserve"> </w:t>
      </w:r>
      <w:r>
        <w:t xml:space="preserve">indefinitely thereafter. If we generalize the initial growth phase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</w:t>
      </w:r>
      <w:r>
        <w:t xml:space="preserve"> </w:t>
      </w:r>
      <w:r>
        <w:t xml:space="preserve">followed by indefinite slower growth at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 we obtain a modified version of Equation</w:t>
      </w:r>
      <w:r>
        <w:t xml:space="preserve"> </w:t>
      </w:r>
      <w:r>
        <w:t xml:space="preserve">14 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(15)</w:t>
      </w:r>
    </w:p>
    <w:p>
      <w:pPr>
        <w:pStyle w:val="BodyText"/>
      </w:pPr>
      <w:r>
        <w:t xml:space="preserve">Note that the second expression in Equation 15 involves constant growth starting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periods, for which we can substitute the geometric series simplification: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r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(16)</w:t>
      </w:r>
    </w:p>
    <w:p>
      <w:pPr>
        <w:pStyle w:val="BodyText"/>
      </w:pPr>
      <w:r>
        <w:t xml:space="preserve">where the stock value of the stock in n periods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is referred to as the terminal</w:t>
      </w:r>
      <w:r>
        <w:t xml:space="preserve"> </w:t>
      </w:r>
      <w:r>
        <w:t xml:space="preserve">value) and is equal to the following: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r>
                <m:t>r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(17)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Sample</dc:title>
  <dc:creator/>
  <cp:keywords/>
  <dcterms:created xsi:type="dcterms:W3CDTF">2025-12-18T02:53:23Z</dcterms:created>
  <dcterms:modified xsi:type="dcterms:W3CDTF">2025-12-18T02:53:23Z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>html</vt:lpwstr>
  </property>
</Properties>
</file>