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Under the cash flow additivity principle, a risk-neutral investor would be indifferent</w:t>
      </w:r>
      <w:r>
        <w:t xml:space="preserve"> </w:t>
      </w:r>
      <w:r>
        <w:t xml:space="preserve">between strategies 1 and 2 under the following condition: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P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(25)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2025-12-12T19:48:17Z</dcterms:created>
  <dcterms:modified xsi:type="dcterms:W3CDTF">2025-12-12T19:48:17Z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