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3290" w14:textId="77777777" w:rsidR="006840A5" w:rsidRPr="00027225" w:rsidRDefault="00000000">
      <w:pPr>
        <w:spacing w:after="40"/>
        <w:jc w:val="center"/>
        <w:rPr>
          <w:color w:val="000000" w:themeColor="text1"/>
        </w:rPr>
      </w:pPr>
      <w:r w:rsidRPr="00027225">
        <w:rPr>
          <w:b/>
          <w:bCs/>
          <w:color w:val="000000" w:themeColor="text1"/>
          <w:sz w:val="34"/>
          <w:szCs w:val="34"/>
        </w:rPr>
        <w:t>Sales Forecasting &amp; Demand Intelligence System</w:t>
      </w:r>
    </w:p>
    <w:p w14:paraId="4C0291C8" w14:textId="77777777" w:rsidR="006840A5" w:rsidRPr="00027225" w:rsidRDefault="00000000">
      <w:pPr>
        <w:spacing w:after="20"/>
        <w:jc w:val="center"/>
        <w:rPr>
          <w:color w:val="000000" w:themeColor="text1"/>
        </w:rPr>
      </w:pPr>
      <w:r w:rsidRPr="00027225">
        <w:rPr>
          <w:b/>
          <w:bCs/>
          <w:color w:val="000000" w:themeColor="text1"/>
          <w:sz w:val="24"/>
          <w:szCs w:val="24"/>
        </w:rPr>
        <w:t>Executive Business Report</w:t>
      </w:r>
    </w:p>
    <w:p w14:paraId="199F8CD6" w14:textId="6510F6D0" w:rsidR="006840A5" w:rsidRPr="00027225" w:rsidRDefault="006840A5">
      <w:pPr>
        <w:spacing w:after="260"/>
        <w:jc w:val="center"/>
        <w:rPr>
          <w:color w:val="000000" w:themeColor="text1"/>
        </w:rPr>
      </w:pPr>
    </w:p>
    <w:p w14:paraId="18EAA5CB" w14:textId="77777777" w:rsidR="006840A5" w:rsidRPr="00027225" w:rsidRDefault="00000000">
      <w:pPr>
        <w:spacing w:after="140" w:line="276" w:lineRule="auto"/>
        <w:rPr>
          <w:color w:val="000000" w:themeColor="text1"/>
        </w:rPr>
      </w:pPr>
      <w:r w:rsidRPr="00027225">
        <w:rPr>
          <w:color w:val="000000" w:themeColor="text1"/>
          <w:sz w:val="22"/>
          <w:szCs w:val="22"/>
        </w:rPr>
        <w:t>This report summarizes the findings of an internal analytics project that examined four years of retail sales data to understand demand patterns, forecast future sales, flag unusual sales behavior, and group products by how predictable their demand is. The goal is to help supply chain and inventory decisions be based on data rather than guesswork.</w:t>
      </w:r>
    </w:p>
    <w:p w14:paraId="7CE70B20"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Key Findings from Historical Data</w:t>
      </w:r>
    </w:p>
    <w:p w14:paraId="46A2B52C"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Technology is the top revenue-generating category, followed by Furniture, with Office Supplies contributing the least.</w:t>
      </w:r>
    </w:p>
    <w:p w14:paraId="6B0D3E36"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The West region generates the highest total sales, followed by East; the South region trails all others.</w:t>
      </w:r>
    </w:p>
    <w:p w14:paraId="761886AA"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East has the most consistent year-over-year growth, while West grows faster on average but with much larger swings — meaning West's growth is real but harder to plan around precisely.</w:t>
      </w:r>
    </w:p>
    <w:p w14:paraId="25F31B13"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Sales are strongly seasonal: November and December consistently spike every year, driven by holiday shopping demand.</w:t>
      </w:r>
    </w:p>
    <w:p w14:paraId="7A62705B"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Shipping times are fairly uniform across regions (roughly 3.9 to 4.1 days on average), so delivery speed is not currently a regional pain point.</w:t>
      </w:r>
    </w:p>
    <w:p w14:paraId="2D7D45B3"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3-Month Sales Forecast</w:t>
      </w:r>
    </w:p>
    <w:p w14:paraId="39E7BA92" w14:textId="77777777" w:rsidR="006840A5" w:rsidRPr="00027225" w:rsidRDefault="00000000">
      <w:pPr>
        <w:spacing w:after="140" w:line="276" w:lineRule="auto"/>
        <w:rPr>
          <w:color w:val="000000" w:themeColor="text1"/>
        </w:rPr>
      </w:pPr>
      <w:r w:rsidRPr="00027225">
        <w:rPr>
          <w:color w:val="000000" w:themeColor="text1"/>
          <w:sz w:val="22"/>
          <w:szCs w:val="22"/>
        </w:rPr>
        <w:t xml:space="preserve">Three forecasting approaches were built and tested — SARIMA (a statistical model), Prophet (an industry-standard forecasting tool), and </w:t>
      </w:r>
      <w:proofErr w:type="spellStart"/>
      <w:r w:rsidRPr="00027225">
        <w:rPr>
          <w:color w:val="000000" w:themeColor="text1"/>
          <w:sz w:val="22"/>
          <w:szCs w:val="22"/>
        </w:rPr>
        <w:t>XGBoost</w:t>
      </w:r>
      <w:proofErr w:type="spellEnd"/>
      <w:r w:rsidRPr="00027225">
        <w:rPr>
          <w:color w:val="000000" w:themeColor="text1"/>
          <w:sz w:val="22"/>
          <w:szCs w:val="22"/>
        </w:rPr>
        <w:t xml:space="preserve"> (a machine-learning model). Each was scored on how closely its predictions matched actual historical sales that were deliberately held back for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5"/>
        <w:gridCol w:w="1842"/>
        <w:gridCol w:w="1841"/>
        <w:gridCol w:w="1841"/>
        <w:gridCol w:w="1841"/>
      </w:tblGrid>
      <w:tr w:rsidR="006840A5" w:rsidRPr="00027225" w14:paraId="027DEC48" w14:textId="77777777" w:rsidTr="00027225">
        <w:tblPrEx>
          <w:tblCellMar>
            <w:top w:w="0" w:type="dxa"/>
            <w:bottom w:w="0" w:type="dxa"/>
          </w:tblCellMar>
        </w:tblPrEx>
        <w:tc>
          <w:tcPr>
            <w:tcW w:w="1400" w:type="pct"/>
            <w:shd w:val="clear" w:color="auto" w:fill="E7E6E6" w:themeFill="background2"/>
            <w:tcMar>
              <w:top w:w="100" w:type="dxa"/>
              <w:left w:w="100" w:type="dxa"/>
              <w:bottom w:w="100" w:type="dxa"/>
              <w:right w:w="100" w:type="dxa"/>
            </w:tcMar>
          </w:tcPr>
          <w:p w14:paraId="09ED4504" w14:textId="77777777" w:rsidR="006840A5" w:rsidRPr="00027225" w:rsidRDefault="00000000">
            <w:pPr>
              <w:jc w:val="center"/>
              <w:rPr>
                <w:color w:val="000000" w:themeColor="text1"/>
              </w:rPr>
            </w:pPr>
            <w:r w:rsidRPr="00027225">
              <w:rPr>
                <w:b/>
                <w:bCs/>
                <w:color w:val="000000" w:themeColor="text1"/>
              </w:rPr>
              <w:t>Model</w:t>
            </w:r>
          </w:p>
        </w:tc>
        <w:tc>
          <w:tcPr>
            <w:tcW w:w="900" w:type="pct"/>
            <w:shd w:val="clear" w:color="auto" w:fill="E7E6E6" w:themeFill="background2"/>
            <w:tcMar>
              <w:top w:w="100" w:type="dxa"/>
              <w:left w:w="100" w:type="dxa"/>
              <w:bottom w:w="100" w:type="dxa"/>
              <w:right w:w="100" w:type="dxa"/>
            </w:tcMar>
          </w:tcPr>
          <w:p w14:paraId="6E7D52FD" w14:textId="77777777" w:rsidR="006840A5" w:rsidRPr="00027225" w:rsidRDefault="00000000">
            <w:pPr>
              <w:jc w:val="center"/>
              <w:rPr>
                <w:color w:val="000000" w:themeColor="text1"/>
              </w:rPr>
            </w:pPr>
            <w:r w:rsidRPr="00027225">
              <w:rPr>
                <w:b/>
                <w:bCs/>
                <w:color w:val="000000" w:themeColor="text1"/>
              </w:rPr>
              <w:t>MAE</w:t>
            </w:r>
          </w:p>
        </w:tc>
        <w:tc>
          <w:tcPr>
            <w:tcW w:w="900" w:type="pct"/>
            <w:shd w:val="clear" w:color="auto" w:fill="E7E6E6" w:themeFill="background2"/>
            <w:tcMar>
              <w:top w:w="100" w:type="dxa"/>
              <w:left w:w="100" w:type="dxa"/>
              <w:bottom w:w="100" w:type="dxa"/>
              <w:right w:w="100" w:type="dxa"/>
            </w:tcMar>
          </w:tcPr>
          <w:p w14:paraId="58E59803" w14:textId="77777777" w:rsidR="006840A5" w:rsidRPr="00027225" w:rsidRDefault="00000000">
            <w:pPr>
              <w:jc w:val="center"/>
              <w:rPr>
                <w:color w:val="000000" w:themeColor="text1"/>
              </w:rPr>
            </w:pPr>
            <w:r w:rsidRPr="00027225">
              <w:rPr>
                <w:b/>
                <w:bCs/>
                <w:color w:val="000000" w:themeColor="text1"/>
              </w:rPr>
              <w:t>RMSE</w:t>
            </w:r>
          </w:p>
        </w:tc>
        <w:tc>
          <w:tcPr>
            <w:tcW w:w="900" w:type="pct"/>
            <w:shd w:val="clear" w:color="auto" w:fill="E7E6E6" w:themeFill="background2"/>
            <w:tcMar>
              <w:top w:w="100" w:type="dxa"/>
              <w:left w:w="100" w:type="dxa"/>
              <w:bottom w:w="100" w:type="dxa"/>
              <w:right w:w="100" w:type="dxa"/>
            </w:tcMar>
          </w:tcPr>
          <w:p w14:paraId="7B059EB3" w14:textId="77777777" w:rsidR="006840A5" w:rsidRPr="00027225" w:rsidRDefault="00000000">
            <w:pPr>
              <w:jc w:val="center"/>
              <w:rPr>
                <w:color w:val="000000" w:themeColor="text1"/>
              </w:rPr>
            </w:pPr>
            <w:r w:rsidRPr="00027225">
              <w:rPr>
                <w:b/>
                <w:bCs/>
                <w:color w:val="000000" w:themeColor="text1"/>
              </w:rPr>
              <w:t>MAPE</w:t>
            </w:r>
          </w:p>
        </w:tc>
        <w:tc>
          <w:tcPr>
            <w:tcW w:w="900" w:type="pct"/>
            <w:shd w:val="clear" w:color="auto" w:fill="E7E6E6" w:themeFill="background2"/>
            <w:tcMar>
              <w:top w:w="100" w:type="dxa"/>
              <w:left w:w="100" w:type="dxa"/>
              <w:bottom w:w="100" w:type="dxa"/>
              <w:right w:w="100" w:type="dxa"/>
            </w:tcMar>
          </w:tcPr>
          <w:p w14:paraId="21A643A6" w14:textId="77777777" w:rsidR="006840A5" w:rsidRPr="00027225" w:rsidRDefault="00000000">
            <w:pPr>
              <w:jc w:val="center"/>
              <w:rPr>
                <w:color w:val="000000" w:themeColor="text1"/>
              </w:rPr>
            </w:pPr>
            <w:r w:rsidRPr="00027225">
              <w:rPr>
                <w:b/>
                <w:bCs/>
                <w:color w:val="000000" w:themeColor="text1"/>
              </w:rPr>
              <w:t>Recommended</w:t>
            </w:r>
          </w:p>
        </w:tc>
      </w:tr>
      <w:tr w:rsidR="006840A5" w:rsidRPr="00027225" w14:paraId="13331102" w14:textId="77777777">
        <w:tblPrEx>
          <w:tblCellMar>
            <w:top w:w="0" w:type="dxa"/>
            <w:bottom w:w="0" w:type="dxa"/>
          </w:tblCellMar>
        </w:tblPrEx>
        <w:tc>
          <w:tcPr>
            <w:tcW w:w="1400" w:type="pct"/>
            <w:shd w:val="clear" w:color="auto" w:fill="EDF2F8"/>
            <w:tcMar>
              <w:top w:w="100" w:type="dxa"/>
              <w:left w:w="100" w:type="dxa"/>
              <w:bottom w:w="100" w:type="dxa"/>
              <w:right w:w="100" w:type="dxa"/>
            </w:tcMar>
          </w:tcPr>
          <w:p w14:paraId="33DE49BE" w14:textId="77777777" w:rsidR="006840A5" w:rsidRPr="00027225" w:rsidRDefault="00000000">
            <w:pPr>
              <w:jc w:val="center"/>
              <w:rPr>
                <w:color w:val="000000" w:themeColor="text1"/>
              </w:rPr>
            </w:pPr>
            <w:r w:rsidRPr="00027225">
              <w:rPr>
                <w:b/>
                <w:bCs/>
                <w:color w:val="000000" w:themeColor="text1"/>
              </w:rPr>
              <w:t>SARIMA</w:t>
            </w:r>
          </w:p>
        </w:tc>
        <w:tc>
          <w:tcPr>
            <w:tcW w:w="900" w:type="pct"/>
            <w:shd w:val="clear" w:color="auto" w:fill="EDF2F8"/>
            <w:tcMar>
              <w:top w:w="100" w:type="dxa"/>
              <w:left w:w="100" w:type="dxa"/>
              <w:bottom w:w="100" w:type="dxa"/>
              <w:right w:w="100" w:type="dxa"/>
            </w:tcMar>
          </w:tcPr>
          <w:p w14:paraId="71BFD1B8" w14:textId="77777777" w:rsidR="006840A5" w:rsidRPr="00027225" w:rsidRDefault="00000000">
            <w:pPr>
              <w:jc w:val="center"/>
              <w:rPr>
                <w:color w:val="000000" w:themeColor="text1"/>
              </w:rPr>
            </w:pPr>
            <w:r w:rsidRPr="00027225">
              <w:rPr>
                <w:b/>
                <w:bCs/>
                <w:color w:val="000000" w:themeColor="text1"/>
              </w:rPr>
              <w:t>14,860.76</w:t>
            </w:r>
          </w:p>
        </w:tc>
        <w:tc>
          <w:tcPr>
            <w:tcW w:w="900" w:type="pct"/>
            <w:shd w:val="clear" w:color="auto" w:fill="EDF2F8"/>
            <w:tcMar>
              <w:top w:w="100" w:type="dxa"/>
              <w:left w:w="100" w:type="dxa"/>
              <w:bottom w:w="100" w:type="dxa"/>
              <w:right w:w="100" w:type="dxa"/>
            </w:tcMar>
          </w:tcPr>
          <w:p w14:paraId="66DD6C90" w14:textId="77777777" w:rsidR="006840A5" w:rsidRPr="00027225" w:rsidRDefault="00000000">
            <w:pPr>
              <w:jc w:val="center"/>
              <w:rPr>
                <w:color w:val="000000" w:themeColor="text1"/>
              </w:rPr>
            </w:pPr>
            <w:r w:rsidRPr="00027225">
              <w:rPr>
                <w:b/>
                <w:bCs/>
                <w:color w:val="000000" w:themeColor="text1"/>
              </w:rPr>
              <w:t>17,719.90</w:t>
            </w:r>
          </w:p>
        </w:tc>
        <w:tc>
          <w:tcPr>
            <w:tcW w:w="900" w:type="pct"/>
            <w:shd w:val="clear" w:color="auto" w:fill="EDF2F8"/>
            <w:tcMar>
              <w:top w:w="100" w:type="dxa"/>
              <w:left w:w="100" w:type="dxa"/>
              <w:bottom w:w="100" w:type="dxa"/>
              <w:right w:w="100" w:type="dxa"/>
            </w:tcMar>
          </w:tcPr>
          <w:p w14:paraId="579ABFBB" w14:textId="77777777" w:rsidR="006840A5" w:rsidRPr="00027225" w:rsidRDefault="00000000">
            <w:pPr>
              <w:jc w:val="center"/>
              <w:rPr>
                <w:color w:val="000000" w:themeColor="text1"/>
              </w:rPr>
            </w:pPr>
            <w:r w:rsidRPr="00027225">
              <w:rPr>
                <w:b/>
                <w:bCs/>
                <w:color w:val="000000" w:themeColor="text1"/>
              </w:rPr>
              <w:t>26.33%</w:t>
            </w:r>
          </w:p>
        </w:tc>
        <w:tc>
          <w:tcPr>
            <w:tcW w:w="900" w:type="pct"/>
            <w:shd w:val="clear" w:color="auto" w:fill="EDF2F8"/>
            <w:tcMar>
              <w:top w:w="100" w:type="dxa"/>
              <w:left w:w="100" w:type="dxa"/>
              <w:bottom w:w="100" w:type="dxa"/>
              <w:right w:w="100" w:type="dxa"/>
            </w:tcMar>
          </w:tcPr>
          <w:p w14:paraId="66BA4698" w14:textId="77777777" w:rsidR="006840A5" w:rsidRPr="00027225" w:rsidRDefault="00000000">
            <w:pPr>
              <w:jc w:val="center"/>
              <w:rPr>
                <w:color w:val="000000" w:themeColor="text1"/>
              </w:rPr>
            </w:pPr>
            <w:r w:rsidRPr="00027225">
              <w:rPr>
                <w:b/>
                <w:bCs/>
                <w:color w:val="000000" w:themeColor="text1"/>
              </w:rPr>
              <w:t>✔ Selected</w:t>
            </w:r>
          </w:p>
        </w:tc>
      </w:tr>
      <w:tr w:rsidR="006840A5" w:rsidRPr="00027225" w14:paraId="4EF234BA" w14:textId="77777777">
        <w:tblPrEx>
          <w:tblCellMar>
            <w:top w:w="0" w:type="dxa"/>
            <w:bottom w:w="0" w:type="dxa"/>
          </w:tblCellMar>
        </w:tblPrEx>
        <w:tc>
          <w:tcPr>
            <w:tcW w:w="1400" w:type="pct"/>
            <w:shd w:val="clear" w:color="auto" w:fill="FFFFFF"/>
            <w:tcMar>
              <w:top w:w="100" w:type="dxa"/>
              <w:left w:w="100" w:type="dxa"/>
              <w:bottom w:w="100" w:type="dxa"/>
              <w:right w:w="100" w:type="dxa"/>
            </w:tcMar>
          </w:tcPr>
          <w:p w14:paraId="292040C3" w14:textId="77777777" w:rsidR="006840A5" w:rsidRPr="00027225" w:rsidRDefault="00000000">
            <w:pPr>
              <w:jc w:val="center"/>
              <w:rPr>
                <w:color w:val="000000" w:themeColor="text1"/>
              </w:rPr>
            </w:pPr>
            <w:r w:rsidRPr="00027225">
              <w:rPr>
                <w:color w:val="000000" w:themeColor="text1"/>
              </w:rPr>
              <w:t>Prophet</w:t>
            </w:r>
          </w:p>
        </w:tc>
        <w:tc>
          <w:tcPr>
            <w:tcW w:w="900" w:type="pct"/>
            <w:shd w:val="clear" w:color="auto" w:fill="FFFFFF"/>
            <w:tcMar>
              <w:top w:w="100" w:type="dxa"/>
              <w:left w:w="100" w:type="dxa"/>
              <w:bottom w:w="100" w:type="dxa"/>
              <w:right w:w="100" w:type="dxa"/>
            </w:tcMar>
          </w:tcPr>
          <w:p w14:paraId="556133CF" w14:textId="77777777" w:rsidR="006840A5" w:rsidRPr="00027225" w:rsidRDefault="00000000">
            <w:pPr>
              <w:jc w:val="center"/>
              <w:rPr>
                <w:color w:val="000000" w:themeColor="text1"/>
              </w:rPr>
            </w:pPr>
            <w:r w:rsidRPr="00027225">
              <w:rPr>
                <w:color w:val="000000" w:themeColor="text1"/>
              </w:rPr>
              <w:t>17,360.04</w:t>
            </w:r>
          </w:p>
        </w:tc>
        <w:tc>
          <w:tcPr>
            <w:tcW w:w="900" w:type="pct"/>
            <w:shd w:val="clear" w:color="auto" w:fill="FFFFFF"/>
            <w:tcMar>
              <w:top w:w="100" w:type="dxa"/>
              <w:left w:w="100" w:type="dxa"/>
              <w:bottom w:w="100" w:type="dxa"/>
              <w:right w:w="100" w:type="dxa"/>
            </w:tcMar>
          </w:tcPr>
          <w:p w14:paraId="0D0D642B" w14:textId="77777777" w:rsidR="006840A5" w:rsidRPr="00027225" w:rsidRDefault="00000000">
            <w:pPr>
              <w:jc w:val="center"/>
              <w:rPr>
                <w:color w:val="000000" w:themeColor="text1"/>
              </w:rPr>
            </w:pPr>
            <w:r w:rsidRPr="00027225">
              <w:rPr>
                <w:color w:val="000000" w:themeColor="text1"/>
              </w:rPr>
              <w:t>21,571.07</w:t>
            </w:r>
          </w:p>
        </w:tc>
        <w:tc>
          <w:tcPr>
            <w:tcW w:w="900" w:type="pct"/>
            <w:shd w:val="clear" w:color="auto" w:fill="FFFFFF"/>
            <w:tcMar>
              <w:top w:w="100" w:type="dxa"/>
              <w:left w:w="100" w:type="dxa"/>
              <w:bottom w:w="100" w:type="dxa"/>
              <w:right w:w="100" w:type="dxa"/>
            </w:tcMar>
          </w:tcPr>
          <w:p w14:paraId="55C88289" w14:textId="77777777" w:rsidR="006840A5" w:rsidRPr="00027225" w:rsidRDefault="00000000">
            <w:pPr>
              <w:jc w:val="center"/>
              <w:rPr>
                <w:color w:val="000000" w:themeColor="text1"/>
              </w:rPr>
            </w:pPr>
            <w:r w:rsidRPr="00027225">
              <w:rPr>
                <w:color w:val="000000" w:themeColor="text1"/>
              </w:rPr>
              <w:t>28.91%</w:t>
            </w:r>
          </w:p>
        </w:tc>
        <w:tc>
          <w:tcPr>
            <w:tcW w:w="900" w:type="pct"/>
            <w:shd w:val="clear" w:color="auto" w:fill="FFFFFF"/>
            <w:tcMar>
              <w:top w:w="100" w:type="dxa"/>
              <w:left w:w="100" w:type="dxa"/>
              <w:bottom w:w="100" w:type="dxa"/>
              <w:right w:w="100" w:type="dxa"/>
            </w:tcMar>
          </w:tcPr>
          <w:p w14:paraId="0844B576" w14:textId="77777777" w:rsidR="006840A5" w:rsidRPr="00027225" w:rsidRDefault="006840A5">
            <w:pPr>
              <w:jc w:val="center"/>
              <w:rPr>
                <w:color w:val="000000" w:themeColor="text1"/>
              </w:rPr>
            </w:pPr>
          </w:p>
        </w:tc>
      </w:tr>
      <w:tr w:rsidR="006840A5" w:rsidRPr="00027225" w14:paraId="25B61FAD" w14:textId="77777777">
        <w:tblPrEx>
          <w:tblCellMar>
            <w:top w:w="0" w:type="dxa"/>
            <w:bottom w:w="0" w:type="dxa"/>
          </w:tblCellMar>
        </w:tblPrEx>
        <w:tc>
          <w:tcPr>
            <w:tcW w:w="1400" w:type="pct"/>
            <w:shd w:val="clear" w:color="auto" w:fill="FFFFFF"/>
            <w:tcMar>
              <w:top w:w="100" w:type="dxa"/>
              <w:left w:w="100" w:type="dxa"/>
              <w:bottom w:w="100" w:type="dxa"/>
              <w:right w:w="100" w:type="dxa"/>
            </w:tcMar>
          </w:tcPr>
          <w:p w14:paraId="3CDD9AA3" w14:textId="77777777" w:rsidR="006840A5" w:rsidRPr="00027225" w:rsidRDefault="00000000">
            <w:pPr>
              <w:jc w:val="center"/>
              <w:rPr>
                <w:color w:val="000000" w:themeColor="text1"/>
              </w:rPr>
            </w:pPr>
            <w:proofErr w:type="spellStart"/>
            <w:r w:rsidRPr="00027225">
              <w:rPr>
                <w:color w:val="000000" w:themeColor="text1"/>
              </w:rPr>
              <w:t>XGBoost</w:t>
            </w:r>
            <w:proofErr w:type="spellEnd"/>
          </w:p>
        </w:tc>
        <w:tc>
          <w:tcPr>
            <w:tcW w:w="900" w:type="pct"/>
            <w:shd w:val="clear" w:color="auto" w:fill="FFFFFF"/>
            <w:tcMar>
              <w:top w:w="100" w:type="dxa"/>
              <w:left w:w="100" w:type="dxa"/>
              <w:bottom w:w="100" w:type="dxa"/>
              <w:right w:w="100" w:type="dxa"/>
            </w:tcMar>
          </w:tcPr>
          <w:p w14:paraId="1C823B9B" w14:textId="77777777" w:rsidR="006840A5" w:rsidRPr="00027225" w:rsidRDefault="00000000">
            <w:pPr>
              <w:jc w:val="center"/>
              <w:rPr>
                <w:color w:val="000000" w:themeColor="text1"/>
              </w:rPr>
            </w:pPr>
            <w:r w:rsidRPr="00027225">
              <w:rPr>
                <w:color w:val="000000" w:themeColor="text1"/>
              </w:rPr>
              <w:t>23,598.36</w:t>
            </w:r>
          </w:p>
        </w:tc>
        <w:tc>
          <w:tcPr>
            <w:tcW w:w="900" w:type="pct"/>
            <w:shd w:val="clear" w:color="auto" w:fill="FFFFFF"/>
            <w:tcMar>
              <w:top w:w="100" w:type="dxa"/>
              <w:left w:w="100" w:type="dxa"/>
              <w:bottom w:w="100" w:type="dxa"/>
              <w:right w:w="100" w:type="dxa"/>
            </w:tcMar>
          </w:tcPr>
          <w:p w14:paraId="4B355B5C" w14:textId="77777777" w:rsidR="006840A5" w:rsidRPr="00027225" w:rsidRDefault="00000000">
            <w:pPr>
              <w:jc w:val="center"/>
              <w:rPr>
                <w:color w:val="000000" w:themeColor="text1"/>
              </w:rPr>
            </w:pPr>
            <w:r w:rsidRPr="00027225">
              <w:rPr>
                <w:color w:val="000000" w:themeColor="text1"/>
              </w:rPr>
              <w:t>26,657.31</w:t>
            </w:r>
          </w:p>
        </w:tc>
        <w:tc>
          <w:tcPr>
            <w:tcW w:w="900" w:type="pct"/>
            <w:shd w:val="clear" w:color="auto" w:fill="FFFFFF"/>
            <w:tcMar>
              <w:top w:w="100" w:type="dxa"/>
              <w:left w:w="100" w:type="dxa"/>
              <w:bottom w:w="100" w:type="dxa"/>
              <w:right w:w="100" w:type="dxa"/>
            </w:tcMar>
          </w:tcPr>
          <w:p w14:paraId="58FEBF26" w14:textId="77777777" w:rsidR="006840A5" w:rsidRPr="00027225" w:rsidRDefault="00000000">
            <w:pPr>
              <w:jc w:val="center"/>
              <w:rPr>
                <w:color w:val="000000" w:themeColor="text1"/>
              </w:rPr>
            </w:pPr>
            <w:r w:rsidRPr="00027225">
              <w:rPr>
                <w:color w:val="000000" w:themeColor="text1"/>
              </w:rPr>
              <w:t>34.68%</w:t>
            </w:r>
          </w:p>
        </w:tc>
        <w:tc>
          <w:tcPr>
            <w:tcW w:w="900" w:type="pct"/>
            <w:shd w:val="clear" w:color="auto" w:fill="FFFFFF"/>
            <w:tcMar>
              <w:top w:w="100" w:type="dxa"/>
              <w:left w:w="100" w:type="dxa"/>
              <w:bottom w:w="100" w:type="dxa"/>
              <w:right w:w="100" w:type="dxa"/>
            </w:tcMar>
          </w:tcPr>
          <w:p w14:paraId="3FF7EFC5" w14:textId="77777777" w:rsidR="006840A5" w:rsidRPr="00027225" w:rsidRDefault="006840A5">
            <w:pPr>
              <w:jc w:val="center"/>
              <w:rPr>
                <w:color w:val="000000" w:themeColor="text1"/>
              </w:rPr>
            </w:pPr>
          </w:p>
        </w:tc>
      </w:tr>
    </w:tbl>
    <w:p w14:paraId="56E9F1C9" w14:textId="77777777" w:rsidR="006840A5" w:rsidRPr="00027225" w:rsidRDefault="006840A5">
      <w:pPr>
        <w:spacing w:before="160" w:after="140"/>
        <w:rPr>
          <w:color w:val="000000" w:themeColor="text1"/>
        </w:rPr>
      </w:pPr>
    </w:p>
    <w:p w14:paraId="67ED7FDD" w14:textId="77777777" w:rsidR="006840A5" w:rsidRPr="00027225" w:rsidRDefault="00000000">
      <w:pPr>
        <w:spacing w:after="140" w:line="276" w:lineRule="auto"/>
        <w:rPr>
          <w:color w:val="000000" w:themeColor="text1"/>
        </w:rPr>
      </w:pPr>
      <w:r w:rsidRPr="00027225">
        <w:rPr>
          <w:color w:val="000000" w:themeColor="text1"/>
          <w:sz w:val="22"/>
          <w:szCs w:val="22"/>
        </w:rPr>
        <w:t>SARIMA produced the lowest forecasting error across all three metrics and is the recommended model for production use. Applied at the category and region level, the strongest projected near-term growth is in Technology and Office Supplies, while Furniture is expected to remain comparatively flat over the next quarter.</w:t>
      </w:r>
    </w:p>
    <w:p w14:paraId="1D4F24F1"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Top Anomalies Detected</w:t>
      </w:r>
    </w:p>
    <w:p w14:paraId="0048FB5C" w14:textId="77777777" w:rsidR="006840A5" w:rsidRPr="00027225" w:rsidRDefault="00000000">
      <w:pPr>
        <w:spacing w:after="140" w:line="276" w:lineRule="auto"/>
        <w:rPr>
          <w:color w:val="000000" w:themeColor="text1"/>
        </w:rPr>
      </w:pPr>
      <w:r w:rsidRPr="00027225">
        <w:rPr>
          <w:color w:val="000000" w:themeColor="text1"/>
          <w:sz w:val="22"/>
          <w:szCs w:val="22"/>
        </w:rPr>
        <w:t>Two independent anomaly detection methods (Isolation Forest and Z-Score) were applied to weekly sales. Five weeks were flagged by both methods, giving high confidence they represent genuine, unusual sales events rather than statistical noise.</w:t>
      </w:r>
    </w:p>
    <w:p w14:paraId="0ADFA8AE"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Late-2018 spikes (early November and early December) align with expected holiday demand and should be treated as a recurring, planned event each year.</w:t>
      </w:r>
    </w:p>
    <w:p w14:paraId="4156CDCA"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t>A March 2015 spike does not match the usual seasonal pattern and likely reflects a one-off cause — such as a bulk order or short-term promotion — that would benefit from a manual follow-up with the sales team.</w:t>
      </w:r>
    </w:p>
    <w:p w14:paraId="3A21978A" w14:textId="77777777" w:rsidR="006840A5" w:rsidRPr="00027225" w:rsidRDefault="00000000">
      <w:pPr>
        <w:pStyle w:val="ListParagraph"/>
        <w:numPr>
          <w:ilvl w:val="0"/>
          <w:numId w:val="2"/>
        </w:numPr>
        <w:spacing w:after="90"/>
        <w:rPr>
          <w:color w:val="000000" w:themeColor="text1"/>
        </w:rPr>
      </w:pPr>
      <w:r w:rsidRPr="00027225">
        <w:rPr>
          <w:color w:val="000000" w:themeColor="text1"/>
          <w:sz w:val="22"/>
          <w:szCs w:val="22"/>
        </w:rPr>
        <w:lastRenderedPageBreak/>
        <w:t>A supplementary check on an unrelated dataset (industry-wide video game sales) confirmed the same anomaly detection approach reliably identifies genuine turning points, not just artifacts of the Superstore data specifically.</w:t>
      </w:r>
    </w:p>
    <w:p w14:paraId="35BF5988"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Product Demand Segmentation</w:t>
      </w:r>
    </w:p>
    <w:p w14:paraId="08DA8C6D" w14:textId="77777777" w:rsidR="006840A5" w:rsidRPr="00027225" w:rsidRDefault="00000000">
      <w:pPr>
        <w:spacing w:after="140" w:line="276" w:lineRule="auto"/>
        <w:rPr>
          <w:color w:val="000000" w:themeColor="text1"/>
        </w:rPr>
      </w:pPr>
      <w:r w:rsidRPr="00027225">
        <w:rPr>
          <w:color w:val="000000" w:themeColor="text1"/>
          <w:sz w:val="22"/>
          <w:szCs w:val="22"/>
        </w:rPr>
        <w:t>Products were grouped into four demand behavior clusters using sales volume, growth, volatility, and average order value, to guide stocking strategy:</w:t>
      </w:r>
    </w:p>
    <w:p w14:paraId="4349F928" w14:textId="77777777" w:rsidR="006840A5" w:rsidRPr="00027225" w:rsidRDefault="00000000">
      <w:pPr>
        <w:pStyle w:val="ListParagraph"/>
        <w:numPr>
          <w:ilvl w:val="0"/>
          <w:numId w:val="2"/>
        </w:numPr>
        <w:spacing w:after="90"/>
        <w:rPr>
          <w:color w:val="000000" w:themeColor="text1"/>
        </w:rPr>
      </w:pPr>
      <w:r w:rsidRPr="00027225">
        <w:rPr>
          <w:b/>
          <w:bCs/>
          <w:color w:val="000000" w:themeColor="text1"/>
          <w:sz w:val="22"/>
          <w:szCs w:val="22"/>
        </w:rPr>
        <w:t>High Volume, Stable Demand (Accessories, Binders, Chairs, Phones, Storage, Tables): safe to stock on standard replenishment cycles.</w:t>
      </w:r>
    </w:p>
    <w:p w14:paraId="07E838EB" w14:textId="77777777" w:rsidR="006840A5" w:rsidRPr="00027225" w:rsidRDefault="00000000">
      <w:pPr>
        <w:pStyle w:val="ListParagraph"/>
        <w:numPr>
          <w:ilvl w:val="0"/>
          <w:numId w:val="2"/>
        </w:numPr>
        <w:spacing w:after="90"/>
        <w:rPr>
          <w:color w:val="000000" w:themeColor="text1"/>
        </w:rPr>
      </w:pPr>
      <w:r w:rsidRPr="00027225">
        <w:rPr>
          <w:b/>
          <w:bCs/>
          <w:color w:val="000000" w:themeColor="text1"/>
          <w:sz w:val="22"/>
          <w:szCs w:val="22"/>
        </w:rPr>
        <w:t>Low Volume, Stable Demand (8 sub-categories incl. Art, Paper, Envelopes): keep lean inventory; stockouts here are low-cost.</w:t>
      </w:r>
    </w:p>
    <w:p w14:paraId="72DC4A7D" w14:textId="77777777" w:rsidR="006840A5" w:rsidRPr="00027225" w:rsidRDefault="00000000">
      <w:pPr>
        <w:pStyle w:val="ListParagraph"/>
        <w:numPr>
          <w:ilvl w:val="0"/>
          <w:numId w:val="2"/>
        </w:numPr>
        <w:spacing w:after="90"/>
        <w:rPr>
          <w:color w:val="000000" w:themeColor="text1"/>
        </w:rPr>
      </w:pPr>
      <w:r w:rsidRPr="00027225">
        <w:rPr>
          <w:b/>
          <w:bCs/>
          <w:color w:val="000000" w:themeColor="text1"/>
          <w:sz w:val="22"/>
          <w:szCs w:val="22"/>
        </w:rPr>
        <w:t>High Value, High Volatility (Copiers, Machines): keep safety stock buffers; large individual orders make demand swing unpredictably.</w:t>
      </w:r>
    </w:p>
    <w:p w14:paraId="08228351" w14:textId="77777777" w:rsidR="006840A5" w:rsidRPr="00027225" w:rsidRDefault="00000000">
      <w:pPr>
        <w:pStyle w:val="ListParagraph"/>
        <w:numPr>
          <w:ilvl w:val="0"/>
          <w:numId w:val="2"/>
        </w:numPr>
        <w:spacing w:after="90"/>
        <w:rPr>
          <w:color w:val="000000" w:themeColor="text1"/>
        </w:rPr>
      </w:pPr>
      <w:r w:rsidRPr="00027225">
        <w:rPr>
          <w:b/>
          <w:bCs/>
          <w:color w:val="000000" w:themeColor="text1"/>
          <w:sz w:val="22"/>
          <w:szCs w:val="22"/>
        </w:rPr>
        <w:t>Emerging/Growing Niche (Supplies): monitor before committing significant inventory — its high growth rate is partly a small-base effect.</w:t>
      </w:r>
    </w:p>
    <w:p w14:paraId="2F146F1A"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Business Recommendations</w:t>
      </w:r>
    </w:p>
    <w:p w14:paraId="3DF70685" w14:textId="77777777" w:rsidR="006840A5" w:rsidRPr="00027225" w:rsidRDefault="00000000">
      <w:pPr>
        <w:pStyle w:val="ListParagraph"/>
        <w:numPr>
          <w:ilvl w:val="0"/>
          <w:numId w:val="3"/>
        </w:numPr>
        <w:spacing w:after="100"/>
        <w:rPr>
          <w:color w:val="000000" w:themeColor="text1"/>
        </w:rPr>
      </w:pPr>
      <w:r w:rsidRPr="00027225">
        <w:rPr>
          <w:color w:val="000000" w:themeColor="text1"/>
          <w:sz w:val="22"/>
          <w:szCs w:val="22"/>
        </w:rPr>
        <w:t>Prioritize Technology and West-region inventory planning around the SARIMA forecast, and build in extra safety stock for the Nov–Dec holiday surge every year.</w:t>
      </w:r>
    </w:p>
    <w:p w14:paraId="48C2007F" w14:textId="77777777" w:rsidR="006840A5" w:rsidRPr="00027225" w:rsidRDefault="00000000">
      <w:pPr>
        <w:pStyle w:val="ListParagraph"/>
        <w:numPr>
          <w:ilvl w:val="0"/>
          <w:numId w:val="3"/>
        </w:numPr>
        <w:spacing w:after="100"/>
        <w:rPr>
          <w:color w:val="000000" w:themeColor="text1"/>
        </w:rPr>
      </w:pPr>
      <w:r w:rsidRPr="00027225">
        <w:rPr>
          <w:color w:val="000000" w:themeColor="text1"/>
          <w:sz w:val="22"/>
          <w:szCs w:val="22"/>
        </w:rPr>
        <w:t>Apply a demand-triggered (rather than fixed-cycle) reorder strategy for Copiers and Machines, since their high order value combined with high volatility makes fixed forecasts unreliable for this group.</w:t>
      </w:r>
    </w:p>
    <w:p w14:paraId="5599DC5B" w14:textId="77777777" w:rsidR="006840A5" w:rsidRPr="00027225" w:rsidRDefault="00000000">
      <w:pPr>
        <w:pStyle w:val="ListParagraph"/>
        <w:numPr>
          <w:ilvl w:val="0"/>
          <w:numId w:val="3"/>
        </w:numPr>
        <w:spacing w:after="100"/>
        <w:rPr>
          <w:color w:val="000000" w:themeColor="text1"/>
        </w:rPr>
      </w:pPr>
      <w:r w:rsidRPr="00027225">
        <w:rPr>
          <w:color w:val="000000" w:themeColor="text1"/>
          <w:sz w:val="22"/>
          <w:szCs w:val="22"/>
        </w:rPr>
        <w:t>Investigate the March 2015 sales spike directly with the sales team to determine its cause; if it was a repeatable promotional tactic, consider running it deliberately in future off-peak periods.</w:t>
      </w:r>
    </w:p>
    <w:p w14:paraId="0AA76F32" w14:textId="77777777" w:rsidR="006840A5" w:rsidRPr="00027225" w:rsidRDefault="00000000">
      <w:pPr>
        <w:pStyle w:val="Heading1"/>
        <w:pBdr>
          <w:bottom w:val="single" w:sz="6" w:space="4" w:color="1F3864"/>
        </w:pBdr>
        <w:spacing w:before="300" w:after="150"/>
        <w:rPr>
          <w:color w:val="000000" w:themeColor="text1"/>
        </w:rPr>
      </w:pPr>
      <w:r w:rsidRPr="00027225">
        <w:rPr>
          <w:b/>
          <w:bCs/>
          <w:color w:val="000000" w:themeColor="text1"/>
          <w:sz w:val="26"/>
          <w:szCs w:val="26"/>
        </w:rPr>
        <w:t>Risk &amp; Limitation</w:t>
      </w:r>
    </w:p>
    <w:p w14:paraId="5461865D" w14:textId="77777777" w:rsidR="006840A5" w:rsidRPr="00027225" w:rsidRDefault="00000000">
      <w:pPr>
        <w:spacing w:after="140" w:line="276" w:lineRule="auto"/>
        <w:rPr>
          <w:color w:val="000000" w:themeColor="text1"/>
        </w:rPr>
      </w:pPr>
      <w:r w:rsidRPr="00027225">
        <w:rPr>
          <w:color w:val="000000" w:themeColor="text1"/>
          <w:sz w:val="22"/>
          <w:szCs w:val="22"/>
        </w:rPr>
        <w:t>Forecasts built separately for smaller regional segments (e.g. individual regions) are less stable than the overall company-wide forecast — in one case, the model even predicted an unrealistic negative sales figure for a low-volume period. Segment-level forecasts should be treated as directional guidance rather than precise targets, particularly for smaller or more volatile product and region combinations, until more historical data is available.</w:t>
      </w:r>
    </w:p>
    <w:sectPr w:rsidR="006840A5" w:rsidRPr="00027225">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6133"/>
    <w:multiLevelType w:val="hybridMultilevel"/>
    <w:tmpl w:val="5E5693E4"/>
    <w:lvl w:ilvl="0" w:tplc="2EE2FFF0">
      <w:start w:val="1"/>
      <w:numFmt w:val="bullet"/>
      <w:lvlText w:val="●"/>
      <w:lvlJc w:val="left"/>
      <w:pPr>
        <w:ind w:left="720" w:hanging="360"/>
      </w:pPr>
    </w:lvl>
    <w:lvl w:ilvl="1" w:tplc="426C8794">
      <w:start w:val="1"/>
      <w:numFmt w:val="bullet"/>
      <w:lvlText w:val="○"/>
      <w:lvlJc w:val="left"/>
      <w:pPr>
        <w:ind w:left="1440" w:hanging="360"/>
      </w:pPr>
    </w:lvl>
    <w:lvl w:ilvl="2" w:tplc="A022DA0E">
      <w:start w:val="1"/>
      <w:numFmt w:val="bullet"/>
      <w:lvlText w:val="■"/>
      <w:lvlJc w:val="left"/>
      <w:pPr>
        <w:ind w:left="2160" w:hanging="360"/>
      </w:pPr>
    </w:lvl>
    <w:lvl w:ilvl="3" w:tplc="DC8803F8">
      <w:start w:val="1"/>
      <w:numFmt w:val="bullet"/>
      <w:lvlText w:val="●"/>
      <w:lvlJc w:val="left"/>
      <w:pPr>
        <w:ind w:left="2880" w:hanging="360"/>
      </w:pPr>
    </w:lvl>
    <w:lvl w:ilvl="4" w:tplc="8B34AFB6">
      <w:start w:val="1"/>
      <w:numFmt w:val="bullet"/>
      <w:lvlText w:val="○"/>
      <w:lvlJc w:val="left"/>
      <w:pPr>
        <w:ind w:left="3600" w:hanging="360"/>
      </w:pPr>
    </w:lvl>
    <w:lvl w:ilvl="5" w:tplc="49EEBC0E">
      <w:start w:val="1"/>
      <w:numFmt w:val="bullet"/>
      <w:lvlText w:val="■"/>
      <w:lvlJc w:val="left"/>
      <w:pPr>
        <w:ind w:left="4320" w:hanging="360"/>
      </w:pPr>
    </w:lvl>
    <w:lvl w:ilvl="6" w:tplc="1CA2B8D0">
      <w:start w:val="1"/>
      <w:numFmt w:val="bullet"/>
      <w:lvlText w:val="●"/>
      <w:lvlJc w:val="left"/>
      <w:pPr>
        <w:ind w:left="5040" w:hanging="360"/>
      </w:pPr>
    </w:lvl>
    <w:lvl w:ilvl="7" w:tplc="7BFE49C8">
      <w:start w:val="1"/>
      <w:numFmt w:val="bullet"/>
      <w:lvlText w:val="●"/>
      <w:lvlJc w:val="left"/>
      <w:pPr>
        <w:ind w:left="5760" w:hanging="360"/>
      </w:pPr>
    </w:lvl>
    <w:lvl w:ilvl="8" w:tplc="D194DA12">
      <w:start w:val="1"/>
      <w:numFmt w:val="bullet"/>
      <w:lvlText w:val="●"/>
      <w:lvlJc w:val="left"/>
      <w:pPr>
        <w:ind w:left="6480" w:hanging="360"/>
      </w:pPr>
    </w:lvl>
  </w:abstractNum>
  <w:abstractNum w:abstractNumId="1" w15:restartNumberingAfterBreak="0">
    <w:nsid w:val="1FD5604B"/>
    <w:multiLevelType w:val="hybridMultilevel"/>
    <w:tmpl w:val="E0640CF8"/>
    <w:lvl w:ilvl="0" w:tplc="CE78781E">
      <w:start w:val="1"/>
      <w:numFmt w:val="bullet"/>
      <w:lvlText w:val="•"/>
      <w:lvlJc w:val="left"/>
      <w:pPr>
        <w:ind w:left="360" w:hanging="260"/>
      </w:pPr>
    </w:lvl>
    <w:lvl w:ilvl="1" w:tplc="983CDCE0">
      <w:numFmt w:val="decimal"/>
      <w:lvlText w:val=""/>
      <w:lvlJc w:val="left"/>
    </w:lvl>
    <w:lvl w:ilvl="2" w:tplc="25826008">
      <w:numFmt w:val="decimal"/>
      <w:lvlText w:val=""/>
      <w:lvlJc w:val="left"/>
    </w:lvl>
    <w:lvl w:ilvl="3" w:tplc="9D32FB3E">
      <w:numFmt w:val="decimal"/>
      <w:lvlText w:val=""/>
      <w:lvlJc w:val="left"/>
    </w:lvl>
    <w:lvl w:ilvl="4" w:tplc="2416B67A">
      <w:numFmt w:val="decimal"/>
      <w:lvlText w:val=""/>
      <w:lvlJc w:val="left"/>
    </w:lvl>
    <w:lvl w:ilvl="5" w:tplc="DD68804E">
      <w:numFmt w:val="decimal"/>
      <w:lvlText w:val=""/>
      <w:lvlJc w:val="left"/>
    </w:lvl>
    <w:lvl w:ilvl="6" w:tplc="D8EA007E">
      <w:numFmt w:val="decimal"/>
      <w:lvlText w:val=""/>
      <w:lvlJc w:val="left"/>
    </w:lvl>
    <w:lvl w:ilvl="7" w:tplc="5B96EE5E">
      <w:numFmt w:val="decimal"/>
      <w:lvlText w:val=""/>
      <w:lvlJc w:val="left"/>
    </w:lvl>
    <w:lvl w:ilvl="8" w:tplc="50E02828">
      <w:numFmt w:val="decimal"/>
      <w:lvlText w:val=""/>
      <w:lvlJc w:val="left"/>
    </w:lvl>
  </w:abstractNum>
  <w:abstractNum w:abstractNumId="2" w15:restartNumberingAfterBreak="0">
    <w:nsid w:val="44E701CC"/>
    <w:multiLevelType w:val="hybridMultilevel"/>
    <w:tmpl w:val="61046348"/>
    <w:lvl w:ilvl="0" w:tplc="19147D9A">
      <w:start w:val="1"/>
      <w:numFmt w:val="decimal"/>
      <w:lvlText w:val="%1."/>
      <w:lvlJc w:val="left"/>
      <w:pPr>
        <w:ind w:left="360" w:hanging="260"/>
      </w:pPr>
    </w:lvl>
    <w:lvl w:ilvl="1" w:tplc="F648EFDC">
      <w:numFmt w:val="decimal"/>
      <w:lvlText w:val=""/>
      <w:lvlJc w:val="left"/>
    </w:lvl>
    <w:lvl w:ilvl="2" w:tplc="6E16E446">
      <w:numFmt w:val="decimal"/>
      <w:lvlText w:val=""/>
      <w:lvlJc w:val="left"/>
    </w:lvl>
    <w:lvl w:ilvl="3" w:tplc="1076E8C6">
      <w:numFmt w:val="decimal"/>
      <w:lvlText w:val=""/>
      <w:lvlJc w:val="left"/>
    </w:lvl>
    <w:lvl w:ilvl="4" w:tplc="A12CB33E">
      <w:numFmt w:val="decimal"/>
      <w:lvlText w:val=""/>
      <w:lvlJc w:val="left"/>
    </w:lvl>
    <w:lvl w:ilvl="5" w:tplc="D1CAB344">
      <w:numFmt w:val="decimal"/>
      <w:lvlText w:val=""/>
      <w:lvlJc w:val="left"/>
    </w:lvl>
    <w:lvl w:ilvl="6" w:tplc="EED61C70">
      <w:numFmt w:val="decimal"/>
      <w:lvlText w:val=""/>
      <w:lvlJc w:val="left"/>
    </w:lvl>
    <w:lvl w:ilvl="7" w:tplc="436E65B2">
      <w:numFmt w:val="decimal"/>
      <w:lvlText w:val=""/>
      <w:lvlJc w:val="left"/>
    </w:lvl>
    <w:lvl w:ilvl="8" w:tplc="CC845A16">
      <w:numFmt w:val="decimal"/>
      <w:lvlText w:val=""/>
      <w:lvlJc w:val="left"/>
    </w:lvl>
  </w:abstractNum>
  <w:num w:numId="1" w16cid:durableId="927612386">
    <w:abstractNumId w:val="0"/>
    <w:lvlOverride w:ilvl="0">
      <w:startOverride w:val="1"/>
    </w:lvlOverride>
  </w:num>
  <w:num w:numId="2" w16cid:durableId="1474642572">
    <w:abstractNumId w:val="1"/>
    <w:lvlOverride w:ilvl="0">
      <w:startOverride w:val="1"/>
    </w:lvlOverride>
  </w:num>
  <w:num w:numId="3" w16cid:durableId="166655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A5"/>
    <w:rsid w:val="00027225"/>
    <w:rsid w:val="00473785"/>
    <w:rsid w:val="006840A5"/>
    <w:rsid w:val="00F97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EE14"/>
  <w15:docId w15:val="{EB8B075D-AA85-4CB2-AE4A-561D1582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‎Dobhal</cp:lastModifiedBy>
  <cp:revision>2</cp:revision>
  <dcterms:created xsi:type="dcterms:W3CDTF">2026-07-13T15:01:00Z</dcterms:created>
  <dcterms:modified xsi:type="dcterms:W3CDTF">2026-07-13T15:27:00Z</dcterms:modified>
</cp:coreProperties>
</file>