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color w:val="202020"/>
          <w:sz w:val="48"/>
        </w:rPr>
        <w:t>AI 编码协作 12 条执行规则</w:t>
      </w:r>
    </w:p>
    <w:p>
      <w:pPr>
        <w:spacing w:before="0" w:after="280" w:line="300" w:lineRule="auto"/>
      </w:pPr>
      <w:r>
        <w:rPr>
          <w:rFonts w:ascii="Calibri" w:hAnsi="Calibri" w:eastAsia="Microsoft YaHei"/>
          <w:b w:val="0"/>
          <w:color w:val="5C5C5C"/>
          <w:sz w:val="22"/>
        </w:rPr>
        <w:t>根据用户提供截图整理，用于约束 AI 编码助手在需求澄清、代码修改、验证交付中的执行方式。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核心目标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02020"/>
                <w:sz w:val="21"/>
              </w:rPr>
              <w:t>减少“猜需求、过度设计、改 A 坏 B、验证不足”的错误。每次编码任务都要先明确假设，再做最小必要修改，并在每个阶段留下可验证的检查点。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一、适用场景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202020"/>
          <w:sz w:val="21"/>
        </w:rPr>
        <w:t>使用 Claude Code、Codex、Cursor、Copilot Chat 等 AI 编码助手进行需求实现、缺陷修复、重构或测试补齐。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202020"/>
          <w:sz w:val="21"/>
        </w:rPr>
        <w:t>多人协作项目中，需要避免 AI 越界修改、重构他人代码、或在不确定条件下强行推进。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202020"/>
          <w:sz w:val="21"/>
        </w:rPr>
        <w:t>长会话、大任务、多模块改动场景中，需要控制上下文、Token、验证路径和失败记录。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二、12 条规则总览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48"/>
        <w:gridCol w:w="2232"/>
        <w:gridCol w:w="3816"/>
        <w:gridCol w:w="2664"/>
      </w:tblGrid>
      <w:tr>
        <w:trPr>
          <w:tblHeader w:val="true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序号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规则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行动口径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避免事项</w:t>
            </w:r>
          </w:p>
        </w:tc>
      </w:tr>
      <w:tr>
        <w:tc>
          <w:tcPr>
            <w:tcW w:type="dxa" w:w="648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1</w:t>
            </w:r>
          </w:p>
        </w:tc>
        <w:tc>
          <w:tcPr>
            <w:tcW w:type="dxa" w:w="2232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202020"/>
                <w:sz w:val="19"/>
              </w:rPr>
              <w:t>先想再写</w:t>
            </w:r>
          </w:p>
        </w:tc>
        <w:tc>
          <w:tcPr>
            <w:tcW w:type="dxa" w:w="3816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动手前先列出目标、输入、约束、风险和关键假设；不确定就问清楚。</w:t>
            </w:r>
          </w:p>
        </w:tc>
        <w:tc>
          <w:tcPr>
            <w:tcW w:type="dxa" w:w="2664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不要把猜测当事实，不要在需求含糊时直接改代码。</w:t>
            </w:r>
          </w:p>
        </w:tc>
      </w:tr>
      <w:tr>
        <w:tc>
          <w:tcPr>
            <w:tcW w:type="dxa" w:w="648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2</w:t>
            </w:r>
          </w:p>
        </w:tc>
        <w:tc>
          <w:tcPr>
            <w:tcW w:type="dxa" w:w="2232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202020"/>
                <w:sz w:val="19"/>
              </w:rPr>
              <w:t>简单优先</w:t>
            </w:r>
          </w:p>
        </w:tc>
        <w:tc>
          <w:tcPr>
            <w:tcW w:type="dxa" w:w="3816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优先用最少代码解决当前问题，复用项目已有模式、工具和接口。</w:t>
            </w:r>
          </w:p>
        </w:tc>
        <w:tc>
          <w:tcPr>
            <w:tcW w:type="dxa" w:w="2664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不要为了显得完整而做超前抽象、平台化或大而全设计。</w:t>
            </w:r>
          </w:p>
        </w:tc>
      </w:tr>
      <w:tr>
        <w:tc>
          <w:tcPr>
            <w:tcW w:type="dxa" w:w="648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3</w:t>
            </w:r>
          </w:p>
        </w:tc>
        <w:tc>
          <w:tcPr>
            <w:tcW w:type="dxa" w:w="2232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202020"/>
                <w:sz w:val="19"/>
              </w:rPr>
              <w:t>外科手术式修改</w:t>
            </w:r>
          </w:p>
        </w:tc>
        <w:tc>
          <w:tcPr>
            <w:tcW w:type="dxa" w:w="3816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只改与目标直接相关的位置，保留他人代码和无关行为。</w:t>
            </w:r>
          </w:p>
        </w:tc>
        <w:tc>
          <w:tcPr>
            <w:tcW w:type="dxa" w:w="2664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不要顺手重构、格式化大片文件，或把局部修复扩成全局改造。</w:t>
            </w:r>
          </w:p>
        </w:tc>
      </w:tr>
      <w:tr>
        <w:tc>
          <w:tcPr>
            <w:tcW w:type="dxa" w:w="648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4</w:t>
            </w:r>
          </w:p>
        </w:tc>
        <w:tc>
          <w:tcPr>
            <w:tcW w:type="dxa" w:w="2232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202020"/>
                <w:sz w:val="19"/>
              </w:rPr>
              <w:t>目标驱动执行</w:t>
            </w:r>
          </w:p>
        </w:tc>
        <w:tc>
          <w:tcPr>
            <w:tcW w:type="dxa" w:w="3816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先定义成功标准，再执行修改；验证通过后才算完成。</w:t>
            </w:r>
          </w:p>
        </w:tc>
        <w:tc>
          <w:tcPr>
            <w:tcW w:type="dxa" w:w="2664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不要只因为代码写完就宣布完成，也不要跳过验证。</w:t>
            </w:r>
          </w:p>
        </w:tc>
      </w:tr>
      <w:tr>
        <w:tc>
          <w:tcPr>
            <w:tcW w:type="dxa" w:w="648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5</w:t>
            </w:r>
          </w:p>
        </w:tc>
        <w:tc>
          <w:tcPr>
            <w:tcW w:type="dxa" w:w="2232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202020"/>
                <w:sz w:val="19"/>
              </w:rPr>
              <w:t>模型只做判断</w:t>
            </w:r>
          </w:p>
        </w:tc>
        <w:tc>
          <w:tcPr>
            <w:tcW w:type="dxa" w:w="3816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确定性逻辑交给代码、规则、路由、测试和重试机制；LLM 负责语义判断和不确定推理。</w:t>
            </w:r>
          </w:p>
        </w:tc>
        <w:tc>
          <w:tcPr>
            <w:tcW w:type="dxa" w:w="2664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不要让 LLM 做路径选择、重试循环、状态机、校验规则等可编程逻辑。</w:t>
            </w:r>
          </w:p>
        </w:tc>
      </w:tr>
      <w:tr>
        <w:tc>
          <w:tcPr>
            <w:tcW w:type="dxa" w:w="648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6</w:t>
            </w:r>
          </w:p>
        </w:tc>
        <w:tc>
          <w:tcPr>
            <w:tcW w:type="dxa" w:w="2232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202020"/>
                <w:sz w:val="19"/>
              </w:rPr>
              <w:t>硬 Token 预算</w:t>
            </w:r>
          </w:p>
        </w:tc>
        <w:tc>
          <w:tcPr>
            <w:tcW w:type="dxa" w:w="3816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单任务控制在约 4K token，会话控制在约 30K token；大任务拆成小任务。</w:t>
            </w:r>
          </w:p>
        </w:tc>
        <w:tc>
          <w:tcPr>
            <w:tcW w:type="dxa" w:w="2664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不要把调试日志、全量文件和无关上下文无限塞进会话。</w:t>
            </w:r>
          </w:p>
        </w:tc>
      </w:tr>
      <w:tr>
        <w:tc>
          <w:tcPr>
            <w:tcW w:type="dxa" w:w="648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7</w:t>
            </w:r>
          </w:p>
        </w:tc>
        <w:tc>
          <w:tcPr>
            <w:tcW w:type="dxa" w:w="2232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202020"/>
                <w:sz w:val="19"/>
              </w:rPr>
              <w:t>冲突选一边</w:t>
            </w:r>
          </w:p>
        </w:tc>
        <w:tc>
          <w:tcPr>
            <w:tcW w:type="dxa" w:w="3816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同一处问题只采用一种方案：要么修补当前设计，要么切换新设计。</w:t>
            </w:r>
          </w:p>
        </w:tc>
        <w:tc>
          <w:tcPr>
            <w:tcW w:type="dxa" w:w="2664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不要混合两种架构、两套状态、两种数据来源或两种 UI 模式。</w:t>
            </w:r>
          </w:p>
        </w:tc>
      </w:tr>
      <w:tr>
        <w:tc>
          <w:tcPr>
            <w:tcW w:type="dxa" w:w="648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8</w:t>
            </w:r>
          </w:p>
        </w:tc>
        <w:tc>
          <w:tcPr>
            <w:tcW w:type="dxa" w:w="2232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202020"/>
                <w:sz w:val="19"/>
              </w:rPr>
              <w:t>先读再写</w:t>
            </w:r>
          </w:p>
        </w:tc>
        <w:tc>
          <w:tcPr>
            <w:tcW w:type="dxa" w:w="3816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先理解导出方、调用方、共享工具和测试，再动手修改。</w:t>
            </w:r>
          </w:p>
        </w:tc>
        <w:tc>
          <w:tcPr>
            <w:tcW w:type="dxa" w:w="2664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不要只看报错行就改；不要没读上下游就改公共接口。</w:t>
            </w:r>
          </w:p>
        </w:tc>
      </w:tr>
      <w:tr>
        <w:tc>
          <w:tcPr>
            <w:tcW w:type="dxa" w:w="648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9</w:t>
            </w:r>
          </w:p>
        </w:tc>
        <w:tc>
          <w:tcPr>
            <w:tcW w:type="dxa" w:w="2232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202020"/>
                <w:sz w:val="19"/>
              </w:rPr>
              <w:t>测试验证意图</w:t>
            </w:r>
          </w:p>
        </w:tc>
        <w:tc>
          <w:tcPr>
            <w:tcW w:type="dxa" w:w="3816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测试要说明为什么这样做，覆盖行为、边界和回归风险。</w:t>
            </w:r>
          </w:p>
        </w:tc>
        <w:tc>
          <w:tcPr>
            <w:tcW w:type="dxa" w:w="2664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不要只测“做了什么”，也不要写与需求无关的脆弱快照测试。</w:t>
            </w:r>
          </w:p>
        </w:tc>
      </w:tr>
      <w:tr>
        <w:tc>
          <w:tcPr>
            <w:tcW w:type="dxa" w:w="648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10</w:t>
            </w:r>
          </w:p>
        </w:tc>
        <w:tc>
          <w:tcPr>
            <w:tcW w:type="dxa" w:w="2232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202020"/>
                <w:sz w:val="19"/>
              </w:rPr>
              <w:t>每步检查点</w:t>
            </w:r>
          </w:p>
        </w:tc>
        <w:tc>
          <w:tcPr>
            <w:tcW w:type="dxa" w:w="3816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每个阶段总结：做了什么、验证了什么、还剩什么。</w:t>
            </w:r>
          </w:p>
        </w:tc>
        <w:tc>
          <w:tcPr>
            <w:tcW w:type="dxa" w:w="2664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不要长时间沉默推进，也不要把所有风险堆到最后才暴露。</w:t>
            </w:r>
          </w:p>
        </w:tc>
      </w:tr>
      <w:tr>
        <w:tc>
          <w:tcPr>
            <w:tcW w:type="dxa" w:w="648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11</w:t>
            </w:r>
          </w:p>
        </w:tc>
        <w:tc>
          <w:tcPr>
            <w:tcW w:type="dxa" w:w="2232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202020"/>
                <w:sz w:val="19"/>
              </w:rPr>
              <w:t>遵循代码库惯例</w:t>
            </w:r>
          </w:p>
        </w:tc>
        <w:tc>
          <w:tcPr>
            <w:tcW w:type="dxa" w:w="3816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项目用什么框架、命名、错误处理、数据流，就沿用什么。</w:t>
            </w:r>
          </w:p>
        </w:tc>
        <w:tc>
          <w:tcPr>
            <w:tcW w:type="dxa" w:w="2664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不要把蛇形项目改成驼峰风格，或引入项目没有的范式。</w:t>
            </w:r>
          </w:p>
        </w:tc>
      </w:tr>
      <w:tr>
        <w:tc>
          <w:tcPr>
            <w:tcW w:type="dxa" w:w="648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12</w:t>
            </w:r>
          </w:p>
        </w:tc>
        <w:tc>
          <w:tcPr>
            <w:tcW w:type="dxa" w:w="2232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/>
                <w:color w:val="202020"/>
                <w:sz w:val="19"/>
              </w:rPr>
              <w:t>失败要大声</w:t>
            </w:r>
          </w:p>
        </w:tc>
        <w:tc>
          <w:tcPr>
            <w:tcW w:type="dxa" w:w="3816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失败、超时、跳过、无法验证都要明确记录，并说明影响范围。</w:t>
            </w:r>
          </w:p>
        </w:tc>
        <w:tc>
          <w:tcPr>
            <w:tcW w:type="dxa" w:w="2664"/>
          </w:tcPr>
          <w:p>
            <w:pPr>
              <w:spacing w:after="40" w:line="283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8"/>
              </w:rPr>
              <w:t>不要在不确定时写“完成”；不要掩盖失败或吞掉异常。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三、执行流程模板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1. 任务理解：</w:t>
      </w:r>
      <w:r>
        <w:rPr>
          <w:rFonts w:ascii="Calibri" w:hAnsi="Calibri" w:eastAsia="Microsoft YaHei"/>
          <w:color w:val="202020"/>
          <w:sz w:val="21"/>
        </w:rPr>
        <w:t>复述目标、边界、成功标准；列出不确定点。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2. 代码阅读：</w:t>
      </w:r>
      <w:r>
        <w:rPr>
          <w:rFonts w:ascii="Calibri" w:hAnsi="Calibri" w:eastAsia="Microsoft YaHei"/>
          <w:color w:val="202020"/>
          <w:sz w:val="21"/>
        </w:rPr>
        <w:t>定位入口、调用链、共享工具、现有测试和相关约定。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3. 修改计划：</w:t>
      </w:r>
      <w:r>
        <w:rPr>
          <w:rFonts w:ascii="Calibri" w:hAnsi="Calibri" w:eastAsia="Microsoft YaHei"/>
          <w:color w:val="202020"/>
          <w:sz w:val="21"/>
        </w:rPr>
        <w:t>说明将改哪些文件、为什么只改这些位置、风险在哪里。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4. 小步实现：</w:t>
      </w:r>
      <w:r>
        <w:rPr>
          <w:rFonts w:ascii="Calibri" w:hAnsi="Calibri" w:eastAsia="Microsoft YaHei"/>
          <w:color w:val="202020"/>
          <w:sz w:val="21"/>
        </w:rPr>
        <w:t>按最小可验证单元修改，避免把无关重构混进同一批。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5. 验证反馈：</w:t>
      </w:r>
      <w:r>
        <w:rPr>
          <w:rFonts w:ascii="Calibri" w:hAnsi="Calibri" w:eastAsia="Microsoft YaHei"/>
          <w:color w:val="202020"/>
          <w:sz w:val="21"/>
        </w:rPr>
        <w:t>运行最相关测试；必要时补测试；记录失败和未覆盖风险。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6. 交付总结：</w:t>
      </w:r>
      <w:r>
        <w:rPr>
          <w:rFonts w:ascii="Calibri" w:hAnsi="Calibri" w:eastAsia="Microsoft YaHei"/>
          <w:color w:val="202020"/>
          <w:sz w:val="21"/>
        </w:rPr>
        <w:t>说清楚改了什么、验证了什么、还可以继续优化什么。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四、任务前检查清单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2880"/>
        <w:gridCol w:w="5688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检查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检查点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通过标准</w:t>
            </w:r>
          </w:p>
        </w:tc>
      </w:tr>
      <w:tr>
        <w:tc>
          <w:tcPr>
            <w:tcW w:type="dxa" w:w="792"/>
          </w:tcPr>
          <w:p>
            <w:pPr>
              <w:spacing w:after="40" w:line="288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□</w:t>
            </w:r>
          </w:p>
        </w:tc>
        <w:tc>
          <w:tcPr>
            <w:tcW w:type="dxa" w:w="2880"/>
          </w:tcPr>
          <w:p>
            <w:pPr>
              <w:spacing w:after="40" w:line="288" w:lineRule="auto"/>
              <w:jc w:val="left"/>
            </w:pPr>
            <w:r>
              <w:rPr>
                <w:rFonts w:ascii="Calibri" w:hAnsi="Calibri" w:eastAsia="Microsoft YaHei"/>
                <w:b/>
                <w:color w:val="202020"/>
                <w:sz w:val="19"/>
              </w:rPr>
              <w:t>假设已写清</w:t>
            </w:r>
          </w:p>
        </w:tc>
        <w:tc>
          <w:tcPr>
            <w:tcW w:type="dxa" w:w="5688"/>
          </w:tcPr>
          <w:p>
            <w:pPr>
              <w:spacing w:after="40" w:line="288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任务目标、输入条件、限制范围和不确定点已经明示。</w:t>
            </w:r>
          </w:p>
        </w:tc>
      </w:tr>
      <w:tr>
        <w:tc>
          <w:tcPr>
            <w:tcW w:type="dxa" w:w="792"/>
          </w:tcPr>
          <w:p>
            <w:pPr>
              <w:spacing w:after="40" w:line="288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□</w:t>
            </w:r>
          </w:p>
        </w:tc>
        <w:tc>
          <w:tcPr>
            <w:tcW w:type="dxa" w:w="2880"/>
          </w:tcPr>
          <w:p>
            <w:pPr>
              <w:spacing w:after="40" w:line="288" w:lineRule="auto"/>
              <w:jc w:val="left"/>
            </w:pPr>
            <w:r>
              <w:rPr>
                <w:rFonts w:ascii="Calibri" w:hAnsi="Calibri" w:eastAsia="Microsoft YaHei"/>
                <w:b/>
                <w:color w:val="202020"/>
                <w:sz w:val="19"/>
              </w:rPr>
              <w:t>范围已收窄</w:t>
            </w:r>
          </w:p>
        </w:tc>
        <w:tc>
          <w:tcPr>
            <w:tcW w:type="dxa" w:w="5688"/>
          </w:tcPr>
          <w:p>
            <w:pPr>
              <w:spacing w:after="40" w:line="288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只改与目标相关的文件，不混入顺手重构。</w:t>
            </w:r>
          </w:p>
        </w:tc>
      </w:tr>
      <w:tr>
        <w:tc>
          <w:tcPr>
            <w:tcW w:type="dxa" w:w="792"/>
          </w:tcPr>
          <w:p>
            <w:pPr>
              <w:spacing w:after="40" w:line="288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□</w:t>
            </w:r>
          </w:p>
        </w:tc>
        <w:tc>
          <w:tcPr>
            <w:tcW w:type="dxa" w:w="2880"/>
          </w:tcPr>
          <w:p>
            <w:pPr>
              <w:spacing w:after="40" w:line="288" w:lineRule="auto"/>
              <w:jc w:val="left"/>
            </w:pPr>
            <w:r>
              <w:rPr>
                <w:rFonts w:ascii="Calibri" w:hAnsi="Calibri" w:eastAsia="Microsoft YaHei"/>
                <w:b/>
                <w:color w:val="202020"/>
                <w:sz w:val="19"/>
              </w:rPr>
              <w:t>方案只选一种</w:t>
            </w:r>
          </w:p>
        </w:tc>
        <w:tc>
          <w:tcPr>
            <w:tcW w:type="dxa" w:w="5688"/>
          </w:tcPr>
          <w:p>
            <w:pPr>
              <w:spacing w:after="40" w:line="288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没有同时保留两套互相竞争的实现路径。</w:t>
            </w:r>
          </w:p>
        </w:tc>
      </w:tr>
      <w:tr>
        <w:tc>
          <w:tcPr>
            <w:tcW w:type="dxa" w:w="792"/>
          </w:tcPr>
          <w:p>
            <w:pPr>
              <w:spacing w:after="40" w:line="288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□</w:t>
            </w:r>
          </w:p>
        </w:tc>
        <w:tc>
          <w:tcPr>
            <w:tcW w:type="dxa" w:w="2880"/>
          </w:tcPr>
          <w:p>
            <w:pPr>
              <w:spacing w:after="40" w:line="288" w:lineRule="auto"/>
              <w:jc w:val="left"/>
            </w:pPr>
            <w:r>
              <w:rPr>
                <w:rFonts w:ascii="Calibri" w:hAnsi="Calibri" w:eastAsia="Microsoft YaHei"/>
                <w:b/>
                <w:color w:val="202020"/>
                <w:sz w:val="19"/>
              </w:rPr>
              <w:t>上下游已阅读</w:t>
            </w:r>
          </w:p>
        </w:tc>
        <w:tc>
          <w:tcPr>
            <w:tcW w:type="dxa" w:w="5688"/>
          </w:tcPr>
          <w:p>
            <w:pPr>
              <w:spacing w:after="40" w:line="288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调用方、导出方、共享工具和现有测试已经看过。</w:t>
            </w:r>
          </w:p>
        </w:tc>
      </w:tr>
      <w:tr>
        <w:tc>
          <w:tcPr>
            <w:tcW w:type="dxa" w:w="792"/>
          </w:tcPr>
          <w:p>
            <w:pPr>
              <w:spacing w:after="40" w:line="288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□</w:t>
            </w:r>
          </w:p>
        </w:tc>
        <w:tc>
          <w:tcPr>
            <w:tcW w:type="dxa" w:w="2880"/>
          </w:tcPr>
          <w:p>
            <w:pPr>
              <w:spacing w:after="40" w:line="288" w:lineRule="auto"/>
              <w:jc w:val="left"/>
            </w:pPr>
            <w:r>
              <w:rPr>
                <w:rFonts w:ascii="Calibri" w:hAnsi="Calibri" w:eastAsia="Microsoft YaHei"/>
                <w:b/>
                <w:color w:val="202020"/>
                <w:sz w:val="19"/>
              </w:rPr>
              <w:t>验证已定义</w:t>
            </w:r>
          </w:p>
        </w:tc>
        <w:tc>
          <w:tcPr>
            <w:tcW w:type="dxa" w:w="5688"/>
          </w:tcPr>
          <w:p>
            <w:pPr>
              <w:spacing w:after="40" w:line="288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知道要跑哪些测试或手动检查，无法验证时会说明原因。</w:t>
            </w:r>
          </w:p>
        </w:tc>
      </w:tr>
      <w:tr>
        <w:tc>
          <w:tcPr>
            <w:tcW w:type="dxa" w:w="792"/>
          </w:tcPr>
          <w:p>
            <w:pPr>
              <w:spacing w:after="40" w:line="288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□</w:t>
            </w:r>
          </w:p>
        </w:tc>
        <w:tc>
          <w:tcPr>
            <w:tcW w:type="dxa" w:w="2880"/>
          </w:tcPr>
          <w:p>
            <w:pPr>
              <w:spacing w:after="40" w:line="288" w:lineRule="auto"/>
              <w:jc w:val="left"/>
            </w:pPr>
            <w:r>
              <w:rPr>
                <w:rFonts w:ascii="Calibri" w:hAnsi="Calibri" w:eastAsia="Microsoft YaHei"/>
                <w:b/>
                <w:color w:val="202020"/>
                <w:sz w:val="19"/>
              </w:rPr>
              <w:t>失败会记录</w:t>
            </w:r>
          </w:p>
        </w:tc>
        <w:tc>
          <w:tcPr>
            <w:tcW w:type="dxa" w:w="5688"/>
          </w:tcPr>
          <w:p>
            <w:pPr>
              <w:spacing w:after="40" w:line="288" w:lineRule="auto"/>
              <w:jc w:val="left"/>
            </w:pPr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超时、跳过、异常、缓存命中/未命中都会在结果中交代。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五、可直接放进提示词的版本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提示词片段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02020"/>
                <w:sz w:val="21"/>
              </w:rPr>
              <w:t>在开始编码前，请先说明你的假设、成功标准和将阅读的文件；不确定就先问。实现时优先选择最简单方案，只做与目标相关的外科手术式修改，遵循当前代码库惯例。确定性逻辑用代码、测试、路由和重试机制完成，不要交给 LLM 猜。每完成一个阶段都说明做了什么、验证了什么、还剩什么。如果失败、超时或无法验证，请明确说出来，不要把不确定结果写成完成。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六、使用建议</w:t>
      </w:r>
    </w:p>
    <w:p>
      <w:pPr>
        <w:spacing w:before="0" w:after="0" w:line="300" w:lineRule="auto"/>
      </w:pPr>
      <w:r>
        <w:rPr>
          <w:rFonts w:ascii="Calibri" w:hAnsi="Calibri" w:eastAsia="Microsoft YaHei"/>
          <w:b w:val="0"/>
          <w:color w:val="202020"/>
          <w:sz w:val="21"/>
        </w:rPr>
        <w:t>这 12 条规则最适合放在项目级 AI 协作规范、仓库的开发约定、或单次任务的系统提示中。若任务很小，可以只使用“先想再写、简单优先、外科手术式修改、目标驱动执行”四条；若任务跨模块或长会话，则必须启用完整 12 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224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C5C5C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C5C5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C5C5C"/>
        <w:sz w:val="18"/>
      </w:rPr>
      <w:t>AI 编码协作规范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