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F975A" w14:textId="77777777" w:rsidR="00354F64" w:rsidRPr="00C82C71" w:rsidRDefault="00000000">
      <w:pPr>
        <w:spacing w:before="1900"/>
        <w:jc w:val="center"/>
        <w:rPr>
          <w:rFonts w:cs="Arial"/>
        </w:rPr>
      </w:pPr>
      <w:r w:rsidRPr="00C82C71">
        <w:rPr>
          <w:rFonts w:cs="Arial"/>
          <w:b/>
          <w:color w:val="12283F"/>
          <w:sz w:val="60"/>
        </w:rPr>
        <w:t>FUNDX</w:t>
      </w:r>
    </w:p>
    <w:p w14:paraId="2717A0B2" w14:textId="77777777" w:rsidR="00354F64" w:rsidRPr="00C82C71" w:rsidRDefault="00000000">
      <w:pPr>
        <w:spacing w:before="320"/>
        <w:jc w:val="center"/>
        <w:rPr>
          <w:rFonts w:cs="Arial"/>
        </w:rPr>
      </w:pPr>
      <w:r w:rsidRPr="00C82C71">
        <w:rPr>
          <w:rFonts w:cs="Arial"/>
          <w:b/>
          <w:sz w:val="23"/>
        </w:rPr>
        <w:t>FINS3645 FinTech Project 2026 - Part B</w:t>
      </w:r>
    </w:p>
    <w:p w14:paraId="507C9EA3" w14:textId="77777777" w:rsidR="00354F64" w:rsidRPr="00C82C71" w:rsidRDefault="00000000">
      <w:pPr>
        <w:jc w:val="center"/>
        <w:rPr>
          <w:rFonts w:cs="Arial"/>
        </w:rPr>
      </w:pPr>
      <w:r w:rsidRPr="00C82C71">
        <w:rPr>
          <w:rFonts w:cs="Arial"/>
          <w:sz w:val="21"/>
        </w:rPr>
        <w:t>Tehan Kavinda  |  z5544937</w:t>
      </w:r>
    </w:p>
    <w:p w14:paraId="57DEA21D" w14:textId="77777777" w:rsidR="00354F64" w:rsidRPr="00C82C71" w:rsidRDefault="00000000">
      <w:pPr>
        <w:jc w:val="center"/>
        <w:rPr>
          <w:rFonts w:cs="Arial"/>
        </w:rPr>
      </w:pPr>
      <w:r w:rsidRPr="00C82C71">
        <w:rPr>
          <w:rFonts w:ascii="MS Gothic" w:eastAsia="MS Gothic" w:hAnsi="MS Gothic" w:cs="MS Gothic" w:hint="eastAsia"/>
          <w:color w:val="E3A82B"/>
          <w:sz w:val="20"/>
        </w:rPr>
        <w:t>━━━━━━━━━━━━━━━━━━━━━━━━━━━━━━━━━━━━━━━━━━</w:t>
      </w:r>
    </w:p>
    <w:p w14:paraId="12FE16A4" w14:textId="77777777" w:rsidR="00354F64" w:rsidRPr="00C82C71" w:rsidRDefault="00000000">
      <w:pPr>
        <w:spacing w:before="240"/>
        <w:jc w:val="center"/>
        <w:rPr>
          <w:rFonts w:cs="Arial"/>
        </w:rPr>
      </w:pPr>
      <w:r w:rsidRPr="00C82C71">
        <w:rPr>
          <w:rFonts w:cs="Arial"/>
        </w:rPr>
        <w:t>Live app https://z5544937-fundx.streamlit.app</w:t>
      </w:r>
    </w:p>
    <w:p w14:paraId="38B75ED4" w14:textId="77777777" w:rsidR="00354F64" w:rsidRPr="00C82C71" w:rsidRDefault="00000000">
      <w:pPr>
        <w:jc w:val="center"/>
        <w:rPr>
          <w:rFonts w:cs="Arial"/>
        </w:rPr>
      </w:pPr>
      <w:r w:rsidRPr="00C82C71">
        <w:rPr>
          <w:rFonts w:cs="Arial"/>
        </w:rPr>
        <w:t>Public repository https://github.com/1Tehan/z5544937_projectB</w:t>
      </w:r>
    </w:p>
    <w:p w14:paraId="37F95E79" w14:textId="4A7E080C" w:rsidR="00354F64" w:rsidRPr="00C82C71" w:rsidRDefault="00000000" w:rsidP="006B1AAF">
      <w:pPr>
        <w:jc w:val="center"/>
        <w:rPr>
          <w:rFonts w:cs="Arial"/>
        </w:rPr>
      </w:pPr>
      <w:r w:rsidRPr="00C82C71">
        <w:rPr>
          <w:rFonts w:cs="Arial"/>
        </w:rPr>
        <w:t>Main narrative word count: 4,</w:t>
      </w:r>
      <w:r w:rsidR="00A25A6A">
        <w:rPr>
          <w:rFonts w:cs="Arial"/>
        </w:rPr>
        <w:t>531</w:t>
      </w:r>
      <w:r w:rsidRPr="00C82C71">
        <w:rPr>
          <w:rFonts w:cs="Arial"/>
        </w:rPr>
        <w:t xml:space="preserve"> (excluding references and appendix)</w:t>
      </w:r>
      <w:r w:rsidRPr="00C82C71">
        <w:rPr>
          <w:rFonts w:cs="Arial"/>
        </w:rPr>
        <w:br w:type="page"/>
      </w:r>
    </w:p>
    <w:p w14:paraId="74AA0F96" w14:textId="77777777" w:rsidR="00354F64" w:rsidRPr="00C82C71" w:rsidRDefault="00000000">
      <w:pPr>
        <w:pStyle w:val="Heading1"/>
        <w:pBdr>
          <w:bottom w:val="single" w:sz="8" w:space="2" w:color="1F8A8C"/>
        </w:pBdr>
        <w:rPr>
          <w:rFonts w:ascii="Arial" w:hAnsi="Arial" w:cs="Arial"/>
        </w:rPr>
      </w:pPr>
      <w:r w:rsidRPr="00C82C71">
        <w:rPr>
          <w:rFonts w:ascii="Arial" w:hAnsi="Arial" w:cs="Arial"/>
        </w:rPr>
        <w:lastRenderedPageBreak/>
        <w:t>Executive Result</w:t>
      </w:r>
    </w:p>
    <w:tbl>
      <w:tblPr>
        <w:tblW w:w="0" w:type="auto"/>
        <w:jc w:val="center"/>
        <w:tblLayout w:type="fixed"/>
        <w:tblLook w:val="04A0" w:firstRow="1" w:lastRow="0" w:firstColumn="1" w:lastColumn="0" w:noHBand="0" w:noVBand="1"/>
      </w:tblPr>
      <w:tblGrid>
        <w:gridCol w:w="10166"/>
      </w:tblGrid>
      <w:tr w:rsidR="00354F64" w:rsidRPr="00C82C71" w14:paraId="519E032F" w14:textId="77777777">
        <w:trPr>
          <w:jc w:val="center"/>
        </w:trPr>
        <w:tc>
          <w:tcPr>
            <w:tcW w:w="10166" w:type="dxa"/>
            <w:shd w:val="clear" w:color="auto" w:fill="FFF8E8"/>
            <w:tcMar>
              <w:top w:w="90" w:type="dxa"/>
              <w:left w:w="120" w:type="dxa"/>
              <w:bottom w:w="90" w:type="dxa"/>
              <w:right w:w="120" w:type="dxa"/>
            </w:tcMar>
          </w:tcPr>
          <w:p w14:paraId="3B24E035" w14:textId="77777777" w:rsidR="00354F64" w:rsidRPr="00C82C71" w:rsidRDefault="00000000">
            <w:pPr>
              <w:spacing w:after="40"/>
              <w:rPr>
                <w:rFonts w:cs="Arial"/>
                <w:sz w:val="21"/>
                <w:szCs w:val="21"/>
              </w:rPr>
            </w:pPr>
            <w:r w:rsidRPr="00C82C71">
              <w:rPr>
                <w:rFonts w:cs="Arial"/>
                <w:b/>
                <w:color w:val="E3A82B"/>
                <w:sz w:val="21"/>
                <w:szCs w:val="21"/>
              </w:rPr>
              <w:t>PRODUCT DECISION</w:t>
            </w:r>
          </w:p>
          <w:p w14:paraId="10BA2EB1" w14:textId="54E660D0" w:rsidR="00C82C71" w:rsidRPr="00C82C71" w:rsidRDefault="00C82C71">
            <w:pPr>
              <w:spacing w:after="0"/>
              <w:rPr>
                <w:rFonts w:cs="Arial"/>
                <w:sz w:val="21"/>
                <w:szCs w:val="21"/>
              </w:rPr>
            </w:pPr>
            <w:r w:rsidRPr="00C82C71">
              <w:rPr>
                <w:rFonts w:cs="Arial"/>
                <w:sz w:val="21"/>
                <w:szCs w:val="21"/>
              </w:rPr>
              <w:t>Begin with Combined Risk Parity if you are a balanced investor. This strategy does not produce the best raw returns; however, it produces the highest combined fund Sharpe of 0.862. The worst drawdown is less than that of Combined Max Sharpe by material amounts (-19.5% vs. -22.7%) and this strategy also provides the least amount of average monthly turnover at 3.7%.</w:t>
            </w:r>
          </w:p>
        </w:tc>
      </w:tr>
    </w:tbl>
    <w:p w14:paraId="06576F0F" w14:textId="77777777" w:rsidR="0020184F" w:rsidRDefault="0020184F" w:rsidP="0020184F">
      <w:pPr>
        <w:pStyle w:val="pdq2pgselectionanchorcontainer"/>
        <w:numPr>
          <w:ilvl w:val="0"/>
          <w:numId w:val="11"/>
        </w:numPr>
        <w:rPr>
          <w:rFonts w:ascii="Arial" w:hAnsi="Arial" w:cs="Arial"/>
          <w:sz w:val="21"/>
          <w:szCs w:val="21"/>
        </w:rPr>
      </w:pPr>
      <w:r w:rsidRPr="0020184F">
        <w:rPr>
          <w:rFonts w:ascii="Arial" w:hAnsi="Arial" w:cs="Arial"/>
          <w:sz w:val="21"/>
          <w:szCs w:val="21"/>
        </w:rPr>
        <w:t>The Sharpe Ratio for the Equity Equal Weight Portfolio ranked first among all optimized equity portfolios in the OOS (Out-of-Sample) period, with a Sharpe Ratio of .784.</w:t>
      </w:r>
    </w:p>
    <w:p w14:paraId="4F653909" w14:textId="77777777" w:rsidR="0020184F" w:rsidRDefault="0020184F" w:rsidP="0020184F">
      <w:pPr>
        <w:pStyle w:val="pdq2pgselectionanchorcontainer"/>
        <w:numPr>
          <w:ilvl w:val="0"/>
          <w:numId w:val="11"/>
        </w:numPr>
        <w:rPr>
          <w:rFonts w:ascii="Arial" w:hAnsi="Arial" w:cs="Arial"/>
          <w:sz w:val="21"/>
          <w:szCs w:val="21"/>
        </w:rPr>
      </w:pPr>
      <w:r w:rsidRPr="0020184F">
        <w:rPr>
          <w:rFonts w:ascii="Arial" w:hAnsi="Arial" w:cs="Arial"/>
          <w:sz w:val="21"/>
          <w:szCs w:val="21"/>
        </w:rPr>
        <w:t>Only when sizing controlled the risk did adding Crypto improve the results. The Combined Equal Weight portfolio had a lower Sharpe Ratio (.701) than Equity Equal Weight (.784). However, Combined Risk Parity performed better than Equity Risk Parity, with Sharpe Ratios of .862 and .682 respectively.</w:t>
      </w:r>
    </w:p>
    <w:p w14:paraId="45AC7E1F" w14:textId="77777777" w:rsidR="0020184F" w:rsidRDefault="0020184F" w:rsidP="0020184F">
      <w:pPr>
        <w:pStyle w:val="pdq2pgselectionanchorcontainer"/>
        <w:numPr>
          <w:ilvl w:val="0"/>
          <w:numId w:val="11"/>
        </w:numPr>
        <w:rPr>
          <w:rFonts w:ascii="Arial" w:hAnsi="Arial" w:cs="Arial"/>
          <w:sz w:val="21"/>
          <w:szCs w:val="21"/>
        </w:rPr>
      </w:pPr>
      <w:r w:rsidRPr="0020184F">
        <w:rPr>
          <w:rFonts w:ascii="Arial" w:hAnsi="Arial" w:cs="Arial"/>
          <w:sz w:val="21"/>
          <w:szCs w:val="21"/>
        </w:rPr>
        <w:t>Fin-VADER improved sentiment measurement, but this did not improve investment performance. Neutral sentiment dropped from 49.6 percent to 45.2 percent. However, the Fin-VADER Tilted portfolio produced a Sharpe Ratio of .342, below the .380 Sharpe Ratio of the Original Portfolio.</w:t>
      </w:r>
    </w:p>
    <w:p w14:paraId="48C3CABD" w14:textId="76887594" w:rsidR="0020184F" w:rsidRPr="0020184F" w:rsidRDefault="0020184F" w:rsidP="0020184F">
      <w:pPr>
        <w:pStyle w:val="pdq2pgselectionanchorcontainer"/>
        <w:numPr>
          <w:ilvl w:val="0"/>
          <w:numId w:val="11"/>
        </w:numPr>
        <w:rPr>
          <w:rStyle w:val="animatingmuyve10"/>
          <w:rFonts w:ascii="Arial" w:hAnsi="Arial" w:cs="Arial"/>
          <w:sz w:val="21"/>
          <w:szCs w:val="21"/>
        </w:rPr>
      </w:pPr>
      <w:r w:rsidRPr="0020184F">
        <w:rPr>
          <w:rFonts w:ascii="Arial" w:hAnsi="Arial" w:cs="Arial"/>
          <w:sz w:val="21"/>
          <w:szCs w:val="21"/>
        </w:rPr>
        <w:t>I also used a 21-day moving-block bootstrap to avoid overclaiming the results. Since each selected fund's 90 percent Sharpe interval included zero, I also considered Drawdown and Turnover when determining the strongest overall portfolio.</w:t>
      </w:r>
    </w:p>
    <w:p w14:paraId="23728AB0" w14:textId="5C73279E" w:rsidR="00354F64" w:rsidRPr="00C82C71" w:rsidRDefault="00000000">
      <w:pPr>
        <w:pStyle w:val="Heading1"/>
        <w:pBdr>
          <w:bottom w:val="single" w:sz="8" w:space="2" w:color="1F8A8C"/>
        </w:pBdr>
        <w:rPr>
          <w:rFonts w:ascii="Arial" w:hAnsi="Arial" w:cs="Arial"/>
        </w:rPr>
      </w:pPr>
      <w:r w:rsidRPr="00C82C71">
        <w:rPr>
          <w:rFonts w:ascii="Arial" w:hAnsi="Arial" w:cs="Arial"/>
        </w:rPr>
        <w:t>1. The Funds and the Backtest Design</w:t>
      </w:r>
    </w:p>
    <w:p w14:paraId="1FD9F637" w14:textId="2B399A13" w:rsidR="00354F64" w:rsidRPr="0020184F" w:rsidRDefault="0020184F">
      <w:pPr>
        <w:rPr>
          <w:rFonts w:cs="Arial"/>
          <w:sz w:val="21"/>
          <w:szCs w:val="21"/>
        </w:rPr>
      </w:pPr>
      <w:r w:rsidRPr="0020184F">
        <w:rPr>
          <w:sz w:val="21"/>
          <w:szCs w:val="21"/>
        </w:rPr>
        <w:t xml:space="preserve">Fund X was established by Part A so that investors could have broad market exposure as well as a specific investment decision rule, all of which were provided without having to select </w:t>
      </w:r>
      <w:proofErr w:type="gramStart"/>
      <w:r w:rsidRPr="0020184F">
        <w:rPr>
          <w:sz w:val="21"/>
          <w:szCs w:val="21"/>
        </w:rPr>
        <w:t>each and every</w:t>
      </w:r>
      <w:proofErr w:type="gramEnd"/>
      <w:r w:rsidRPr="0020184F">
        <w:rPr>
          <w:sz w:val="21"/>
          <w:szCs w:val="21"/>
        </w:rPr>
        <w:t xml:space="preserve"> equity position on their own and/or go through an opaque allocation process. Part B took this and made it into an investable fund shelf. Each Fund X portfolio will detail how the portfolios are constructed, provide a Fact Sheet outlining out-of-sample historical performance, list the current holdings within the portfolio, and provide a space for comparison/combination of different funds. The Allocation Builder also outlines an illustrative 0.75% annual management fee.</w:t>
      </w:r>
    </w:p>
    <w:tbl>
      <w:tblPr>
        <w:tblStyle w:val="TableGrid"/>
        <w:tblW w:w="0" w:type="auto"/>
        <w:jc w:val="center"/>
        <w:tblLayout w:type="fixed"/>
        <w:tblLook w:val="04A0" w:firstRow="1" w:lastRow="0" w:firstColumn="1" w:lastColumn="0" w:noHBand="0" w:noVBand="1"/>
      </w:tblPr>
      <w:tblGrid>
        <w:gridCol w:w="3389"/>
        <w:gridCol w:w="3960"/>
        <w:gridCol w:w="3960"/>
      </w:tblGrid>
      <w:tr w:rsidR="00354F64" w:rsidRPr="00C82C71" w14:paraId="43F428E3" w14:textId="77777777">
        <w:trPr>
          <w:tblHeader/>
          <w:jc w:val="center"/>
        </w:trPr>
        <w:tc>
          <w:tcPr>
            <w:tcW w:w="3389" w:type="dxa"/>
            <w:shd w:val="clear" w:color="auto" w:fill="12283F"/>
            <w:tcMar>
              <w:top w:w="55" w:type="dxa"/>
              <w:left w:w="65" w:type="dxa"/>
              <w:bottom w:w="55" w:type="dxa"/>
              <w:right w:w="65" w:type="dxa"/>
            </w:tcMar>
            <w:vAlign w:val="center"/>
          </w:tcPr>
          <w:p w14:paraId="07C76FFB" w14:textId="77777777" w:rsidR="00354F64" w:rsidRPr="003C0F06" w:rsidRDefault="00000000">
            <w:pPr>
              <w:spacing w:after="0"/>
              <w:jc w:val="center"/>
              <w:rPr>
                <w:rFonts w:cs="Arial"/>
                <w:sz w:val="20"/>
                <w:szCs w:val="20"/>
              </w:rPr>
            </w:pPr>
            <w:r w:rsidRPr="003C0F06">
              <w:rPr>
                <w:rFonts w:cs="Arial"/>
                <w:b/>
                <w:color w:val="FFFFFF"/>
                <w:sz w:val="20"/>
                <w:szCs w:val="20"/>
              </w:rPr>
              <w:t>Method</w:t>
            </w:r>
          </w:p>
        </w:tc>
        <w:tc>
          <w:tcPr>
            <w:tcW w:w="3389" w:type="dxa"/>
            <w:shd w:val="clear" w:color="auto" w:fill="12283F"/>
            <w:tcMar>
              <w:top w:w="55" w:type="dxa"/>
              <w:left w:w="65" w:type="dxa"/>
              <w:bottom w:w="55" w:type="dxa"/>
              <w:right w:w="65" w:type="dxa"/>
            </w:tcMar>
            <w:vAlign w:val="center"/>
          </w:tcPr>
          <w:p w14:paraId="091F950D" w14:textId="77777777" w:rsidR="00354F64" w:rsidRPr="003C0F06" w:rsidRDefault="00000000">
            <w:pPr>
              <w:spacing w:after="0"/>
              <w:jc w:val="center"/>
              <w:rPr>
                <w:rFonts w:cs="Arial"/>
                <w:sz w:val="20"/>
                <w:szCs w:val="20"/>
              </w:rPr>
            </w:pPr>
            <w:r w:rsidRPr="003C0F06">
              <w:rPr>
                <w:rFonts w:cs="Arial"/>
                <w:b/>
                <w:color w:val="FFFFFF"/>
                <w:sz w:val="20"/>
                <w:szCs w:val="20"/>
              </w:rPr>
              <w:t>Role in FundX</w:t>
            </w:r>
          </w:p>
        </w:tc>
        <w:tc>
          <w:tcPr>
            <w:tcW w:w="3389" w:type="dxa"/>
            <w:shd w:val="clear" w:color="auto" w:fill="12283F"/>
            <w:tcMar>
              <w:top w:w="55" w:type="dxa"/>
              <w:left w:w="65" w:type="dxa"/>
              <w:bottom w:w="55" w:type="dxa"/>
              <w:right w:w="65" w:type="dxa"/>
            </w:tcMar>
            <w:vAlign w:val="center"/>
          </w:tcPr>
          <w:p w14:paraId="1BA5D54A" w14:textId="77777777" w:rsidR="00354F64" w:rsidRPr="003C0F06" w:rsidRDefault="00000000">
            <w:pPr>
              <w:spacing w:after="0"/>
              <w:jc w:val="center"/>
              <w:rPr>
                <w:rFonts w:cs="Arial"/>
                <w:sz w:val="20"/>
                <w:szCs w:val="20"/>
              </w:rPr>
            </w:pPr>
            <w:r w:rsidRPr="003C0F06">
              <w:rPr>
                <w:rFonts w:cs="Arial"/>
                <w:b/>
                <w:color w:val="FFFFFF"/>
                <w:sz w:val="20"/>
                <w:szCs w:val="20"/>
              </w:rPr>
              <w:t>Main estimation exposure</w:t>
            </w:r>
          </w:p>
        </w:tc>
      </w:tr>
      <w:tr w:rsidR="00354F64" w:rsidRPr="00C82C71" w14:paraId="36E1F5A2" w14:textId="77777777">
        <w:trPr>
          <w:jc w:val="center"/>
        </w:trPr>
        <w:tc>
          <w:tcPr>
            <w:tcW w:w="1944" w:type="dxa"/>
            <w:tcMar>
              <w:top w:w="50" w:type="dxa"/>
              <w:left w:w="65" w:type="dxa"/>
              <w:bottom w:w="50" w:type="dxa"/>
              <w:right w:w="65" w:type="dxa"/>
            </w:tcMar>
            <w:vAlign w:val="center"/>
          </w:tcPr>
          <w:p w14:paraId="08D15E5D" w14:textId="77777777" w:rsidR="00354F64" w:rsidRPr="003C0F06" w:rsidRDefault="00000000">
            <w:pPr>
              <w:spacing w:after="0"/>
              <w:rPr>
                <w:rFonts w:cs="Arial"/>
                <w:sz w:val="20"/>
                <w:szCs w:val="20"/>
              </w:rPr>
            </w:pPr>
            <w:r w:rsidRPr="003C0F06">
              <w:rPr>
                <w:rFonts w:cs="Arial"/>
                <w:b/>
                <w:sz w:val="20"/>
                <w:szCs w:val="20"/>
              </w:rPr>
              <w:t>Equal Weight</w:t>
            </w:r>
          </w:p>
        </w:tc>
        <w:tc>
          <w:tcPr>
            <w:tcW w:w="3960" w:type="dxa"/>
            <w:tcMar>
              <w:top w:w="50" w:type="dxa"/>
              <w:left w:w="65" w:type="dxa"/>
              <w:bottom w:w="50" w:type="dxa"/>
              <w:right w:w="65" w:type="dxa"/>
            </w:tcMar>
            <w:vAlign w:val="center"/>
          </w:tcPr>
          <w:p w14:paraId="631DDDB7" w14:textId="77777777" w:rsidR="00354F64" w:rsidRPr="003C0F06" w:rsidRDefault="00000000">
            <w:pPr>
              <w:spacing w:after="0"/>
              <w:jc w:val="center"/>
              <w:rPr>
                <w:rFonts w:cs="Arial"/>
                <w:sz w:val="20"/>
                <w:szCs w:val="20"/>
              </w:rPr>
            </w:pPr>
            <w:r w:rsidRPr="003C0F06">
              <w:rPr>
                <w:rFonts w:cs="Arial"/>
                <w:sz w:val="20"/>
                <w:szCs w:val="20"/>
              </w:rPr>
              <w:t>Transparent 1/N benchmark</w:t>
            </w:r>
          </w:p>
        </w:tc>
        <w:tc>
          <w:tcPr>
            <w:tcW w:w="3960" w:type="dxa"/>
            <w:tcMar>
              <w:top w:w="50" w:type="dxa"/>
              <w:left w:w="65" w:type="dxa"/>
              <w:bottom w:w="50" w:type="dxa"/>
              <w:right w:w="65" w:type="dxa"/>
            </w:tcMar>
            <w:vAlign w:val="center"/>
          </w:tcPr>
          <w:p w14:paraId="0BCF9DB6" w14:textId="77777777" w:rsidR="00354F64" w:rsidRPr="003C0F06" w:rsidRDefault="00000000">
            <w:pPr>
              <w:spacing w:after="0"/>
              <w:jc w:val="center"/>
              <w:rPr>
                <w:rFonts w:cs="Arial"/>
                <w:sz w:val="20"/>
                <w:szCs w:val="20"/>
              </w:rPr>
            </w:pPr>
            <w:r w:rsidRPr="003C0F06">
              <w:rPr>
                <w:rFonts w:cs="Arial"/>
                <w:sz w:val="20"/>
                <w:szCs w:val="20"/>
              </w:rPr>
              <w:t>None beyond the investable universe</w:t>
            </w:r>
          </w:p>
        </w:tc>
      </w:tr>
      <w:tr w:rsidR="00354F64" w:rsidRPr="00C82C71" w14:paraId="423209F5" w14:textId="77777777">
        <w:trPr>
          <w:jc w:val="center"/>
        </w:trPr>
        <w:tc>
          <w:tcPr>
            <w:tcW w:w="1944" w:type="dxa"/>
            <w:shd w:val="clear" w:color="auto" w:fill="F7F8F8"/>
            <w:tcMar>
              <w:top w:w="50" w:type="dxa"/>
              <w:left w:w="65" w:type="dxa"/>
              <w:bottom w:w="50" w:type="dxa"/>
              <w:right w:w="65" w:type="dxa"/>
            </w:tcMar>
            <w:vAlign w:val="center"/>
          </w:tcPr>
          <w:p w14:paraId="15990944" w14:textId="77777777" w:rsidR="00354F64" w:rsidRPr="003C0F06" w:rsidRDefault="00000000">
            <w:pPr>
              <w:spacing w:after="0"/>
              <w:rPr>
                <w:rFonts w:cs="Arial"/>
                <w:sz w:val="20"/>
                <w:szCs w:val="20"/>
              </w:rPr>
            </w:pPr>
            <w:r w:rsidRPr="003C0F06">
              <w:rPr>
                <w:rFonts w:cs="Arial"/>
                <w:b/>
                <w:sz w:val="20"/>
                <w:szCs w:val="20"/>
              </w:rPr>
              <w:t>Minimum Variance</w:t>
            </w:r>
          </w:p>
        </w:tc>
        <w:tc>
          <w:tcPr>
            <w:tcW w:w="3960" w:type="dxa"/>
            <w:shd w:val="clear" w:color="auto" w:fill="F7F8F8"/>
            <w:tcMar>
              <w:top w:w="50" w:type="dxa"/>
              <w:left w:w="65" w:type="dxa"/>
              <w:bottom w:w="50" w:type="dxa"/>
              <w:right w:w="65" w:type="dxa"/>
            </w:tcMar>
            <w:vAlign w:val="center"/>
          </w:tcPr>
          <w:p w14:paraId="2B053F22" w14:textId="77777777" w:rsidR="00354F64" w:rsidRPr="003C0F06" w:rsidRDefault="00000000">
            <w:pPr>
              <w:spacing w:after="0"/>
              <w:jc w:val="center"/>
              <w:rPr>
                <w:rFonts w:cs="Arial"/>
                <w:sz w:val="20"/>
                <w:szCs w:val="20"/>
              </w:rPr>
            </w:pPr>
            <w:r w:rsidRPr="003C0F06">
              <w:rPr>
                <w:rFonts w:cs="Arial"/>
                <w:sz w:val="20"/>
                <w:szCs w:val="20"/>
              </w:rPr>
              <w:t>Defensive / lowest-risk option</w:t>
            </w:r>
          </w:p>
        </w:tc>
        <w:tc>
          <w:tcPr>
            <w:tcW w:w="3960" w:type="dxa"/>
            <w:shd w:val="clear" w:color="auto" w:fill="F7F8F8"/>
            <w:tcMar>
              <w:top w:w="50" w:type="dxa"/>
              <w:left w:w="65" w:type="dxa"/>
              <w:bottom w:w="50" w:type="dxa"/>
              <w:right w:w="65" w:type="dxa"/>
            </w:tcMar>
            <w:vAlign w:val="center"/>
          </w:tcPr>
          <w:p w14:paraId="0353D57F" w14:textId="77777777" w:rsidR="00354F64" w:rsidRPr="003C0F06" w:rsidRDefault="00000000">
            <w:pPr>
              <w:spacing w:after="0"/>
              <w:jc w:val="center"/>
              <w:rPr>
                <w:rFonts w:cs="Arial"/>
                <w:sz w:val="20"/>
                <w:szCs w:val="20"/>
              </w:rPr>
            </w:pPr>
            <w:r w:rsidRPr="003C0F06">
              <w:rPr>
                <w:rFonts w:cs="Arial"/>
                <w:sz w:val="20"/>
                <w:szCs w:val="20"/>
              </w:rPr>
              <w:t>Covariance estimates</w:t>
            </w:r>
          </w:p>
        </w:tc>
      </w:tr>
      <w:tr w:rsidR="00354F64" w:rsidRPr="00C82C71" w14:paraId="3AE0576E" w14:textId="77777777">
        <w:trPr>
          <w:jc w:val="center"/>
        </w:trPr>
        <w:tc>
          <w:tcPr>
            <w:tcW w:w="1944" w:type="dxa"/>
            <w:tcMar>
              <w:top w:w="50" w:type="dxa"/>
              <w:left w:w="65" w:type="dxa"/>
              <w:bottom w:w="50" w:type="dxa"/>
              <w:right w:w="65" w:type="dxa"/>
            </w:tcMar>
            <w:vAlign w:val="center"/>
          </w:tcPr>
          <w:p w14:paraId="14B4C4EA" w14:textId="77777777" w:rsidR="00354F64" w:rsidRPr="003C0F06" w:rsidRDefault="00000000">
            <w:pPr>
              <w:spacing w:after="0"/>
              <w:rPr>
                <w:rFonts w:cs="Arial"/>
                <w:sz w:val="20"/>
                <w:szCs w:val="20"/>
              </w:rPr>
            </w:pPr>
            <w:r w:rsidRPr="003C0F06">
              <w:rPr>
                <w:rFonts w:cs="Arial"/>
                <w:b/>
                <w:sz w:val="20"/>
                <w:szCs w:val="20"/>
              </w:rPr>
              <w:t>Maximum Sharpe</w:t>
            </w:r>
          </w:p>
        </w:tc>
        <w:tc>
          <w:tcPr>
            <w:tcW w:w="3960" w:type="dxa"/>
            <w:tcMar>
              <w:top w:w="50" w:type="dxa"/>
              <w:left w:w="65" w:type="dxa"/>
              <w:bottom w:w="50" w:type="dxa"/>
              <w:right w:w="65" w:type="dxa"/>
            </w:tcMar>
            <w:vAlign w:val="center"/>
          </w:tcPr>
          <w:p w14:paraId="75F3055E" w14:textId="77777777" w:rsidR="00354F64" w:rsidRPr="003C0F06" w:rsidRDefault="00000000">
            <w:pPr>
              <w:spacing w:after="0"/>
              <w:jc w:val="center"/>
              <w:rPr>
                <w:rFonts w:cs="Arial"/>
                <w:sz w:val="20"/>
                <w:szCs w:val="20"/>
              </w:rPr>
            </w:pPr>
            <w:r w:rsidRPr="003C0F06">
              <w:rPr>
                <w:rFonts w:cs="Arial"/>
                <w:sz w:val="20"/>
                <w:szCs w:val="20"/>
              </w:rPr>
              <w:t>Growth-oriented optimiser</w:t>
            </w:r>
          </w:p>
        </w:tc>
        <w:tc>
          <w:tcPr>
            <w:tcW w:w="3960" w:type="dxa"/>
            <w:tcMar>
              <w:top w:w="50" w:type="dxa"/>
              <w:left w:w="65" w:type="dxa"/>
              <w:bottom w:w="50" w:type="dxa"/>
              <w:right w:w="65" w:type="dxa"/>
            </w:tcMar>
            <w:vAlign w:val="center"/>
          </w:tcPr>
          <w:p w14:paraId="0721E87A" w14:textId="77777777" w:rsidR="00354F64" w:rsidRPr="003C0F06" w:rsidRDefault="00000000">
            <w:pPr>
              <w:spacing w:after="0"/>
              <w:jc w:val="center"/>
              <w:rPr>
                <w:rFonts w:cs="Arial"/>
                <w:sz w:val="20"/>
                <w:szCs w:val="20"/>
              </w:rPr>
            </w:pPr>
            <w:r w:rsidRPr="003C0F06">
              <w:rPr>
                <w:rFonts w:cs="Arial"/>
                <w:sz w:val="20"/>
                <w:szCs w:val="20"/>
              </w:rPr>
              <w:t>Expected returns + covariance</w:t>
            </w:r>
          </w:p>
        </w:tc>
      </w:tr>
      <w:tr w:rsidR="00354F64" w:rsidRPr="00C82C71" w14:paraId="34CF26EC" w14:textId="77777777">
        <w:trPr>
          <w:jc w:val="center"/>
        </w:trPr>
        <w:tc>
          <w:tcPr>
            <w:tcW w:w="1944" w:type="dxa"/>
            <w:shd w:val="clear" w:color="auto" w:fill="F7F8F8"/>
            <w:tcMar>
              <w:top w:w="50" w:type="dxa"/>
              <w:left w:w="65" w:type="dxa"/>
              <w:bottom w:w="50" w:type="dxa"/>
              <w:right w:w="65" w:type="dxa"/>
            </w:tcMar>
            <w:vAlign w:val="center"/>
          </w:tcPr>
          <w:p w14:paraId="4B86D8E6" w14:textId="77777777" w:rsidR="00354F64" w:rsidRPr="003C0F06" w:rsidRDefault="00000000">
            <w:pPr>
              <w:rPr>
                <w:rFonts w:cs="Arial"/>
                <w:sz w:val="20"/>
                <w:szCs w:val="20"/>
              </w:rPr>
            </w:pPr>
            <w:r w:rsidRPr="003C0F06">
              <w:rPr>
                <w:rFonts w:cs="Arial"/>
                <w:sz w:val="20"/>
                <w:szCs w:val="20"/>
              </w:rPr>
              <w:t>Risk Parity (ERC; Spinu, 2013)</w:t>
            </w:r>
          </w:p>
        </w:tc>
        <w:tc>
          <w:tcPr>
            <w:tcW w:w="3960" w:type="dxa"/>
            <w:shd w:val="clear" w:color="auto" w:fill="F7F8F8"/>
            <w:tcMar>
              <w:top w:w="50" w:type="dxa"/>
              <w:left w:w="65" w:type="dxa"/>
              <w:bottom w:w="50" w:type="dxa"/>
              <w:right w:w="65" w:type="dxa"/>
            </w:tcMar>
            <w:vAlign w:val="center"/>
          </w:tcPr>
          <w:p w14:paraId="0F3BC367" w14:textId="77777777" w:rsidR="00354F64" w:rsidRPr="003C0F06" w:rsidRDefault="00000000">
            <w:pPr>
              <w:spacing w:after="0"/>
              <w:jc w:val="center"/>
              <w:rPr>
                <w:rFonts w:cs="Arial"/>
                <w:sz w:val="20"/>
                <w:szCs w:val="20"/>
              </w:rPr>
            </w:pPr>
            <w:r w:rsidRPr="003C0F06">
              <w:rPr>
                <w:rFonts w:cs="Arial"/>
                <w:sz w:val="20"/>
                <w:szCs w:val="20"/>
              </w:rPr>
              <w:t>Balanced risk-budgeting option</w:t>
            </w:r>
          </w:p>
        </w:tc>
        <w:tc>
          <w:tcPr>
            <w:tcW w:w="3960" w:type="dxa"/>
            <w:shd w:val="clear" w:color="auto" w:fill="F7F8F8"/>
            <w:tcMar>
              <w:top w:w="50" w:type="dxa"/>
              <w:left w:w="65" w:type="dxa"/>
              <w:bottom w:w="50" w:type="dxa"/>
              <w:right w:w="65" w:type="dxa"/>
            </w:tcMar>
            <w:vAlign w:val="center"/>
          </w:tcPr>
          <w:p w14:paraId="02C403B7" w14:textId="77777777" w:rsidR="00354F64" w:rsidRPr="003C0F06" w:rsidRDefault="00000000">
            <w:pPr>
              <w:spacing w:after="0"/>
              <w:jc w:val="center"/>
              <w:rPr>
                <w:rFonts w:cs="Arial"/>
                <w:sz w:val="20"/>
                <w:szCs w:val="20"/>
              </w:rPr>
            </w:pPr>
            <w:r w:rsidRPr="003C0F06">
              <w:rPr>
                <w:rFonts w:cs="Arial"/>
                <w:sz w:val="20"/>
                <w:szCs w:val="20"/>
              </w:rPr>
              <w:t>Risk/covariance, no return forecast</w:t>
            </w:r>
          </w:p>
        </w:tc>
      </w:tr>
      <w:tr w:rsidR="00354F64" w:rsidRPr="00C82C71" w14:paraId="21B9B330" w14:textId="77777777">
        <w:trPr>
          <w:jc w:val="center"/>
        </w:trPr>
        <w:tc>
          <w:tcPr>
            <w:tcW w:w="1944" w:type="dxa"/>
            <w:tcMar>
              <w:top w:w="50" w:type="dxa"/>
              <w:left w:w="65" w:type="dxa"/>
              <w:bottom w:w="50" w:type="dxa"/>
              <w:right w:w="65" w:type="dxa"/>
            </w:tcMar>
            <w:vAlign w:val="center"/>
          </w:tcPr>
          <w:p w14:paraId="0A15025C" w14:textId="77777777" w:rsidR="00354F64" w:rsidRPr="003C0F06" w:rsidRDefault="00000000">
            <w:pPr>
              <w:rPr>
                <w:rFonts w:cs="Arial"/>
                <w:sz w:val="20"/>
                <w:szCs w:val="20"/>
              </w:rPr>
            </w:pPr>
            <w:r w:rsidRPr="003C0F06">
              <w:rPr>
                <w:rFonts w:cs="Arial"/>
                <w:sz w:val="20"/>
                <w:szCs w:val="20"/>
              </w:rPr>
              <w:t>Hierarchical Risk Parity (López de Prado, 2016)</w:t>
            </w:r>
          </w:p>
        </w:tc>
        <w:tc>
          <w:tcPr>
            <w:tcW w:w="3960" w:type="dxa"/>
            <w:tcMar>
              <w:top w:w="50" w:type="dxa"/>
              <w:left w:w="65" w:type="dxa"/>
              <w:bottom w:w="50" w:type="dxa"/>
              <w:right w:w="65" w:type="dxa"/>
            </w:tcMar>
            <w:vAlign w:val="center"/>
          </w:tcPr>
          <w:p w14:paraId="630826A3" w14:textId="77777777" w:rsidR="00354F64" w:rsidRPr="003C0F06" w:rsidRDefault="00000000">
            <w:pPr>
              <w:spacing w:after="0"/>
              <w:jc w:val="center"/>
              <w:rPr>
                <w:rFonts w:cs="Arial"/>
                <w:sz w:val="20"/>
                <w:szCs w:val="20"/>
              </w:rPr>
            </w:pPr>
            <w:r w:rsidRPr="003C0F06">
              <w:rPr>
                <w:rFonts w:cs="Arial"/>
                <w:sz w:val="20"/>
                <w:szCs w:val="20"/>
              </w:rPr>
              <w:t>Robust clustering-based alternative</w:t>
            </w:r>
          </w:p>
        </w:tc>
        <w:tc>
          <w:tcPr>
            <w:tcW w:w="3960" w:type="dxa"/>
            <w:tcMar>
              <w:top w:w="50" w:type="dxa"/>
              <w:left w:w="65" w:type="dxa"/>
              <w:bottom w:w="50" w:type="dxa"/>
              <w:right w:w="65" w:type="dxa"/>
            </w:tcMar>
            <w:vAlign w:val="center"/>
          </w:tcPr>
          <w:p w14:paraId="4ABF234A" w14:textId="77777777" w:rsidR="00354F64" w:rsidRPr="003C0F06" w:rsidRDefault="00000000">
            <w:pPr>
              <w:spacing w:after="0"/>
              <w:jc w:val="center"/>
              <w:rPr>
                <w:rFonts w:cs="Arial"/>
                <w:sz w:val="20"/>
                <w:szCs w:val="20"/>
              </w:rPr>
            </w:pPr>
            <w:r w:rsidRPr="003C0F06">
              <w:rPr>
                <w:rFonts w:cs="Arial"/>
                <w:sz w:val="20"/>
                <w:szCs w:val="20"/>
              </w:rPr>
              <w:t>Dependence structure, no matrix inversion</w:t>
            </w:r>
          </w:p>
        </w:tc>
      </w:tr>
    </w:tbl>
    <w:p w14:paraId="6C1C0217" w14:textId="77777777" w:rsidR="00354F64" w:rsidRPr="00C82C71" w:rsidRDefault="00354F64">
      <w:pPr>
        <w:spacing w:after="20"/>
        <w:rPr>
          <w:rFonts w:cs="Arial"/>
        </w:rPr>
      </w:pPr>
    </w:p>
    <w:p w14:paraId="243A031A" w14:textId="77777777" w:rsidR="00EF312A" w:rsidRPr="00EF312A" w:rsidRDefault="00EF312A" w:rsidP="00EF312A">
      <w:pPr>
        <w:pStyle w:val="pdq2pgselectionanchorcontainer"/>
        <w:rPr>
          <w:rFonts w:ascii="Arial" w:hAnsi="Arial" w:cs="Arial"/>
          <w:sz w:val="21"/>
          <w:szCs w:val="21"/>
        </w:rPr>
      </w:pPr>
      <w:r w:rsidRPr="00EF312A">
        <w:rPr>
          <w:rFonts w:ascii="Arial" w:hAnsi="Arial" w:cs="Arial"/>
          <w:sz w:val="21"/>
          <w:szCs w:val="21"/>
        </w:rPr>
        <w:t xml:space="preserve">All portfolios were tested using walk-forward </w:t>
      </w:r>
      <w:proofErr w:type="spellStart"/>
      <w:r w:rsidRPr="00EF312A">
        <w:rPr>
          <w:rFonts w:ascii="Arial" w:hAnsi="Arial" w:cs="Arial"/>
          <w:sz w:val="21"/>
          <w:szCs w:val="21"/>
        </w:rPr>
        <w:t>backtesting</w:t>
      </w:r>
      <w:proofErr w:type="spellEnd"/>
      <w:r w:rsidRPr="00EF312A">
        <w:rPr>
          <w:rFonts w:ascii="Arial" w:hAnsi="Arial" w:cs="Arial"/>
          <w:sz w:val="21"/>
          <w:szCs w:val="21"/>
        </w:rPr>
        <w:t xml:space="preserve"> at each monthly rebalance (the first trading day of the month) using only prior data to set the weight. Each fund's time frame was 252-trading-days (equity/combined) and 365-calendar days (crypto). The equity/combined funds began on Jan. 04, 2021; crypto funds began on Jan. 01, 2021. Sharpe Ratios used a zero risk-free rate. Annualized returns are computed using 252 for equity/combined funds and 365 for crypto. For all funds, the out-of-sample (OOS) period ended Dec. 29, </w:t>
      </w:r>
      <w:proofErr w:type="gramStart"/>
      <w:r w:rsidRPr="00EF312A">
        <w:rPr>
          <w:rFonts w:ascii="Arial" w:hAnsi="Arial" w:cs="Arial"/>
          <w:sz w:val="21"/>
          <w:szCs w:val="21"/>
        </w:rPr>
        <w:t>2023</w:t>
      </w:r>
      <w:proofErr w:type="gramEnd"/>
      <w:r w:rsidRPr="00EF312A">
        <w:rPr>
          <w:rFonts w:ascii="Arial" w:hAnsi="Arial" w:cs="Arial"/>
          <w:sz w:val="21"/>
          <w:szCs w:val="21"/>
        </w:rPr>
        <w:t xml:space="preserve"> for equity/combined funds and Dec. 31, </w:t>
      </w:r>
      <w:proofErr w:type="gramStart"/>
      <w:r w:rsidRPr="00EF312A">
        <w:rPr>
          <w:rFonts w:ascii="Arial" w:hAnsi="Arial" w:cs="Arial"/>
          <w:sz w:val="21"/>
          <w:szCs w:val="21"/>
        </w:rPr>
        <w:t>2023</w:t>
      </w:r>
      <w:proofErr w:type="gramEnd"/>
      <w:r w:rsidRPr="00EF312A">
        <w:rPr>
          <w:rFonts w:ascii="Arial" w:hAnsi="Arial" w:cs="Arial"/>
          <w:sz w:val="21"/>
          <w:szCs w:val="21"/>
        </w:rPr>
        <w:t xml:space="preserve"> for crypto. All funds are long-only and </w:t>
      </w:r>
      <w:proofErr w:type="gramStart"/>
      <w:r w:rsidRPr="00EF312A">
        <w:rPr>
          <w:rFonts w:ascii="Arial" w:hAnsi="Arial" w:cs="Arial"/>
          <w:sz w:val="21"/>
          <w:szCs w:val="21"/>
        </w:rPr>
        <w:t>fully-invested</w:t>
      </w:r>
      <w:proofErr w:type="gramEnd"/>
      <w:r w:rsidRPr="00EF312A">
        <w:rPr>
          <w:rFonts w:ascii="Arial" w:hAnsi="Arial" w:cs="Arial"/>
          <w:sz w:val="21"/>
          <w:szCs w:val="21"/>
        </w:rPr>
        <w:t>. Both Minimum Variance and Maximum Sharpe include a 20% per-asset limit on equity/combined and 40% on crypto. Equal-weighted portfolios inherently stay under these limits. I did not impose post-hoc caps on either ERC or HRP even though realized OOS portfolio weights for both were lower than those limits. In addition to the per-asset caps, Minimum Variance, Maximum Sharpe and ERC also shrink their estimated covariance matrices by 10% toward their diagonals for numerical reasons. There is a sentiment bias applied through limiting the sector multiplier to be between .60 and 1.40.</w:t>
      </w:r>
    </w:p>
    <w:p w14:paraId="6095CB1E" w14:textId="77777777" w:rsidR="00EF312A" w:rsidRPr="00EF312A" w:rsidRDefault="00EF312A" w:rsidP="00EF312A">
      <w:pPr>
        <w:pStyle w:val="NormalWeb"/>
        <w:rPr>
          <w:rFonts w:ascii="Arial" w:hAnsi="Arial" w:cs="Arial"/>
          <w:sz w:val="21"/>
          <w:szCs w:val="21"/>
        </w:rPr>
      </w:pPr>
      <w:r w:rsidRPr="00EF312A">
        <w:rPr>
          <w:rFonts w:ascii="Arial" w:hAnsi="Arial" w:cs="Arial"/>
          <w:sz w:val="21"/>
          <w:szCs w:val="21"/>
        </w:rPr>
        <w:lastRenderedPageBreak/>
        <w:t>As described above, during the periods between rebalancing dates, I allow the weight of each security to drift according to the realized return of that security. Therefore, I measure turnover versus the portfolio that will reach the next rebalancing date. I charge 10 basis points × turnover on each rebalancing date and report both the gross and net-of-cost Sharpe ratio. I separate reporting into equity, crypto and combined funds because they provide different answers to my research question. Specifically, equity funds assess whether the allocation method provides better performance relative to a large-cap universe. Crypto funds isolate a higher-risk asset class on its 7-day calendar. Combined funds evaluate whether including crypto in a portfolio adds value through diversifying away equity-specific risks or if it simply competes with equity for total portfolio risk.</w:t>
      </w:r>
    </w:p>
    <w:p w14:paraId="7D226330" w14:textId="6209612C" w:rsidR="00354F64" w:rsidRPr="00EF312A" w:rsidRDefault="00EF312A" w:rsidP="00EF312A">
      <w:pPr>
        <w:pStyle w:val="NormalWeb"/>
        <w:rPr>
          <w:rFonts w:ascii="Arial" w:hAnsi="Arial" w:cs="Arial"/>
          <w:sz w:val="21"/>
          <w:szCs w:val="21"/>
        </w:rPr>
      </w:pPr>
      <w:r w:rsidRPr="00EF312A">
        <w:rPr>
          <w:rFonts w:ascii="Arial" w:hAnsi="Arial" w:cs="Arial"/>
          <w:sz w:val="21"/>
          <w:szCs w:val="21"/>
        </w:rPr>
        <w:t>I prefer comparing methods within each type of fund before comparing similar methods across types of funds. If I had done otherwise, the strong cryptocurrency performance in 2021 would have dominated the results of comparison.</w:t>
      </w:r>
      <w:r>
        <w:rPr>
          <w:rFonts w:ascii="Arial" w:hAnsi="Arial" w:cs="Arial"/>
          <w:sz w:val="21"/>
          <w:szCs w:val="21"/>
        </w:rPr>
        <w:t xml:space="preserve"> </w:t>
      </w:r>
      <w:r w:rsidRPr="00EF312A">
        <w:rPr>
          <w:rFonts w:ascii="Arial" w:hAnsi="Arial" w:cs="Arial"/>
          <w:sz w:val="21"/>
          <w:szCs w:val="21"/>
        </w:rPr>
        <w:t xml:space="preserve">Both the caps on Minimum Variance and Maximum Sharpe serve as a protective mechanism to prevent the models from producing high concentrations due to volatile estimation errors. ERC and HRP were not given post-hoc caps. As such, the </w:t>
      </w:r>
      <w:proofErr w:type="spellStart"/>
      <w:r w:rsidRPr="00EF312A">
        <w:rPr>
          <w:rFonts w:ascii="Arial" w:hAnsi="Arial" w:cs="Arial"/>
          <w:sz w:val="21"/>
          <w:szCs w:val="21"/>
        </w:rPr>
        <w:t>backtests</w:t>
      </w:r>
      <w:proofErr w:type="spellEnd"/>
      <w:r w:rsidRPr="00EF312A">
        <w:rPr>
          <w:rFonts w:ascii="Arial" w:hAnsi="Arial" w:cs="Arial"/>
          <w:sz w:val="21"/>
          <w:szCs w:val="21"/>
        </w:rPr>
        <w:t xml:space="preserve"> remain transparent and can be easily understood/reproduced by a retail investor.</w:t>
      </w:r>
    </w:p>
    <w:tbl>
      <w:tblPr>
        <w:tblW w:w="0" w:type="auto"/>
        <w:jc w:val="center"/>
        <w:tblLayout w:type="fixed"/>
        <w:tblLook w:val="04A0" w:firstRow="1" w:lastRow="0" w:firstColumn="1" w:lastColumn="0" w:noHBand="0" w:noVBand="1"/>
      </w:tblPr>
      <w:tblGrid>
        <w:gridCol w:w="10246"/>
      </w:tblGrid>
      <w:tr w:rsidR="00354F64" w:rsidRPr="00C82C71" w14:paraId="42CE3FB0" w14:textId="77777777" w:rsidTr="008719F4">
        <w:trPr>
          <w:trHeight w:val="672"/>
          <w:jc w:val="center"/>
        </w:trPr>
        <w:tc>
          <w:tcPr>
            <w:tcW w:w="10246" w:type="dxa"/>
            <w:shd w:val="clear" w:color="auto" w:fill="EFF6F6"/>
            <w:tcMar>
              <w:top w:w="90" w:type="dxa"/>
              <w:left w:w="120" w:type="dxa"/>
              <w:bottom w:w="90" w:type="dxa"/>
              <w:right w:w="120" w:type="dxa"/>
            </w:tcMar>
          </w:tcPr>
          <w:p w14:paraId="65EF6A54" w14:textId="77777777" w:rsidR="008719F4" w:rsidRPr="008719F4" w:rsidRDefault="00000000" w:rsidP="008719F4">
            <w:pPr>
              <w:spacing w:after="40"/>
              <w:rPr>
                <w:rFonts w:cs="Arial"/>
                <w:b/>
                <w:color w:val="1F8A8C"/>
                <w:sz w:val="21"/>
                <w:szCs w:val="21"/>
              </w:rPr>
            </w:pPr>
            <w:r w:rsidRPr="008719F4">
              <w:rPr>
                <w:rFonts w:cs="Arial"/>
                <w:b/>
                <w:color w:val="1F8A8C"/>
                <w:sz w:val="21"/>
                <w:szCs w:val="21"/>
              </w:rPr>
              <w:t>BACKTEST GUARDRAIL</w:t>
            </w:r>
          </w:p>
          <w:p w14:paraId="6DBE9104" w14:textId="7F69B867" w:rsidR="008719F4" w:rsidRPr="008719F4" w:rsidRDefault="008719F4" w:rsidP="008719F4">
            <w:pPr>
              <w:spacing w:after="40"/>
              <w:rPr>
                <w:rFonts w:cs="Arial"/>
                <w:sz w:val="21"/>
                <w:szCs w:val="21"/>
              </w:rPr>
            </w:pPr>
            <w:r w:rsidRPr="008719F4">
              <w:rPr>
                <w:rStyle w:val="Strong"/>
                <w:b w:val="0"/>
                <w:bCs w:val="0"/>
                <w:sz w:val="21"/>
                <w:szCs w:val="21"/>
              </w:rPr>
              <w:t xml:space="preserve">For </w:t>
            </w:r>
            <w:r w:rsidRPr="008719F4">
              <w:rPr>
                <w:sz w:val="21"/>
                <w:szCs w:val="21"/>
              </w:rPr>
              <w:t xml:space="preserve">verification, I also ran a falsification check: planting a +60% return on a rebalance date did not change that date's target weights. Separately, I recomputed Combined Risk Parity from fund_returns.csv and matched the saved </w:t>
            </w:r>
            <w:proofErr w:type="spellStart"/>
            <w:r w:rsidRPr="008719F4">
              <w:rPr>
                <w:sz w:val="21"/>
                <w:szCs w:val="21"/>
              </w:rPr>
              <w:t>annualised</w:t>
            </w:r>
            <w:proofErr w:type="spellEnd"/>
            <w:r w:rsidRPr="008719F4">
              <w:rPr>
                <w:sz w:val="21"/>
                <w:szCs w:val="21"/>
              </w:rPr>
              <w:t xml:space="preserve"> return, volatility, Sharpe, maximum drawdown and growth-of-$1 metrics.</w:t>
            </w:r>
          </w:p>
        </w:tc>
      </w:tr>
      <w:tr w:rsidR="00923BD5" w:rsidRPr="00C82C71" w14:paraId="7F801749" w14:textId="77777777" w:rsidTr="008719F4">
        <w:trPr>
          <w:trHeight w:val="26"/>
          <w:jc w:val="center"/>
        </w:trPr>
        <w:tc>
          <w:tcPr>
            <w:tcW w:w="10246" w:type="dxa"/>
            <w:shd w:val="clear" w:color="auto" w:fill="EFF6F6"/>
            <w:tcMar>
              <w:top w:w="90" w:type="dxa"/>
              <w:left w:w="120" w:type="dxa"/>
              <w:bottom w:w="90" w:type="dxa"/>
              <w:right w:w="120" w:type="dxa"/>
            </w:tcMar>
          </w:tcPr>
          <w:p w14:paraId="080D40EA" w14:textId="77777777" w:rsidR="00923BD5" w:rsidRPr="008719F4" w:rsidRDefault="00923BD5">
            <w:pPr>
              <w:spacing w:after="40"/>
              <w:rPr>
                <w:rFonts w:cs="Arial"/>
                <w:b/>
                <w:color w:val="1F8A8C"/>
                <w:sz w:val="21"/>
                <w:szCs w:val="21"/>
              </w:rPr>
            </w:pPr>
          </w:p>
        </w:tc>
      </w:tr>
    </w:tbl>
    <w:p w14:paraId="7D6E18BA" w14:textId="77777777" w:rsidR="00354F64" w:rsidRPr="00C82C71" w:rsidRDefault="00354F64">
      <w:pPr>
        <w:spacing w:after="20"/>
        <w:rPr>
          <w:rFonts w:cs="Arial"/>
        </w:rPr>
      </w:pPr>
    </w:p>
    <w:p w14:paraId="03B796F4" w14:textId="77777777" w:rsidR="00354F64" w:rsidRPr="00C82C71" w:rsidRDefault="00000000">
      <w:pPr>
        <w:pStyle w:val="Heading1"/>
        <w:pBdr>
          <w:bottom w:val="single" w:sz="8" w:space="2" w:color="1F8A8C"/>
        </w:pBdr>
        <w:rPr>
          <w:rFonts w:ascii="Arial" w:hAnsi="Arial" w:cs="Arial"/>
        </w:rPr>
      </w:pPr>
      <w:r w:rsidRPr="00C82C71">
        <w:rPr>
          <w:rFonts w:ascii="Arial" w:hAnsi="Arial" w:cs="Arial"/>
        </w:rPr>
        <w:t>2. Out-of-Sample Results and Fund Fact Sheets</w:t>
      </w:r>
    </w:p>
    <w:p w14:paraId="3526BA06" w14:textId="2DFA359A" w:rsidR="00354F64" w:rsidRPr="008719F4" w:rsidRDefault="008719F4">
      <w:pPr>
        <w:rPr>
          <w:rFonts w:cs="Arial"/>
          <w:sz w:val="21"/>
          <w:szCs w:val="21"/>
        </w:rPr>
      </w:pPr>
      <w:r w:rsidRPr="008719F4">
        <w:rPr>
          <w:sz w:val="21"/>
          <w:szCs w:val="21"/>
        </w:rPr>
        <w:t>The most useful way to read the leaderboard is as an investment decision - which portfolio(s) to invest in - rather than a competition to get the highest return. Combined Maximum Sharpe has the largest combined-family wealth ($1.61 from $1), but Combined Risk Parity is the strongest balanced portfolio as it produces the best risk-adjusted return while having significantly less trading activity. All 17 portfolios are listed in Table 1. The growth, family comparisons, drawdowns, weight changes and cross-method Sharpe rankings can be found in Figures 1 through 5.</w:t>
      </w:r>
    </w:p>
    <w:tbl>
      <w:tblPr>
        <w:tblStyle w:val="TableGrid"/>
        <w:tblW w:w="10271" w:type="dxa"/>
        <w:tblLayout w:type="fixed"/>
        <w:tblLook w:val="04A0" w:firstRow="1" w:lastRow="0" w:firstColumn="1" w:lastColumn="0" w:noHBand="0" w:noVBand="1"/>
      </w:tblPr>
      <w:tblGrid>
        <w:gridCol w:w="2275"/>
        <w:gridCol w:w="1452"/>
        <w:gridCol w:w="1452"/>
        <w:gridCol w:w="1452"/>
        <w:gridCol w:w="1452"/>
        <w:gridCol w:w="1131"/>
        <w:gridCol w:w="1057"/>
      </w:tblGrid>
      <w:tr w:rsidR="00354F64" w:rsidRPr="00806BF7" w14:paraId="66713720" w14:textId="77777777" w:rsidTr="00806BF7">
        <w:trPr>
          <w:trHeight w:val="272"/>
          <w:tblHeader/>
        </w:trPr>
        <w:tc>
          <w:tcPr>
            <w:tcW w:w="2275" w:type="dxa"/>
            <w:shd w:val="clear" w:color="auto" w:fill="12283F"/>
            <w:tcMar>
              <w:top w:w="55" w:type="dxa"/>
              <w:left w:w="65" w:type="dxa"/>
              <w:bottom w:w="55" w:type="dxa"/>
              <w:right w:w="65" w:type="dxa"/>
            </w:tcMar>
            <w:vAlign w:val="center"/>
          </w:tcPr>
          <w:p w14:paraId="29BB588A" w14:textId="77777777" w:rsidR="00354F64" w:rsidRPr="00806BF7" w:rsidRDefault="00000000">
            <w:pPr>
              <w:spacing w:after="0"/>
              <w:jc w:val="center"/>
              <w:rPr>
                <w:rFonts w:cs="Arial"/>
                <w:sz w:val="18"/>
                <w:szCs w:val="18"/>
              </w:rPr>
            </w:pPr>
            <w:r w:rsidRPr="00806BF7">
              <w:rPr>
                <w:rFonts w:cs="Arial"/>
                <w:b/>
                <w:color w:val="FFFFFF"/>
                <w:sz w:val="18"/>
                <w:szCs w:val="18"/>
              </w:rPr>
              <w:t>Selected fund</w:t>
            </w:r>
          </w:p>
        </w:tc>
        <w:tc>
          <w:tcPr>
            <w:tcW w:w="1452" w:type="dxa"/>
            <w:shd w:val="clear" w:color="auto" w:fill="12283F"/>
            <w:tcMar>
              <w:top w:w="55" w:type="dxa"/>
              <w:left w:w="65" w:type="dxa"/>
              <w:bottom w:w="55" w:type="dxa"/>
              <w:right w:w="65" w:type="dxa"/>
            </w:tcMar>
            <w:vAlign w:val="center"/>
          </w:tcPr>
          <w:p w14:paraId="1340703D" w14:textId="77777777" w:rsidR="00354F64" w:rsidRPr="00806BF7" w:rsidRDefault="00000000">
            <w:pPr>
              <w:spacing w:after="0"/>
              <w:jc w:val="center"/>
              <w:rPr>
                <w:rFonts w:cs="Arial"/>
                <w:sz w:val="18"/>
                <w:szCs w:val="18"/>
              </w:rPr>
            </w:pPr>
            <w:r w:rsidRPr="00806BF7">
              <w:rPr>
                <w:rFonts w:cs="Arial"/>
                <w:b/>
                <w:color w:val="FFFFFF"/>
                <w:sz w:val="18"/>
                <w:szCs w:val="18"/>
              </w:rPr>
              <w:t>Ann. ret.</w:t>
            </w:r>
          </w:p>
        </w:tc>
        <w:tc>
          <w:tcPr>
            <w:tcW w:w="1452" w:type="dxa"/>
            <w:shd w:val="clear" w:color="auto" w:fill="12283F"/>
            <w:tcMar>
              <w:top w:w="55" w:type="dxa"/>
              <w:left w:w="65" w:type="dxa"/>
              <w:bottom w:w="55" w:type="dxa"/>
              <w:right w:w="65" w:type="dxa"/>
            </w:tcMar>
            <w:vAlign w:val="center"/>
          </w:tcPr>
          <w:p w14:paraId="2A1EA04A" w14:textId="77777777" w:rsidR="00354F64" w:rsidRPr="00806BF7" w:rsidRDefault="00000000">
            <w:pPr>
              <w:spacing w:after="0"/>
              <w:jc w:val="center"/>
              <w:rPr>
                <w:rFonts w:cs="Arial"/>
                <w:sz w:val="18"/>
                <w:szCs w:val="18"/>
              </w:rPr>
            </w:pPr>
            <w:r w:rsidRPr="00806BF7">
              <w:rPr>
                <w:rFonts w:cs="Arial"/>
                <w:b/>
                <w:color w:val="FFFFFF"/>
                <w:sz w:val="18"/>
                <w:szCs w:val="18"/>
              </w:rPr>
              <w:t>Ann. vol.</w:t>
            </w:r>
          </w:p>
        </w:tc>
        <w:tc>
          <w:tcPr>
            <w:tcW w:w="1452" w:type="dxa"/>
            <w:shd w:val="clear" w:color="auto" w:fill="12283F"/>
            <w:tcMar>
              <w:top w:w="55" w:type="dxa"/>
              <w:left w:w="65" w:type="dxa"/>
              <w:bottom w:w="55" w:type="dxa"/>
              <w:right w:w="65" w:type="dxa"/>
            </w:tcMar>
            <w:vAlign w:val="center"/>
          </w:tcPr>
          <w:p w14:paraId="73F7FF56" w14:textId="77777777" w:rsidR="00354F64" w:rsidRPr="00806BF7" w:rsidRDefault="00000000">
            <w:pPr>
              <w:spacing w:after="0"/>
              <w:jc w:val="center"/>
              <w:rPr>
                <w:rFonts w:cs="Arial"/>
                <w:sz w:val="18"/>
                <w:szCs w:val="18"/>
              </w:rPr>
            </w:pPr>
            <w:r w:rsidRPr="00806BF7">
              <w:rPr>
                <w:rFonts w:cs="Arial"/>
                <w:b/>
                <w:color w:val="FFFFFF"/>
                <w:sz w:val="18"/>
                <w:szCs w:val="18"/>
              </w:rPr>
              <w:t>Sharpe</w:t>
            </w:r>
          </w:p>
        </w:tc>
        <w:tc>
          <w:tcPr>
            <w:tcW w:w="1452" w:type="dxa"/>
            <w:shd w:val="clear" w:color="auto" w:fill="12283F"/>
            <w:tcMar>
              <w:top w:w="55" w:type="dxa"/>
              <w:left w:w="65" w:type="dxa"/>
              <w:bottom w:w="55" w:type="dxa"/>
              <w:right w:w="65" w:type="dxa"/>
            </w:tcMar>
            <w:vAlign w:val="center"/>
          </w:tcPr>
          <w:p w14:paraId="0C0B78E3" w14:textId="77777777" w:rsidR="00354F64" w:rsidRPr="00806BF7" w:rsidRDefault="00000000">
            <w:pPr>
              <w:spacing w:after="0"/>
              <w:jc w:val="center"/>
              <w:rPr>
                <w:rFonts w:cs="Arial"/>
                <w:sz w:val="18"/>
                <w:szCs w:val="18"/>
              </w:rPr>
            </w:pPr>
            <w:r w:rsidRPr="00806BF7">
              <w:rPr>
                <w:rFonts w:cs="Arial"/>
                <w:b/>
                <w:color w:val="FFFFFF"/>
                <w:sz w:val="18"/>
                <w:szCs w:val="18"/>
              </w:rPr>
              <w:t>Max DD</w:t>
            </w:r>
          </w:p>
        </w:tc>
        <w:tc>
          <w:tcPr>
            <w:tcW w:w="1131" w:type="dxa"/>
            <w:shd w:val="clear" w:color="auto" w:fill="12283F"/>
            <w:tcMar>
              <w:top w:w="55" w:type="dxa"/>
              <w:left w:w="65" w:type="dxa"/>
              <w:bottom w:w="55" w:type="dxa"/>
              <w:right w:w="65" w:type="dxa"/>
            </w:tcMar>
            <w:vAlign w:val="center"/>
          </w:tcPr>
          <w:p w14:paraId="2F294C7F" w14:textId="77777777" w:rsidR="00354F64" w:rsidRPr="00806BF7" w:rsidRDefault="00000000">
            <w:pPr>
              <w:spacing w:after="0"/>
              <w:jc w:val="center"/>
              <w:rPr>
                <w:rFonts w:cs="Arial"/>
                <w:sz w:val="18"/>
                <w:szCs w:val="18"/>
              </w:rPr>
            </w:pPr>
            <w:r w:rsidRPr="00806BF7">
              <w:rPr>
                <w:rFonts w:cs="Arial"/>
                <w:b/>
                <w:color w:val="FFFFFF"/>
                <w:sz w:val="18"/>
                <w:szCs w:val="18"/>
              </w:rPr>
              <w:t>Growth $1</w:t>
            </w:r>
          </w:p>
        </w:tc>
        <w:tc>
          <w:tcPr>
            <w:tcW w:w="1057" w:type="dxa"/>
            <w:shd w:val="clear" w:color="auto" w:fill="12283F"/>
            <w:tcMar>
              <w:top w:w="55" w:type="dxa"/>
              <w:left w:w="65" w:type="dxa"/>
              <w:bottom w:w="55" w:type="dxa"/>
              <w:right w:w="65" w:type="dxa"/>
            </w:tcMar>
            <w:vAlign w:val="center"/>
          </w:tcPr>
          <w:p w14:paraId="5E68682C" w14:textId="77777777" w:rsidR="00354F64" w:rsidRPr="00806BF7" w:rsidRDefault="00000000">
            <w:pPr>
              <w:spacing w:after="0"/>
              <w:jc w:val="center"/>
              <w:rPr>
                <w:rFonts w:cs="Arial"/>
                <w:sz w:val="18"/>
                <w:szCs w:val="18"/>
              </w:rPr>
            </w:pPr>
            <w:r w:rsidRPr="00806BF7">
              <w:rPr>
                <w:rFonts w:cs="Arial"/>
                <w:b/>
                <w:color w:val="FFFFFF"/>
                <w:sz w:val="18"/>
                <w:szCs w:val="18"/>
              </w:rPr>
              <w:t>Turnover</w:t>
            </w:r>
          </w:p>
        </w:tc>
      </w:tr>
      <w:tr w:rsidR="00354F64" w:rsidRPr="00806BF7" w14:paraId="1E54D967" w14:textId="77777777" w:rsidTr="00806BF7">
        <w:tc>
          <w:tcPr>
            <w:tcW w:w="2275" w:type="dxa"/>
            <w:tcMar>
              <w:top w:w="50" w:type="dxa"/>
              <w:left w:w="65" w:type="dxa"/>
              <w:bottom w:w="50" w:type="dxa"/>
              <w:right w:w="65" w:type="dxa"/>
            </w:tcMar>
            <w:vAlign w:val="center"/>
          </w:tcPr>
          <w:p w14:paraId="205CA9FB" w14:textId="77777777" w:rsidR="00354F64" w:rsidRPr="00806BF7" w:rsidRDefault="00000000">
            <w:pPr>
              <w:spacing w:after="0"/>
              <w:rPr>
                <w:rFonts w:cs="Arial"/>
                <w:sz w:val="18"/>
                <w:szCs w:val="18"/>
              </w:rPr>
            </w:pPr>
            <w:r w:rsidRPr="00806BF7">
              <w:rPr>
                <w:rFonts w:cs="Arial"/>
                <w:b/>
                <w:sz w:val="18"/>
                <w:szCs w:val="18"/>
              </w:rPr>
              <w:t>Combined Risk Parity</w:t>
            </w:r>
          </w:p>
        </w:tc>
        <w:tc>
          <w:tcPr>
            <w:tcW w:w="1452" w:type="dxa"/>
            <w:tcMar>
              <w:top w:w="50" w:type="dxa"/>
              <w:left w:w="65" w:type="dxa"/>
              <w:bottom w:w="50" w:type="dxa"/>
              <w:right w:w="65" w:type="dxa"/>
            </w:tcMar>
            <w:vAlign w:val="center"/>
          </w:tcPr>
          <w:p w14:paraId="1DF1D67B" w14:textId="77777777" w:rsidR="00354F64" w:rsidRPr="00806BF7" w:rsidRDefault="00000000">
            <w:pPr>
              <w:spacing w:after="0"/>
              <w:jc w:val="center"/>
              <w:rPr>
                <w:rFonts w:cs="Arial"/>
                <w:sz w:val="18"/>
                <w:szCs w:val="18"/>
              </w:rPr>
            </w:pPr>
            <w:r w:rsidRPr="00806BF7">
              <w:rPr>
                <w:rFonts w:cs="Arial"/>
                <w:sz w:val="18"/>
                <w:szCs w:val="18"/>
              </w:rPr>
              <w:t>14.0%</w:t>
            </w:r>
          </w:p>
        </w:tc>
        <w:tc>
          <w:tcPr>
            <w:tcW w:w="1452" w:type="dxa"/>
            <w:tcMar>
              <w:top w:w="50" w:type="dxa"/>
              <w:left w:w="65" w:type="dxa"/>
              <w:bottom w:w="50" w:type="dxa"/>
              <w:right w:w="65" w:type="dxa"/>
            </w:tcMar>
            <w:vAlign w:val="center"/>
          </w:tcPr>
          <w:p w14:paraId="61BDED6B" w14:textId="77777777" w:rsidR="00354F64" w:rsidRPr="00806BF7" w:rsidRDefault="00000000">
            <w:pPr>
              <w:spacing w:after="0"/>
              <w:jc w:val="center"/>
              <w:rPr>
                <w:rFonts w:cs="Arial"/>
                <w:sz w:val="18"/>
                <w:szCs w:val="18"/>
              </w:rPr>
            </w:pPr>
            <w:r w:rsidRPr="00806BF7">
              <w:rPr>
                <w:rFonts w:cs="Arial"/>
                <w:sz w:val="18"/>
                <w:szCs w:val="18"/>
              </w:rPr>
              <w:t>16.2%</w:t>
            </w:r>
          </w:p>
        </w:tc>
        <w:tc>
          <w:tcPr>
            <w:tcW w:w="1452" w:type="dxa"/>
            <w:tcMar>
              <w:top w:w="50" w:type="dxa"/>
              <w:left w:w="65" w:type="dxa"/>
              <w:bottom w:w="50" w:type="dxa"/>
              <w:right w:w="65" w:type="dxa"/>
            </w:tcMar>
            <w:vAlign w:val="center"/>
          </w:tcPr>
          <w:p w14:paraId="4E4A1FAD" w14:textId="77777777" w:rsidR="00354F64" w:rsidRPr="00806BF7" w:rsidRDefault="00000000">
            <w:pPr>
              <w:spacing w:after="0"/>
              <w:jc w:val="center"/>
              <w:rPr>
                <w:rFonts w:cs="Arial"/>
                <w:sz w:val="18"/>
                <w:szCs w:val="18"/>
              </w:rPr>
            </w:pPr>
            <w:r w:rsidRPr="00806BF7">
              <w:rPr>
                <w:rFonts w:cs="Arial"/>
                <w:sz w:val="18"/>
                <w:szCs w:val="18"/>
              </w:rPr>
              <w:t>0.862</w:t>
            </w:r>
          </w:p>
        </w:tc>
        <w:tc>
          <w:tcPr>
            <w:tcW w:w="1452" w:type="dxa"/>
            <w:tcMar>
              <w:top w:w="50" w:type="dxa"/>
              <w:left w:w="65" w:type="dxa"/>
              <w:bottom w:w="50" w:type="dxa"/>
              <w:right w:w="65" w:type="dxa"/>
            </w:tcMar>
            <w:vAlign w:val="center"/>
          </w:tcPr>
          <w:p w14:paraId="0CAE08B7" w14:textId="77777777" w:rsidR="00354F64" w:rsidRPr="00806BF7" w:rsidRDefault="00000000">
            <w:pPr>
              <w:spacing w:after="0"/>
              <w:jc w:val="center"/>
              <w:rPr>
                <w:rFonts w:cs="Arial"/>
                <w:sz w:val="18"/>
                <w:szCs w:val="18"/>
              </w:rPr>
            </w:pPr>
            <w:r w:rsidRPr="00806BF7">
              <w:rPr>
                <w:rFonts w:cs="Arial"/>
                <w:sz w:val="18"/>
                <w:szCs w:val="18"/>
              </w:rPr>
              <w:t>-19.5%</w:t>
            </w:r>
          </w:p>
        </w:tc>
        <w:tc>
          <w:tcPr>
            <w:tcW w:w="1131" w:type="dxa"/>
            <w:tcMar>
              <w:top w:w="50" w:type="dxa"/>
              <w:left w:w="65" w:type="dxa"/>
              <w:bottom w:w="50" w:type="dxa"/>
              <w:right w:w="65" w:type="dxa"/>
            </w:tcMar>
            <w:vAlign w:val="center"/>
          </w:tcPr>
          <w:p w14:paraId="0B91184B" w14:textId="77777777" w:rsidR="00354F64" w:rsidRPr="00806BF7" w:rsidRDefault="00000000">
            <w:pPr>
              <w:spacing w:after="0"/>
              <w:jc w:val="center"/>
              <w:rPr>
                <w:rFonts w:cs="Arial"/>
                <w:sz w:val="18"/>
                <w:szCs w:val="18"/>
              </w:rPr>
            </w:pPr>
            <w:r w:rsidRPr="00806BF7">
              <w:rPr>
                <w:rFonts w:cs="Arial"/>
                <w:sz w:val="18"/>
                <w:szCs w:val="18"/>
              </w:rPr>
              <w:t>$1.48</w:t>
            </w:r>
          </w:p>
        </w:tc>
        <w:tc>
          <w:tcPr>
            <w:tcW w:w="1057" w:type="dxa"/>
            <w:tcMar>
              <w:top w:w="50" w:type="dxa"/>
              <w:left w:w="65" w:type="dxa"/>
              <w:bottom w:w="50" w:type="dxa"/>
              <w:right w:w="65" w:type="dxa"/>
            </w:tcMar>
            <w:vAlign w:val="center"/>
          </w:tcPr>
          <w:p w14:paraId="585DB77B" w14:textId="77777777" w:rsidR="00354F64" w:rsidRPr="00806BF7" w:rsidRDefault="00000000">
            <w:pPr>
              <w:spacing w:after="0"/>
              <w:jc w:val="center"/>
              <w:rPr>
                <w:rFonts w:cs="Arial"/>
                <w:sz w:val="18"/>
                <w:szCs w:val="18"/>
              </w:rPr>
            </w:pPr>
            <w:r w:rsidRPr="00806BF7">
              <w:rPr>
                <w:rFonts w:cs="Arial"/>
                <w:sz w:val="18"/>
                <w:szCs w:val="18"/>
              </w:rPr>
              <w:t>3.7%</w:t>
            </w:r>
          </w:p>
        </w:tc>
      </w:tr>
      <w:tr w:rsidR="00354F64" w:rsidRPr="00806BF7" w14:paraId="786316E9" w14:textId="77777777" w:rsidTr="00806BF7">
        <w:tc>
          <w:tcPr>
            <w:tcW w:w="2275" w:type="dxa"/>
            <w:shd w:val="clear" w:color="auto" w:fill="F7F8F8"/>
            <w:tcMar>
              <w:top w:w="50" w:type="dxa"/>
              <w:left w:w="65" w:type="dxa"/>
              <w:bottom w:w="50" w:type="dxa"/>
              <w:right w:w="65" w:type="dxa"/>
            </w:tcMar>
            <w:vAlign w:val="center"/>
          </w:tcPr>
          <w:p w14:paraId="38251797" w14:textId="77777777" w:rsidR="00354F64" w:rsidRPr="00806BF7" w:rsidRDefault="00000000">
            <w:pPr>
              <w:spacing w:after="0"/>
              <w:rPr>
                <w:rFonts w:cs="Arial"/>
                <w:sz w:val="18"/>
                <w:szCs w:val="18"/>
              </w:rPr>
            </w:pPr>
            <w:r w:rsidRPr="00806BF7">
              <w:rPr>
                <w:rFonts w:cs="Arial"/>
                <w:b/>
                <w:sz w:val="18"/>
                <w:szCs w:val="18"/>
              </w:rPr>
              <w:t>Combined Max Sharpe</w:t>
            </w:r>
          </w:p>
        </w:tc>
        <w:tc>
          <w:tcPr>
            <w:tcW w:w="1452" w:type="dxa"/>
            <w:shd w:val="clear" w:color="auto" w:fill="F7F8F8"/>
            <w:tcMar>
              <w:top w:w="50" w:type="dxa"/>
              <w:left w:w="65" w:type="dxa"/>
              <w:bottom w:w="50" w:type="dxa"/>
              <w:right w:w="65" w:type="dxa"/>
            </w:tcMar>
            <w:vAlign w:val="center"/>
          </w:tcPr>
          <w:p w14:paraId="0206C72A" w14:textId="77777777" w:rsidR="00354F64" w:rsidRPr="00806BF7" w:rsidRDefault="00000000">
            <w:pPr>
              <w:spacing w:after="0"/>
              <w:jc w:val="center"/>
              <w:rPr>
                <w:rFonts w:cs="Arial"/>
                <w:sz w:val="18"/>
                <w:szCs w:val="18"/>
              </w:rPr>
            </w:pPr>
            <w:r w:rsidRPr="00806BF7">
              <w:rPr>
                <w:rFonts w:cs="Arial"/>
                <w:sz w:val="18"/>
                <w:szCs w:val="18"/>
              </w:rPr>
              <w:t>17.3%</w:t>
            </w:r>
          </w:p>
        </w:tc>
        <w:tc>
          <w:tcPr>
            <w:tcW w:w="1452" w:type="dxa"/>
            <w:shd w:val="clear" w:color="auto" w:fill="F7F8F8"/>
            <w:tcMar>
              <w:top w:w="50" w:type="dxa"/>
              <w:left w:w="65" w:type="dxa"/>
              <w:bottom w:w="50" w:type="dxa"/>
              <w:right w:w="65" w:type="dxa"/>
            </w:tcMar>
            <w:vAlign w:val="center"/>
          </w:tcPr>
          <w:p w14:paraId="5913386D" w14:textId="77777777" w:rsidR="00354F64" w:rsidRPr="00806BF7" w:rsidRDefault="00000000">
            <w:pPr>
              <w:spacing w:after="0"/>
              <w:jc w:val="center"/>
              <w:rPr>
                <w:rFonts w:cs="Arial"/>
                <w:sz w:val="18"/>
                <w:szCs w:val="18"/>
              </w:rPr>
            </w:pPr>
            <w:r w:rsidRPr="00806BF7">
              <w:rPr>
                <w:rFonts w:cs="Arial"/>
                <w:sz w:val="18"/>
                <w:szCs w:val="18"/>
              </w:rPr>
              <w:t>23.2%</w:t>
            </w:r>
          </w:p>
        </w:tc>
        <w:tc>
          <w:tcPr>
            <w:tcW w:w="1452" w:type="dxa"/>
            <w:shd w:val="clear" w:color="auto" w:fill="F7F8F8"/>
            <w:tcMar>
              <w:top w:w="50" w:type="dxa"/>
              <w:left w:w="65" w:type="dxa"/>
              <w:bottom w:w="50" w:type="dxa"/>
              <w:right w:w="65" w:type="dxa"/>
            </w:tcMar>
            <w:vAlign w:val="center"/>
          </w:tcPr>
          <w:p w14:paraId="516880D8" w14:textId="77777777" w:rsidR="00354F64" w:rsidRPr="00806BF7" w:rsidRDefault="00000000">
            <w:pPr>
              <w:spacing w:after="0"/>
              <w:jc w:val="center"/>
              <w:rPr>
                <w:rFonts w:cs="Arial"/>
                <w:sz w:val="18"/>
                <w:szCs w:val="18"/>
              </w:rPr>
            </w:pPr>
            <w:r w:rsidRPr="00806BF7">
              <w:rPr>
                <w:rFonts w:cs="Arial"/>
                <w:sz w:val="18"/>
                <w:szCs w:val="18"/>
              </w:rPr>
              <w:t>0.744</w:t>
            </w:r>
          </w:p>
        </w:tc>
        <w:tc>
          <w:tcPr>
            <w:tcW w:w="1452" w:type="dxa"/>
            <w:shd w:val="clear" w:color="auto" w:fill="F7F8F8"/>
            <w:tcMar>
              <w:top w:w="50" w:type="dxa"/>
              <w:left w:w="65" w:type="dxa"/>
              <w:bottom w:w="50" w:type="dxa"/>
              <w:right w:w="65" w:type="dxa"/>
            </w:tcMar>
            <w:vAlign w:val="center"/>
          </w:tcPr>
          <w:p w14:paraId="3123C7BF" w14:textId="77777777" w:rsidR="00354F64" w:rsidRPr="00806BF7" w:rsidRDefault="00000000">
            <w:pPr>
              <w:spacing w:after="0"/>
              <w:jc w:val="center"/>
              <w:rPr>
                <w:rFonts w:cs="Arial"/>
                <w:sz w:val="18"/>
                <w:szCs w:val="18"/>
              </w:rPr>
            </w:pPr>
            <w:r w:rsidRPr="00806BF7">
              <w:rPr>
                <w:rFonts w:cs="Arial"/>
                <w:sz w:val="18"/>
                <w:szCs w:val="18"/>
              </w:rPr>
              <w:t>-22.7%</w:t>
            </w:r>
          </w:p>
        </w:tc>
        <w:tc>
          <w:tcPr>
            <w:tcW w:w="1131" w:type="dxa"/>
            <w:shd w:val="clear" w:color="auto" w:fill="F7F8F8"/>
            <w:tcMar>
              <w:top w:w="50" w:type="dxa"/>
              <w:left w:w="65" w:type="dxa"/>
              <w:bottom w:w="50" w:type="dxa"/>
              <w:right w:w="65" w:type="dxa"/>
            </w:tcMar>
            <w:vAlign w:val="center"/>
          </w:tcPr>
          <w:p w14:paraId="44B2A5BB" w14:textId="77777777" w:rsidR="00354F64" w:rsidRPr="00806BF7" w:rsidRDefault="00000000">
            <w:pPr>
              <w:spacing w:after="0"/>
              <w:jc w:val="center"/>
              <w:rPr>
                <w:rFonts w:cs="Arial"/>
                <w:sz w:val="18"/>
                <w:szCs w:val="18"/>
              </w:rPr>
            </w:pPr>
            <w:r w:rsidRPr="00806BF7">
              <w:rPr>
                <w:rFonts w:cs="Arial"/>
                <w:sz w:val="18"/>
                <w:szCs w:val="18"/>
              </w:rPr>
              <w:t>$1.61</w:t>
            </w:r>
          </w:p>
        </w:tc>
        <w:tc>
          <w:tcPr>
            <w:tcW w:w="1057" w:type="dxa"/>
            <w:shd w:val="clear" w:color="auto" w:fill="F7F8F8"/>
            <w:tcMar>
              <w:top w:w="50" w:type="dxa"/>
              <w:left w:w="65" w:type="dxa"/>
              <w:bottom w:w="50" w:type="dxa"/>
              <w:right w:w="65" w:type="dxa"/>
            </w:tcMar>
            <w:vAlign w:val="center"/>
          </w:tcPr>
          <w:p w14:paraId="148CCB61" w14:textId="77777777" w:rsidR="00354F64" w:rsidRPr="00806BF7" w:rsidRDefault="00000000">
            <w:pPr>
              <w:spacing w:after="0"/>
              <w:jc w:val="center"/>
              <w:rPr>
                <w:rFonts w:cs="Arial"/>
                <w:sz w:val="18"/>
                <w:szCs w:val="18"/>
              </w:rPr>
            </w:pPr>
            <w:r w:rsidRPr="00806BF7">
              <w:rPr>
                <w:rFonts w:cs="Arial"/>
                <w:sz w:val="18"/>
                <w:szCs w:val="18"/>
              </w:rPr>
              <w:t>28.5%</w:t>
            </w:r>
          </w:p>
        </w:tc>
      </w:tr>
      <w:tr w:rsidR="00354F64" w:rsidRPr="00806BF7" w14:paraId="5B1B1348" w14:textId="77777777" w:rsidTr="00806BF7">
        <w:tc>
          <w:tcPr>
            <w:tcW w:w="2275" w:type="dxa"/>
            <w:tcMar>
              <w:top w:w="50" w:type="dxa"/>
              <w:left w:w="65" w:type="dxa"/>
              <w:bottom w:w="50" w:type="dxa"/>
              <w:right w:w="65" w:type="dxa"/>
            </w:tcMar>
            <w:vAlign w:val="center"/>
          </w:tcPr>
          <w:p w14:paraId="0C72DE36" w14:textId="77777777" w:rsidR="00354F64" w:rsidRPr="00806BF7" w:rsidRDefault="00000000">
            <w:pPr>
              <w:spacing w:after="0"/>
              <w:rPr>
                <w:rFonts w:cs="Arial"/>
                <w:sz w:val="18"/>
                <w:szCs w:val="18"/>
              </w:rPr>
            </w:pPr>
            <w:r w:rsidRPr="00806BF7">
              <w:rPr>
                <w:rFonts w:cs="Arial"/>
                <w:b/>
                <w:sz w:val="18"/>
                <w:szCs w:val="18"/>
              </w:rPr>
              <w:t>Combined Min Variance</w:t>
            </w:r>
          </w:p>
        </w:tc>
        <w:tc>
          <w:tcPr>
            <w:tcW w:w="1452" w:type="dxa"/>
            <w:tcMar>
              <w:top w:w="50" w:type="dxa"/>
              <w:left w:w="65" w:type="dxa"/>
              <w:bottom w:w="50" w:type="dxa"/>
              <w:right w:w="65" w:type="dxa"/>
            </w:tcMar>
            <w:vAlign w:val="center"/>
          </w:tcPr>
          <w:p w14:paraId="2DC370F2" w14:textId="77777777" w:rsidR="00354F64" w:rsidRPr="00806BF7" w:rsidRDefault="00000000">
            <w:pPr>
              <w:spacing w:after="0"/>
              <w:jc w:val="center"/>
              <w:rPr>
                <w:rFonts w:cs="Arial"/>
                <w:sz w:val="18"/>
                <w:szCs w:val="18"/>
              </w:rPr>
            </w:pPr>
            <w:r w:rsidRPr="00806BF7">
              <w:rPr>
                <w:rFonts w:cs="Arial"/>
                <w:sz w:val="18"/>
                <w:szCs w:val="18"/>
              </w:rPr>
              <w:t>5.5%</w:t>
            </w:r>
          </w:p>
        </w:tc>
        <w:tc>
          <w:tcPr>
            <w:tcW w:w="1452" w:type="dxa"/>
            <w:tcMar>
              <w:top w:w="50" w:type="dxa"/>
              <w:left w:w="65" w:type="dxa"/>
              <w:bottom w:w="50" w:type="dxa"/>
              <w:right w:w="65" w:type="dxa"/>
            </w:tcMar>
            <w:vAlign w:val="center"/>
          </w:tcPr>
          <w:p w14:paraId="3DD0B7A6" w14:textId="77777777" w:rsidR="00354F64" w:rsidRPr="00806BF7" w:rsidRDefault="00000000">
            <w:pPr>
              <w:spacing w:after="0"/>
              <w:jc w:val="center"/>
              <w:rPr>
                <w:rFonts w:cs="Arial"/>
                <w:sz w:val="18"/>
                <w:szCs w:val="18"/>
              </w:rPr>
            </w:pPr>
            <w:r w:rsidRPr="00806BF7">
              <w:rPr>
                <w:rFonts w:cs="Arial"/>
                <w:sz w:val="18"/>
                <w:szCs w:val="18"/>
              </w:rPr>
              <w:t>12.6%</w:t>
            </w:r>
          </w:p>
        </w:tc>
        <w:tc>
          <w:tcPr>
            <w:tcW w:w="1452" w:type="dxa"/>
            <w:tcMar>
              <w:top w:w="50" w:type="dxa"/>
              <w:left w:w="65" w:type="dxa"/>
              <w:bottom w:w="50" w:type="dxa"/>
              <w:right w:w="65" w:type="dxa"/>
            </w:tcMar>
            <w:vAlign w:val="center"/>
          </w:tcPr>
          <w:p w14:paraId="0B223CF1" w14:textId="77777777" w:rsidR="00354F64" w:rsidRPr="00806BF7" w:rsidRDefault="00000000">
            <w:pPr>
              <w:spacing w:after="0"/>
              <w:jc w:val="center"/>
              <w:rPr>
                <w:rFonts w:cs="Arial"/>
                <w:sz w:val="18"/>
                <w:szCs w:val="18"/>
              </w:rPr>
            </w:pPr>
            <w:r w:rsidRPr="00806BF7">
              <w:rPr>
                <w:rFonts w:cs="Arial"/>
                <w:sz w:val="18"/>
                <w:szCs w:val="18"/>
              </w:rPr>
              <w:t>0.434</w:t>
            </w:r>
          </w:p>
        </w:tc>
        <w:tc>
          <w:tcPr>
            <w:tcW w:w="1452" w:type="dxa"/>
            <w:tcMar>
              <w:top w:w="50" w:type="dxa"/>
              <w:left w:w="65" w:type="dxa"/>
              <w:bottom w:w="50" w:type="dxa"/>
              <w:right w:w="65" w:type="dxa"/>
            </w:tcMar>
            <w:vAlign w:val="center"/>
          </w:tcPr>
          <w:p w14:paraId="3B8890AA" w14:textId="77777777" w:rsidR="00354F64" w:rsidRPr="00806BF7" w:rsidRDefault="00000000">
            <w:pPr>
              <w:spacing w:after="0"/>
              <w:jc w:val="center"/>
              <w:rPr>
                <w:rFonts w:cs="Arial"/>
                <w:sz w:val="18"/>
                <w:szCs w:val="18"/>
              </w:rPr>
            </w:pPr>
            <w:r w:rsidRPr="00806BF7">
              <w:rPr>
                <w:rFonts w:cs="Arial"/>
                <w:sz w:val="18"/>
                <w:szCs w:val="18"/>
              </w:rPr>
              <w:t>-15.5%</w:t>
            </w:r>
          </w:p>
        </w:tc>
        <w:tc>
          <w:tcPr>
            <w:tcW w:w="1131" w:type="dxa"/>
            <w:tcMar>
              <w:top w:w="50" w:type="dxa"/>
              <w:left w:w="65" w:type="dxa"/>
              <w:bottom w:w="50" w:type="dxa"/>
              <w:right w:w="65" w:type="dxa"/>
            </w:tcMar>
            <w:vAlign w:val="center"/>
          </w:tcPr>
          <w:p w14:paraId="01229C8F" w14:textId="77777777" w:rsidR="00354F64" w:rsidRPr="00806BF7" w:rsidRDefault="00000000">
            <w:pPr>
              <w:spacing w:after="0"/>
              <w:jc w:val="center"/>
              <w:rPr>
                <w:rFonts w:cs="Arial"/>
                <w:sz w:val="18"/>
                <w:szCs w:val="18"/>
              </w:rPr>
            </w:pPr>
            <w:r w:rsidRPr="00806BF7">
              <w:rPr>
                <w:rFonts w:cs="Arial"/>
                <w:sz w:val="18"/>
                <w:szCs w:val="18"/>
              </w:rPr>
              <w:t>$1.17</w:t>
            </w:r>
          </w:p>
        </w:tc>
        <w:tc>
          <w:tcPr>
            <w:tcW w:w="1057" w:type="dxa"/>
            <w:tcMar>
              <w:top w:w="50" w:type="dxa"/>
              <w:left w:w="65" w:type="dxa"/>
              <w:bottom w:w="50" w:type="dxa"/>
              <w:right w:w="65" w:type="dxa"/>
            </w:tcMar>
            <w:vAlign w:val="center"/>
          </w:tcPr>
          <w:p w14:paraId="27DCC26A" w14:textId="77777777" w:rsidR="00354F64" w:rsidRPr="00806BF7" w:rsidRDefault="00000000">
            <w:pPr>
              <w:spacing w:after="0"/>
              <w:jc w:val="center"/>
              <w:rPr>
                <w:rFonts w:cs="Arial"/>
                <w:sz w:val="18"/>
                <w:szCs w:val="18"/>
              </w:rPr>
            </w:pPr>
            <w:r w:rsidRPr="00806BF7">
              <w:rPr>
                <w:rFonts w:cs="Arial"/>
                <w:sz w:val="18"/>
                <w:szCs w:val="18"/>
              </w:rPr>
              <w:t>13.0%</w:t>
            </w:r>
          </w:p>
        </w:tc>
      </w:tr>
      <w:tr w:rsidR="00354F64" w:rsidRPr="00806BF7" w14:paraId="54DCD0FD" w14:textId="77777777" w:rsidTr="00806BF7">
        <w:tc>
          <w:tcPr>
            <w:tcW w:w="2275" w:type="dxa"/>
            <w:shd w:val="clear" w:color="auto" w:fill="F7F8F8"/>
            <w:tcMar>
              <w:top w:w="50" w:type="dxa"/>
              <w:left w:w="65" w:type="dxa"/>
              <w:bottom w:w="50" w:type="dxa"/>
              <w:right w:w="65" w:type="dxa"/>
            </w:tcMar>
            <w:vAlign w:val="center"/>
          </w:tcPr>
          <w:p w14:paraId="38BF8E08" w14:textId="77777777" w:rsidR="00354F64" w:rsidRPr="00806BF7" w:rsidRDefault="00000000">
            <w:pPr>
              <w:spacing w:after="0"/>
              <w:rPr>
                <w:rFonts w:cs="Arial"/>
                <w:sz w:val="18"/>
                <w:szCs w:val="18"/>
              </w:rPr>
            </w:pPr>
            <w:r w:rsidRPr="00806BF7">
              <w:rPr>
                <w:rFonts w:cs="Arial"/>
                <w:b/>
                <w:sz w:val="18"/>
                <w:szCs w:val="18"/>
              </w:rPr>
              <w:t>Equity Equal Weight</w:t>
            </w:r>
          </w:p>
        </w:tc>
        <w:tc>
          <w:tcPr>
            <w:tcW w:w="1452" w:type="dxa"/>
            <w:shd w:val="clear" w:color="auto" w:fill="F7F8F8"/>
            <w:tcMar>
              <w:top w:w="50" w:type="dxa"/>
              <w:left w:w="65" w:type="dxa"/>
              <w:bottom w:w="50" w:type="dxa"/>
              <w:right w:w="65" w:type="dxa"/>
            </w:tcMar>
            <w:vAlign w:val="center"/>
          </w:tcPr>
          <w:p w14:paraId="27B8951C" w14:textId="77777777" w:rsidR="00354F64" w:rsidRPr="00806BF7" w:rsidRDefault="00000000">
            <w:pPr>
              <w:spacing w:after="0"/>
              <w:jc w:val="center"/>
              <w:rPr>
                <w:rFonts w:cs="Arial"/>
                <w:sz w:val="18"/>
                <w:szCs w:val="18"/>
              </w:rPr>
            </w:pPr>
            <w:r w:rsidRPr="00806BF7">
              <w:rPr>
                <w:rFonts w:cs="Arial"/>
                <w:sz w:val="18"/>
                <w:szCs w:val="18"/>
              </w:rPr>
              <w:t>12.6%</w:t>
            </w:r>
          </w:p>
        </w:tc>
        <w:tc>
          <w:tcPr>
            <w:tcW w:w="1452" w:type="dxa"/>
            <w:shd w:val="clear" w:color="auto" w:fill="F7F8F8"/>
            <w:tcMar>
              <w:top w:w="50" w:type="dxa"/>
              <w:left w:w="65" w:type="dxa"/>
              <w:bottom w:w="50" w:type="dxa"/>
              <w:right w:w="65" w:type="dxa"/>
            </w:tcMar>
            <w:vAlign w:val="center"/>
          </w:tcPr>
          <w:p w14:paraId="6F3D2298" w14:textId="77777777" w:rsidR="00354F64" w:rsidRPr="00806BF7" w:rsidRDefault="00000000">
            <w:pPr>
              <w:spacing w:after="0"/>
              <w:jc w:val="center"/>
              <w:rPr>
                <w:rFonts w:cs="Arial"/>
                <w:sz w:val="18"/>
                <w:szCs w:val="18"/>
              </w:rPr>
            </w:pPr>
            <w:r w:rsidRPr="00806BF7">
              <w:rPr>
                <w:rFonts w:cs="Arial"/>
                <w:sz w:val="18"/>
                <w:szCs w:val="18"/>
              </w:rPr>
              <w:t>16.1%</w:t>
            </w:r>
          </w:p>
        </w:tc>
        <w:tc>
          <w:tcPr>
            <w:tcW w:w="1452" w:type="dxa"/>
            <w:shd w:val="clear" w:color="auto" w:fill="F7F8F8"/>
            <w:tcMar>
              <w:top w:w="50" w:type="dxa"/>
              <w:left w:w="65" w:type="dxa"/>
              <w:bottom w:w="50" w:type="dxa"/>
              <w:right w:w="65" w:type="dxa"/>
            </w:tcMar>
            <w:vAlign w:val="center"/>
          </w:tcPr>
          <w:p w14:paraId="17650FBE" w14:textId="77777777" w:rsidR="00354F64" w:rsidRPr="00806BF7" w:rsidRDefault="00000000">
            <w:pPr>
              <w:spacing w:after="0"/>
              <w:jc w:val="center"/>
              <w:rPr>
                <w:rFonts w:cs="Arial"/>
                <w:sz w:val="18"/>
                <w:szCs w:val="18"/>
              </w:rPr>
            </w:pPr>
            <w:r w:rsidRPr="00806BF7">
              <w:rPr>
                <w:rFonts w:cs="Arial"/>
                <w:sz w:val="18"/>
                <w:szCs w:val="18"/>
              </w:rPr>
              <w:t>0.784</w:t>
            </w:r>
          </w:p>
        </w:tc>
        <w:tc>
          <w:tcPr>
            <w:tcW w:w="1452" w:type="dxa"/>
            <w:shd w:val="clear" w:color="auto" w:fill="F7F8F8"/>
            <w:tcMar>
              <w:top w:w="50" w:type="dxa"/>
              <w:left w:w="65" w:type="dxa"/>
              <w:bottom w:w="50" w:type="dxa"/>
              <w:right w:w="65" w:type="dxa"/>
            </w:tcMar>
            <w:vAlign w:val="center"/>
          </w:tcPr>
          <w:p w14:paraId="1B199C81" w14:textId="77777777" w:rsidR="00354F64" w:rsidRPr="00806BF7" w:rsidRDefault="00000000">
            <w:pPr>
              <w:spacing w:after="0"/>
              <w:jc w:val="center"/>
              <w:rPr>
                <w:rFonts w:cs="Arial"/>
                <w:sz w:val="18"/>
                <w:szCs w:val="18"/>
              </w:rPr>
            </w:pPr>
            <w:r w:rsidRPr="00806BF7">
              <w:rPr>
                <w:rFonts w:cs="Arial"/>
                <w:sz w:val="18"/>
                <w:szCs w:val="18"/>
              </w:rPr>
              <w:t>-20.2%</w:t>
            </w:r>
          </w:p>
        </w:tc>
        <w:tc>
          <w:tcPr>
            <w:tcW w:w="1131" w:type="dxa"/>
            <w:shd w:val="clear" w:color="auto" w:fill="F7F8F8"/>
            <w:tcMar>
              <w:top w:w="50" w:type="dxa"/>
              <w:left w:w="65" w:type="dxa"/>
              <w:bottom w:w="50" w:type="dxa"/>
              <w:right w:w="65" w:type="dxa"/>
            </w:tcMar>
            <w:vAlign w:val="center"/>
          </w:tcPr>
          <w:p w14:paraId="4095C858" w14:textId="77777777" w:rsidR="00354F64" w:rsidRPr="00806BF7" w:rsidRDefault="00000000">
            <w:pPr>
              <w:spacing w:after="0"/>
              <w:jc w:val="center"/>
              <w:rPr>
                <w:rFonts w:cs="Arial"/>
                <w:sz w:val="18"/>
                <w:szCs w:val="18"/>
              </w:rPr>
            </w:pPr>
            <w:r w:rsidRPr="00806BF7">
              <w:rPr>
                <w:rFonts w:cs="Arial"/>
                <w:sz w:val="18"/>
                <w:szCs w:val="18"/>
              </w:rPr>
              <w:t>$1.43</w:t>
            </w:r>
          </w:p>
        </w:tc>
        <w:tc>
          <w:tcPr>
            <w:tcW w:w="1057" w:type="dxa"/>
            <w:shd w:val="clear" w:color="auto" w:fill="F7F8F8"/>
            <w:tcMar>
              <w:top w:w="50" w:type="dxa"/>
              <w:left w:w="65" w:type="dxa"/>
              <w:bottom w:w="50" w:type="dxa"/>
              <w:right w:w="65" w:type="dxa"/>
            </w:tcMar>
            <w:vAlign w:val="center"/>
          </w:tcPr>
          <w:p w14:paraId="4D33BCBF" w14:textId="77777777" w:rsidR="00354F64" w:rsidRPr="00806BF7" w:rsidRDefault="00000000">
            <w:pPr>
              <w:spacing w:after="0"/>
              <w:jc w:val="center"/>
              <w:rPr>
                <w:rFonts w:cs="Arial"/>
                <w:sz w:val="18"/>
                <w:szCs w:val="18"/>
              </w:rPr>
            </w:pPr>
            <w:r w:rsidRPr="00806BF7">
              <w:rPr>
                <w:rFonts w:cs="Arial"/>
                <w:sz w:val="18"/>
                <w:szCs w:val="18"/>
              </w:rPr>
              <w:t>2.6%</w:t>
            </w:r>
          </w:p>
        </w:tc>
      </w:tr>
      <w:tr w:rsidR="00354F64" w:rsidRPr="00806BF7" w14:paraId="1D267860" w14:textId="77777777" w:rsidTr="00806BF7">
        <w:tc>
          <w:tcPr>
            <w:tcW w:w="2275" w:type="dxa"/>
            <w:tcMar>
              <w:top w:w="50" w:type="dxa"/>
              <w:left w:w="65" w:type="dxa"/>
              <w:bottom w:w="50" w:type="dxa"/>
              <w:right w:w="65" w:type="dxa"/>
            </w:tcMar>
            <w:vAlign w:val="center"/>
          </w:tcPr>
          <w:p w14:paraId="364A5F70" w14:textId="77777777" w:rsidR="00354F64" w:rsidRPr="00806BF7" w:rsidRDefault="00000000">
            <w:pPr>
              <w:spacing w:after="0"/>
              <w:rPr>
                <w:rFonts w:cs="Arial"/>
                <w:sz w:val="18"/>
                <w:szCs w:val="18"/>
              </w:rPr>
            </w:pPr>
            <w:r w:rsidRPr="00806BF7">
              <w:rPr>
                <w:rFonts w:cs="Arial"/>
                <w:b/>
                <w:sz w:val="18"/>
                <w:szCs w:val="18"/>
              </w:rPr>
              <w:t>Crypto Min Variance</w:t>
            </w:r>
          </w:p>
        </w:tc>
        <w:tc>
          <w:tcPr>
            <w:tcW w:w="1452" w:type="dxa"/>
            <w:tcMar>
              <w:top w:w="50" w:type="dxa"/>
              <w:left w:w="65" w:type="dxa"/>
              <w:bottom w:w="50" w:type="dxa"/>
              <w:right w:w="65" w:type="dxa"/>
            </w:tcMar>
            <w:vAlign w:val="center"/>
          </w:tcPr>
          <w:p w14:paraId="5E3C2A3F" w14:textId="77777777" w:rsidR="00354F64" w:rsidRPr="00806BF7" w:rsidRDefault="00000000">
            <w:pPr>
              <w:spacing w:after="0"/>
              <w:jc w:val="center"/>
              <w:rPr>
                <w:rFonts w:cs="Arial"/>
                <w:sz w:val="18"/>
                <w:szCs w:val="18"/>
              </w:rPr>
            </w:pPr>
            <w:r w:rsidRPr="00806BF7">
              <w:rPr>
                <w:rFonts w:cs="Arial"/>
                <w:sz w:val="18"/>
                <w:szCs w:val="18"/>
              </w:rPr>
              <w:t>59.8%</w:t>
            </w:r>
          </w:p>
        </w:tc>
        <w:tc>
          <w:tcPr>
            <w:tcW w:w="1452" w:type="dxa"/>
            <w:tcMar>
              <w:top w:w="50" w:type="dxa"/>
              <w:left w:w="65" w:type="dxa"/>
              <w:bottom w:w="50" w:type="dxa"/>
              <w:right w:w="65" w:type="dxa"/>
            </w:tcMar>
            <w:vAlign w:val="center"/>
          </w:tcPr>
          <w:p w14:paraId="452D9591" w14:textId="77777777" w:rsidR="00354F64" w:rsidRPr="00806BF7" w:rsidRDefault="00000000">
            <w:pPr>
              <w:spacing w:after="0"/>
              <w:jc w:val="center"/>
              <w:rPr>
                <w:rFonts w:cs="Arial"/>
                <w:sz w:val="18"/>
                <w:szCs w:val="18"/>
              </w:rPr>
            </w:pPr>
            <w:r w:rsidRPr="00806BF7">
              <w:rPr>
                <w:rFonts w:cs="Arial"/>
                <w:sz w:val="18"/>
                <w:szCs w:val="18"/>
              </w:rPr>
              <w:t>71.6%</w:t>
            </w:r>
          </w:p>
        </w:tc>
        <w:tc>
          <w:tcPr>
            <w:tcW w:w="1452" w:type="dxa"/>
            <w:tcMar>
              <w:top w:w="50" w:type="dxa"/>
              <w:left w:w="65" w:type="dxa"/>
              <w:bottom w:w="50" w:type="dxa"/>
              <w:right w:w="65" w:type="dxa"/>
            </w:tcMar>
            <w:vAlign w:val="center"/>
          </w:tcPr>
          <w:p w14:paraId="00CFBDFC" w14:textId="77777777" w:rsidR="00354F64" w:rsidRPr="00806BF7" w:rsidRDefault="00000000">
            <w:pPr>
              <w:spacing w:after="0"/>
              <w:jc w:val="center"/>
              <w:rPr>
                <w:rFonts w:cs="Arial"/>
                <w:sz w:val="18"/>
                <w:szCs w:val="18"/>
              </w:rPr>
            </w:pPr>
            <w:r w:rsidRPr="00806BF7">
              <w:rPr>
                <w:rFonts w:cs="Arial"/>
                <w:sz w:val="18"/>
                <w:szCs w:val="18"/>
              </w:rPr>
              <w:t>0.836</w:t>
            </w:r>
          </w:p>
        </w:tc>
        <w:tc>
          <w:tcPr>
            <w:tcW w:w="1452" w:type="dxa"/>
            <w:tcMar>
              <w:top w:w="50" w:type="dxa"/>
              <w:left w:w="65" w:type="dxa"/>
              <w:bottom w:w="50" w:type="dxa"/>
              <w:right w:w="65" w:type="dxa"/>
            </w:tcMar>
            <w:vAlign w:val="center"/>
          </w:tcPr>
          <w:p w14:paraId="3CB82C03" w14:textId="77777777" w:rsidR="00354F64" w:rsidRPr="00806BF7" w:rsidRDefault="00000000">
            <w:pPr>
              <w:spacing w:after="0"/>
              <w:jc w:val="center"/>
              <w:rPr>
                <w:rFonts w:cs="Arial"/>
                <w:sz w:val="18"/>
                <w:szCs w:val="18"/>
              </w:rPr>
            </w:pPr>
            <w:r w:rsidRPr="00806BF7">
              <w:rPr>
                <w:rFonts w:cs="Arial"/>
                <w:sz w:val="18"/>
                <w:szCs w:val="18"/>
              </w:rPr>
              <w:t>-72.0%</w:t>
            </w:r>
          </w:p>
        </w:tc>
        <w:tc>
          <w:tcPr>
            <w:tcW w:w="1131" w:type="dxa"/>
            <w:tcMar>
              <w:top w:w="50" w:type="dxa"/>
              <w:left w:w="65" w:type="dxa"/>
              <w:bottom w:w="50" w:type="dxa"/>
              <w:right w:w="65" w:type="dxa"/>
            </w:tcMar>
            <w:vAlign w:val="center"/>
          </w:tcPr>
          <w:p w14:paraId="007D432A" w14:textId="77777777" w:rsidR="00354F64" w:rsidRPr="00806BF7" w:rsidRDefault="00000000">
            <w:pPr>
              <w:spacing w:after="0"/>
              <w:jc w:val="center"/>
              <w:rPr>
                <w:rFonts w:cs="Arial"/>
                <w:sz w:val="18"/>
                <w:szCs w:val="18"/>
              </w:rPr>
            </w:pPr>
            <w:r w:rsidRPr="00806BF7">
              <w:rPr>
                <w:rFonts w:cs="Arial"/>
                <w:sz w:val="18"/>
                <w:szCs w:val="18"/>
              </w:rPr>
              <w:t>$4.08</w:t>
            </w:r>
          </w:p>
        </w:tc>
        <w:tc>
          <w:tcPr>
            <w:tcW w:w="1057" w:type="dxa"/>
            <w:tcMar>
              <w:top w:w="50" w:type="dxa"/>
              <w:left w:w="65" w:type="dxa"/>
              <w:bottom w:w="50" w:type="dxa"/>
              <w:right w:w="65" w:type="dxa"/>
            </w:tcMar>
            <w:vAlign w:val="center"/>
          </w:tcPr>
          <w:p w14:paraId="6086598E" w14:textId="77777777" w:rsidR="00354F64" w:rsidRPr="00806BF7" w:rsidRDefault="00000000">
            <w:pPr>
              <w:spacing w:after="0"/>
              <w:jc w:val="center"/>
              <w:rPr>
                <w:rFonts w:cs="Arial"/>
                <w:sz w:val="18"/>
                <w:szCs w:val="18"/>
              </w:rPr>
            </w:pPr>
            <w:r w:rsidRPr="00806BF7">
              <w:rPr>
                <w:rFonts w:cs="Arial"/>
                <w:sz w:val="18"/>
                <w:szCs w:val="18"/>
              </w:rPr>
              <w:t>10.2%</w:t>
            </w:r>
          </w:p>
        </w:tc>
      </w:tr>
      <w:tr w:rsidR="00354F64" w:rsidRPr="00806BF7" w14:paraId="6BD9E707" w14:textId="77777777" w:rsidTr="00806BF7">
        <w:tc>
          <w:tcPr>
            <w:tcW w:w="2275" w:type="dxa"/>
            <w:shd w:val="clear" w:color="auto" w:fill="F7F8F8"/>
            <w:tcMar>
              <w:top w:w="50" w:type="dxa"/>
              <w:left w:w="65" w:type="dxa"/>
              <w:bottom w:w="50" w:type="dxa"/>
              <w:right w:w="65" w:type="dxa"/>
            </w:tcMar>
            <w:vAlign w:val="center"/>
          </w:tcPr>
          <w:p w14:paraId="67E4CD5E" w14:textId="77777777" w:rsidR="00354F64" w:rsidRPr="00806BF7" w:rsidRDefault="00000000">
            <w:pPr>
              <w:spacing w:after="0"/>
              <w:rPr>
                <w:rFonts w:cs="Arial"/>
                <w:sz w:val="18"/>
                <w:szCs w:val="18"/>
              </w:rPr>
            </w:pPr>
            <w:r w:rsidRPr="00806BF7">
              <w:rPr>
                <w:rFonts w:cs="Arial"/>
                <w:b/>
                <w:sz w:val="18"/>
                <w:szCs w:val="18"/>
              </w:rPr>
              <w:t>Crypto Max Sharpe</w:t>
            </w:r>
          </w:p>
        </w:tc>
        <w:tc>
          <w:tcPr>
            <w:tcW w:w="1452" w:type="dxa"/>
            <w:shd w:val="clear" w:color="auto" w:fill="F7F8F8"/>
            <w:tcMar>
              <w:top w:w="50" w:type="dxa"/>
              <w:left w:w="65" w:type="dxa"/>
              <w:bottom w:w="50" w:type="dxa"/>
              <w:right w:w="65" w:type="dxa"/>
            </w:tcMar>
            <w:vAlign w:val="center"/>
          </w:tcPr>
          <w:p w14:paraId="4FA78ED3" w14:textId="77777777" w:rsidR="00354F64" w:rsidRPr="00806BF7" w:rsidRDefault="00000000">
            <w:pPr>
              <w:spacing w:after="0"/>
              <w:jc w:val="center"/>
              <w:rPr>
                <w:rFonts w:cs="Arial"/>
                <w:sz w:val="18"/>
                <w:szCs w:val="18"/>
              </w:rPr>
            </w:pPr>
            <w:r w:rsidRPr="00806BF7">
              <w:rPr>
                <w:rFonts w:cs="Arial"/>
                <w:sz w:val="18"/>
                <w:szCs w:val="18"/>
              </w:rPr>
              <w:t>-3.0%</w:t>
            </w:r>
          </w:p>
        </w:tc>
        <w:tc>
          <w:tcPr>
            <w:tcW w:w="1452" w:type="dxa"/>
            <w:shd w:val="clear" w:color="auto" w:fill="F7F8F8"/>
            <w:tcMar>
              <w:top w:w="50" w:type="dxa"/>
              <w:left w:w="65" w:type="dxa"/>
              <w:bottom w:w="50" w:type="dxa"/>
              <w:right w:w="65" w:type="dxa"/>
            </w:tcMar>
            <w:vAlign w:val="center"/>
          </w:tcPr>
          <w:p w14:paraId="6A1F2245" w14:textId="77777777" w:rsidR="00354F64" w:rsidRPr="00806BF7" w:rsidRDefault="00000000">
            <w:pPr>
              <w:spacing w:after="0"/>
              <w:jc w:val="center"/>
              <w:rPr>
                <w:rFonts w:cs="Arial"/>
                <w:sz w:val="18"/>
                <w:szCs w:val="18"/>
              </w:rPr>
            </w:pPr>
            <w:r w:rsidRPr="00806BF7">
              <w:rPr>
                <w:rFonts w:cs="Arial"/>
                <w:sz w:val="18"/>
                <w:szCs w:val="18"/>
              </w:rPr>
              <w:t>76.0%</w:t>
            </w:r>
          </w:p>
        </w:tc>
        <w:tc>
          <w:tcPr>
            <w:tcW w:w="1452" w:type="dxa"/>
            <w:shd w:val="clear" w:color="auto" w:fill="F7F8F8"/>
            <w:tcMar>
              <w:top w:w="50" w:type="dxa"/>
              <w:left w:w="65" w:type="dxa"/>
              <w:bottom w:w="50" w:type="dxa"/>
              <w:right w:w="65" w:type="dxa"/>
            </w:tcMar>
            <w:vAlign w:val="center"/>
          </w:tcPr>
          <w:p w14:paraId="4772A74E" w14:textId="77777777" w:rsidR="00354F64" w:rsidRPr="00806BF7" w:rsidRDefault="00000000">
            <w:pPr>
              <w:spacing w:after="0"/>
              <w:jc w:val="center"/>
              <w:rPr>
                <w:rFonts w:cs="Arial"/>
                <w:sz w:val="18"/>
                <w:szCs w:val="18"/>
              </w:rPr>
            </w:pPr>
            <w:r w:rsidRPr="00806BF7">
              <w:rPr>
                <w:rFonts w:cs="Arial"/>
                <w:sz w:val="18"/>
                <w:szCs w:val="18"/>
              </w:rPr>
              <w:t>-0.040</w:t>
            </w:r>
          </w:p>
        </w:tc>
        <w:tc>
          <w:tcPr>
            <w:tcW w:w="1452" w:type="dxa"/>
            <w:shd w:val="clear" w:color="auto" w:fill="F7F8F8"/>
            <w:tcMar>
              <w:top w:w="50" w:type="dxa"/>
              <w:left w:w="65" w:type="dxa"/>
              <w:bottom w:w="50" w:type="dxa"/>
              <w:right w:w="65" w:type="dxa"/>
            </w:tcMar>
            <w:vAlign w:val="center"/>
          </w:tcPr>
          <w:p w14:paraId="148926F1" w14:textId="77777777" w:rsidR="00354F64" w:rsidRPr="00806BF7" w:rsidRDefault="00000000">
            <w:pPr>
              <w:spacing w:after="0"/>
              <w:jc w:val="center"/>
              <w:rPr>
                <w:rFonts w:cs="Arial"/>
                <w:sz w:val="18"/>
                <w:szCs w:val="18"/>
              </w:rPr>
            </w:pPr>
            <w:r w:rsidRPr="00806BF7">
              <w:rPr>
                <w:rFonts w:cs="Arial"/>
                <w:sz w:val="18"/>
                <w:szCs w:val="18"/>
              </w:rPr>
              <w:t>-85.6%</w:t>
            </w:r>
          </w:p>
        </w:tc>
        <w:tc>
          <w:tcPr>
            <w:tcW w:w="1131" w:type="dxa"/>
            <w:shd w:val="clear" w:color="auto" w:fill="F7F8F8"/>
            <w:tcMar>
              <w:top w:w="50" w:type="dxa"/>
              <w:left w:w="65" w:type="dxa"/>
              <w:bottom w:w="50" w:type="dxa"/>
              <w:right w:w="65" w:type="dxa"/>
            </w:tcMar>
            <w:vAlign w:val="center"/>
          </w:tcPr>
          <w:p w14:paraId="6CA7A997" w14:textId="77777777" w:rsidR="00354F64" w:rsidRPr="00806BF7" w:rsidRDefault="00000000">
            <w:pPr>
              <w:spacing w:after="0"/>
              <w:jc w:val="center"/>
              <w:rPr>
                <w:rFonts w:cs="Arial"/>
                <w:sz w:val="18"/>
                <w:szCs w:val="18"/>
              </w:rPr>
            </w:pPr>
            <w:r w:rsidRPr="00806BF7">
              <w:rPr>
                <w:rFonts w:cs="Arial"/>
                <w:sz w:val="18"/>
                <w:szCs w:val="18"/>
              </w:rPr>
              <w:t>$0.91</w:t>
            </w:r>
          </w:p>
        </w:tc>
        <w:tc>
          <w:tcPr>
            <w:tcW w:w="1057" w:type="dxa"/>
            <w:shd w:val="clear" w:color="auto" w:fill="F7F8F8"/>
            <w:tcMar>
              <w:top w:w="50" w:type="dxa"/>
              <w:left w:w="65" w:type="dxa"/>
              <w:bottom w:w="50" w:type="dxa"/>
              <w:right w:w="65" w:type="dxa"/>
            </w:tcMar>
            <w:vAlign w:val="center"/>
          </w:tcPr>
          <w:p w14:paraId="7721EEFA" w14:textId="77777777" w:rsidR="00354F64" w:rsidRPr="00806BF7" w:rsidRDefault="00000000">
            <w:pPr>
              <w:spacing w:after="0"/>
              <w:jc w:val="center"/>
              <w:rPr>
                <w:rFonts w:cs="Arial"/>
                <w:sz w:val="18"/>
                <w:szCs w:val="18"/>
              </w:rPr>
            </w:pPr>
            <w:r w:rsidRPr="00806BF7">
              <w:rPr>
                <w:rFonts w:cs="Arial"/>
                <w:sz w:val="18"/>
                <w:szCs w:val="18"/>
              </w:rPr>
              <w:t>21.8%</w:t>
            </w:r>
          </w:p>
        </w:tc>
      </w:tr>
    </w:tbl>
    <w:p w14:paraId="6715D63A" w14:textId="77777777" w:rsidR="00B62D61" w:rsidRPr="00B62D61" w:rsidRDefault="00B62D61" w:rsidP="00B62D61">
      <w:pPr>
        <w:pStyle w:val="pdq2pgselectionanchorcontainer"/>
        <w:rPr>
          <w:rFonts w:ascii="Arial" w:hAnsi="Arial" w:cs="Arial"/>
          <w:sz w:val="21"/>
          <w:szCs w:val="21"/>
        </w:rPr>
      </w:pPr>
      <w:r w:rsidRPr="00B62D61">
        <w:rPr>
          <w:rFonts w:ascii="Arial" w:hAnsi="Arial" w:cs="Arial"/>
          <w:sz w:val="21"/>
          <w:szCs w:val="21"/>
        </w:rPr>
        <w:t xml:space="preserve">ERC utilizes a log barrier formulation introduced by Spinu (2013) and the use of equal risk contributions to ensure that the far more volatile crypto assets do not receive the same capital weighting as equities solely due to being in the same investment universe. A good example of this is the Equal Weight portfolios. Equity Equal Weight provided a 0.784 Sharpe Ratio while Combined Equal Weight provided a 0.701 Sharpe Ratio, even though annualized return rose from 12.6% to 15.1%. Similarly, volatility rose from 16.1% to 21.6% because ten crypto assets were given the same nominal weighting as fifty equities. On the other hand, Combined Risk Parity performed better than Equity Risk Parity with Sharpe Ratios of 0.862 and 0.682. Therefore, the issue isn’t </w:t>
      </w:r>
      <w:proofErr w:type="gramStart"/>
      <w:r w:rsidRPr="00B62D61">
        <w:rPr>
          <w:rFonts w:ascii="Arial" w:hAnsi="Arial" w:cs="Arial"/>
          <w:sz w:val="21"/>
          <w:szCs w:val="21"/>
        </w:rPr>
        <w:t>whether or not</w:t>
      </w:r>
      <w:proofErr w:type="gramEnd"/>
      <w:r w:rsidRPr="00B62D61">
        <w:rPr>
          <w:rFonts w:ascii="Arial" w:hAnsi="Arial" w:cs="Arial"/>
          <w:sz w:val="21"/>
          <w:szCs w:val="21"/>
        </w:rPr>
        <w:t xml:space="preserve"> to include crypto in a portfolio; however, the question revolves around how well the sizing rule limits crypto volatility from overwhelming the overall portfolio.</w:t>
      </w:r>
    </w:p>
    <w:p w14:paraId="4BC84D2E" w14:textId="77777777" w:rsidR="00B62D61" w:rsidRPr="00B62D61" w:rsidRDefault="00B62D61" w:rsidP="00B62D61">
      <w:pPr>
        <w:pStyle w:val="NormalWeb"/>
        <w:rPr>
          <w:rFonts w:ascii="Arial" w:hAnsi="Arial" w:cs="Arial"/>
          <w:sz w:val="21"/>
          <w:szCs w:val="21"/>
        </w:rPr>
      </w:pPr>
      <w:r w:rsidRPr="00B62D61">
        <w:rPr>
          <w:rFonts w:ascii="Arial" w:hAnsi="Arial" w:cs="Arial"/>
          <w:sz w:val="21"/>
          <w:szCs w:val="21"/>
        </w:rPr>
        <w:t xml:space="preserve">Benchmark results within the equity family contain the most impressive performance result. Equity Equal Weight outperformed </w:t>
      </w:r>
      <w:proofErr w:type="gramStart"/>
      <w:r w:rsidRPr="00B62D61">
        <w:rPr>
          <w:rFonts w:ascii="Arial" w:hAnsi="Arial" w:cs="Arial"/>
          <w:sz w:val="21"/>
          <w:szCs w:val="21"/>
        </w:rPr>
        <w:t>each and every</w:t>
      </w:r>
      <w:proofErr w:type="gramEnd"/>
      <w:r w:rsidRPr="00B62D61">
        <w:rPr>
          <w:rFonts w:ascii="Arial" w:hAnsi="Arial" w:cs="Arial"/>
          <w:sz w:val="21"/>
          <w:szCs w:val="21"/>
        </w:rPr>
        <w:t xml:space="preserve"> optimized equity-only portfolio on Sharpe ratio: .784 versus .682 for </w:t>
      </w:r>
      <w:r w:rsidRPr="00B62D61">
        <w:rPr>
          <w:rFonts w:ascii="Arial" w:hAnsi="Arial" w:cs="Arial"/>
          <w:sz w:val="21"/>
          <w:szCs w:val="21"/>
        </w:rPr>
        <w:lastRenderedPageBreak/>
        <w:t xml:space="preserve">Risk Parity, .611 for HRP, .436 for Minimum Variance and .380 for Maximum Sharpe. This is consistent with DeMiguel et al. (2009) whereby out-of-sample estimation error can remove the theoretical benefits associated with optimization. Additionally, since Maximum Sharpe estimates both expected returns and covariance, whereas Equal Weight estimates none </w:t>
      </w:r>
      <w:proofErr w:type="gramStart"/>
      <w:r w:rsidRPr="00B62D61">
        <w:rPr>
          <w:rFonts w:ascii="Arial" w:hAnsi="Arial" w:cs="Arial"/>
          <w:sz w:val="21"/>
          <w:szCs w:val="21"/>
        </w:rPr>
        <w:t>and also</w:t>
      </w:r>
      <w:proofErr w:type="gramEnd"/>
      <w:r w:rsidRPr="00B62D61">
        <w:rPr>
          <w:rFonts w:ascii="Arial" w:hAnsi="Arial" w:cs="Arial"/>
          <w:sz w:val="21"/>
          <w:szCs w:val="21"/>
        </w:rPr>
        <w:t xml:space="preserve"> exhibits the lowest turnover of all at 2.6%, this clearly demonstrates that adding complexity does not always yield a better product.</w:t>
      </w:r>
    </w:p>
    <w:p w14:paraId="5E45BCF1" w14:textId="77777777" w:rsidR="00B62D61" w:rsidRPr="00B62D61" w:rsidRDefault="00B62D61" w:rsidP="00B62D61">
      <w:pPr>
        <w:pStyle w:val="NormalWeb"/>
        <w:rPr>
          <w:rFonts w:ascii="Arial" w:hAnsi="Arial" w:cs="Arial"/>
          <w:sz w:val="21"/>
          <w:szCs w:val="21"/>
        </w:rPr>
      </w:pPr>
      <w:r w:rsidRPr="00B62D61">
        <w:rPr>
          <w:rFonts w:ascii="Arial" w:hAnsi="Arial" w:cs="Arial"/>
          <w:sz w:val="21"/>
          <w:szCs w:val="21"/>
        </w:rPr>
        <w:t xml:space="preserve">Minimum Variance exhibited approximately what its name suggests, with about 12.6% annualized volatility and the smallest </w:t>
      </w:r>
      <w:proofErr w:type="gramStart"/>
      <w:r w:rsidRPr="00B62D61">
        <w:rPr>
          <w:rFonts w:ascii="Arial" w:hAnsi="Arial" w:cs="Arial"/>
          <w:sz w:val="21"/>
          <w:szCs w:val="21"/>
        </w:rPr>
        <w:t>draw-downs</w:t>
      </w:r>
      <w:proofErr w:type="gramEnd"/>
      <w:r w:rsidRPr="00B62D61">
        <w:rPr>
          <w:rFonts w:ascii="Arial" w:hAnsi="Arial" w:cs="Arial"/>
          <w:sz w:val="21"/>
          <w:szCs w:val="21"/>
        </w:rPr>
        <w:t xml:space="preserve"> among the equity and combined families (-15.3% and -15.5%) while exhibiting an annualized return of just 5.5%. HRP followed López de Prado (2016), grouping dependence relationships together and allocating recursively rather than directly inverting the covariance matrix. Combined HRP exhibited 14.0% volatility, a -17.9% draw-down and a 0.701 Sharpe Ratio. Its contribution comes mainly from an alternative portfolio construction method rather than clearly improved performance.</w:t>
      </w:r>
    </w:p>
    <w:p w14:paraId="346E6496" w14:textId="77777777" w:rsidR="00B62D61" w:rsidRPr="00B62D61" w:rsidRDefault="00B62D61" w:rsidP="00B62D61">
      <w:pPr>
        <w:pStyle w:val="NormalWeb"/>
        <w:rPr>
          <w:rFonts w:ascii="Arial" w:hAnsi="Arial" w:cs="Arial"/>
          <w:sz w:val="21"/>
          <w:szCs w:val="21"/>
        </w:rPr>
      </w:pPr>
      <w:r w:rsidRPr="00B62D61">
        <w:rPr>
          <w:rFonts w:ascii="Arial" w:hAnsi="Arial" w:cs="Arial"/>
          <w:sz w:val="21"/>
          <w:szCs w:val="21"/>
        </w:rPr>
        <w:t xml:space="preserve">The crypto-only family is arguably the most evident demonstration of why utilizing return alone to evaluate a fund can lead to poor decision-making. Crypto Minimum Variance exhibited an annual return of 59.8% and grew $1 to </w:t>
      </w:r>
      <w:proofErr w:type="gramStart"/>
      <w:r w:rsidRPr="00B62D61">
        <w:rPr>
          <w:rFonts w:ascii="Arial" w:hAnsi="Arial" w:cs="Arial"/>
          <w:sz w:val="21"/>
          <w:szCs w:val="21"/>
        </w:rPr>
        <w:t>$4.08, yet</w:t>
      </w:r>
      <w:proofErr w:type="gramEnd"/>
      <w:r w:rsidRPr="00B62D61">
        <w:rPr>
          <w:rFonts w:ascii="Arial" w:hAnsi="Arial" w:cs="Arial"/>
          <w:sz w:val="21"/>
          <w:szCs w:val="21"/>
        </w:rPr>
        <w:t xml:space="preserve"> still exhibited a -72.0% maximum draw-down. Crypto Equal Weight reached a -81.6% draw-down, Crypto HRP achieved a -78.1% draw-down, and Crypto Maximum Sharpe exhibited a -3.0% annual return, -0.040 gross Sharpe, -0.043 net Sharpe, $0.91 ending wealth and an -85.6% draw-down. These funds continue to exist, albeit they should probably be viewed strictly as high-risk crypto exposure rather than as the default diversified </w:t>
      </w:r>
      <w:proofErr w:type="spellStart"/>
      <w:r w:rsidRPr="00B62D61">
        <w:rPr>
          <w:rFonts w:ascii="Arial" w:hAnsi="Arial" w:cs="Arial"/>
          <w:sz w:val="21"/>
          <w:szCs w:val="21"/>
        </w:rPr>
        <w:t>FundX</w:t>
      </w:r>
      <w:proofErr w:type="spellEnd"/>
      <w:r w:rsidRPr="00B62D61">
        <w:rPr>
          <w:rFonts w:ascii="Arial" w:hAnsi="Arial" w:cs="Arial"/>
          <w:sz w:val="21"/>
          <w:szCs w:val="21"/>
        </w:rPr>
        <w:t xml:space="preserve"> product.</w:t>
      </w:r>
    </w:p>
    <w:p w14:paraId="0A158BB6" w14:textId="77777777" w:rsidR="00B62D61" w:rsidRPr="00B62D61" w:rsidRDefault="00B62D61" w:rsidP="00B62D61">
      <w:pPr>
        <w:pStyle w:val="NormalWeb"/>
        <w:rPr>
          <w:rFonts w:ascii="Arial" w:hAnsi="Arial" w:cs="Arial"/>
          <w:sz w:val="21"/>
          <w:szCs w:val="21"/>
        </w:rPr>
      </w:pPr>
      <w:r w:rsidRPr="00B62D61">
        <w:rPr>
          <w:rFonts w:ascii="Arial" w:hAnsi="Arial" w:cs="Arial"/>
          <w:sz w:val="21"/>
          <w:szCs w:val="21"/>
        </w:rPr>
        <w:t>Similarly, Combined Maximum Sharpe illustrates the trade-offs involved in selecting between return and concentration, and ultimately implementation. It yielded an annualized return of 17.3% and $1.61 ending wealth, yet its volatility was 23.2%, its Sharpe ratio was 0.744, and its maximum draw-down was -22.7%. It peaked at approximately $1.73 in April 2022 and subsequently suffered through its deepest draw-down without recovering completely from that event prior to the conclusion of the sample period. This is particularly relevant for retail investors who enter positions close to a historical peak, which can produce a very different investment experience.</w:t>
      </w:r>
    </w:p>
    <w:p w14:paraId="443E6DC4" w14:textId="5232AAD0" w:rsidR="00B23358" w:rsidRPr="00B62D61" w:rsidRDefault="00B62D61" w:rsidP="00B62D61">
      <w:pPr>
        <w:pStyle w:val="NormalWeb"/>
        <w:rPr>
          <w:rFonts w:ascii="Arial" w:hAnsi="Arial" w:cs="Arial"/>
          <w:sz w:val="21"/>
          <w:szCs w:val="21"/>
        </w:rPr>
      </w:pPr>
      <w:r w:rsidRPr="00B62D61">
        <w:rPr>
          <w:rFonts w:ascii="Arial" w:hAnsi="Arial" w:cs="Arial"/>
          <w:sz w:val="21"/>
          <w:szCs w:val="21"/>
        </w:rPr>
        <w:t xml:space="preserve">Therefore, my investigation provides evidence supporting </w:t>
      </w:r>
      <w:proofErr w:type="spellStart"/>
      <w:r w:rsidRPr="00B62D61">
        <w:rPr>
          <w:rFonts w:ascii="Arial" w:hAnsi="Arial" w:cs="Arial"/>
          <w:sz w:val="21"/>
          <w:szCs w:val="21"/>
        </w:rPr>
        <w:t>FundX's</w:t>
      </w:r>
      <w:proofErr w:type="spellEnd"/>
      <w:r w:rsidRPr="00B62D61">
        <w:rPr>
          <w:rFonts w:ascii="Arial" w:hAnsi="Arial" w:cs="Arial"/>
          <w:sz w:val="21"/>
          <w:szCs w:val="21"/>
        </w:rPr>
        <w:t xml:space="preserve"> utilization of a "shelf" model instead of one universally best performer. Minimum Variance is suited for those seeking to prioritize controlling losses, while Equal Weight continues to represent a clear and competitive benchmark, Maximum Sharpe represents a higher return but more concentrated option, and Risk Parity represents a balanced default choice in this sample set. I would not recommend promoting crypto-only funds based upon their high average annualized returns due to the large </w:t>
      </w:r>
      <w:proofErr w:type="gramStart"/>
      <w:r w:rsidRPr="00B62D61">
        <w:rPr>
          <w:rFonts w:ascii="Arial" w:hAnsi="Arial" w:cs="Arial"/>
          <w:sz w:val="21"/>
          <w:szCs w:val="21"/>
        </w:rPr>
        <w:t>draw-downs</w:t>
      </w:r>
      <w:proofErr w:type="gramEnd"/>
      <w:r w:rsidRPr="00B62D61">
        <w:rPr>
          <w:rFonts w:ascii="Arial" w:hAnsi="Arial" w:cs="Arial"/>
          <w:sz w:val="21"/>
          <w:szCs w:val="21"/>
        </w:rPr>
        <w:t xml:space="preserve"> exhibited by these funds ranging from roughly -72% to -86%. The results from the </w:t>
      </w:r>
      <w:proofErr w:type="gramStart"/>
      <w:r w:rsidRPr="00B62D61">
        <w:rPr>
          <w:rFonts w:ascii="Arial" w:hAnsi="Arial" w:cs="Arial"/>
          <w:sz w:val="21"/>
          <w:szCs w:val="21"/>
        </w:rPr>
        <w:t>combined-family</w:t>
      </w:r>
      <w:proofErr w:type="gramEnd"/>
      <w:r w:rsidRPr="00B62D61">
        <w:rPr>
          <w:rFonts w:ascii="Arial" w:hAnsi="Arial" w:cs="Arial"/>
          <w:sz w:val="21"/>
          <w:szCs w:val="21"/>
        </w:rPr>
        <w:t xml:space="preserve"> provide a strong basis for </w:t>
      </w:r>
      <w:proofErr w:type="spellStart"/>
      <w:r w:rsidRPr="00B62D61">
        <w:rPr>
          <w:rFonts w:ascii="Arial" w:hAnsi="Arial" w:cs="Arial"/>
          <w:sz w:val="21"/>
          <w:szCs w:val="21"/>
        </w:rPr>
        <w:t>FundX's</w:t>
      </w:r>
      <w:proofErr w:type="spellEnd"/>
      <w:r w:rsidRPr="00B62D61">
        <w:rPr>
          <w:rFonts w:ascii="Arial" w:hAnsi="Arial" w:cs="Arial"/>
          <w:sz w:val="21"/>
          <w:szCs w:val="21"/>
        </w:rPr>
        <w:t xml:space="preserve"> strategy of creating a diversified product.</w:t>
      </w:r>
    </w:p>
    <w:tbl>
      <w:tblPr>
        <w:tblW w:w="0" w:type="auto"/>
        <w:jc w:val="center"/>
        <w:tblLayout w:type="fixed"/>
        <w:tblLook w:val="04A0" w:firstRow="1" w:lastRow="0" w:firstColumn="1" w:lastColumn="0" w:noHBand="0" w:noVBand="1"/>
      </w:tblPr>
      <w:tblGrid>
        <w:gridCol w:w="10166"/>
      </w:tblGrid>
      <w:tr w:rsidR="00354F64" w:rsidRPr="00C82C71" w14:paraId="1BBEE352" w14:textId="77777777">
        <w:trPr>
          <w:jc w:val="center"/>
        </w:trPr>
        <w:tc>
          <w:tcPr>
            <w:tcW w:w="10166" w:type="dxa"/>
            <w:shd w:val="clear" w:color="auto" w:fill="FFF8E8"/>
            <w:tcMar>
              <w:top w:w="90" w:type="dxa"/>
              <w:left w:w="120" w:type="dxa"/>
              <w:bottom w:w="90" w:type="dxa"/>
              <w:right w:w="120" w:type="dxa"/>
            </w:tcMar>
          </w:tcPr>
          <w:p w14:paraId="34C14D4B" w14:textId="77777777" w:rsidR="00354F64" w:rsidRPr="00C82C71" w:rsidRDefault="00000000">
            <w:pPr>
              <w:spacing w:after="40"/>
              <w:rPr>
                <w:rFonts w:cs="Arial"/>
              </w:rPr>
            </w:pPr>
            <w:r w:rsidRPr="00C82C71">
              <w:rPr>
                <w:rFonts w:cs="Arial"/>
                <w:b/>
                <w:color w:val="E3A82B"/>
                <w:sz w:val="16"/>
              </w:rPr>
              <w:t>INTERPRETATION RULE</w:t>
            </w:r>
          </w:p>
          <w:p w14:paraId="76BF1614" w14:textId="77777777" w:rsidR="00354F64" w:rsidRPr="00C82C71" w:rsidRDefault="00000000">
            <w:pPr>
              <w:spacing w:after="0"/>
              <w:rPr>
                <w:rFonts w:cs="Arial"/>
              </w:rPr>
            </w:pPr>
            <w:r w:rsidRPr="00C82C71">
              <w:rPr>
                <w:rFonts w:cs="Arial"/>
                <w:sz w:val="18"/>
              </w:rPr>
              <w:t>Figure 1 and Figure 5 deliberately tell different stories: Maximum Sharpe finishes with the most money in the combined family, while Risk Parity has the better Sharpe. FundX should not collapse those two questions into a single “best fund” label.</w:t>
            </w:r>
          </w:p>
        </w:tc>
      </w:tr>
    </w:tbl>
    <w:p w14:paraId="05238367" w14:textId="77777777" w:rsidR="00354F64" w:rsidRPr="00C82C71" w:rsidRDefault="00354F64">
      <w:pPr>
        <w:spacing w:after="20"/>
        <w:rPr>
          <w:rFonts w:cs="Arial"/>
        </w:rPr>
      </w:pPr>
    </w:p>
    <w:p w14:paraId="3E74CC40" w14:textId="77777777" w:rsidR="00354F64" w:rsidRDefault="00000000">
      <w:pPr>
        <w:pStyle w:val="Heading1"/>
        <w:pBdr>
          <w:bottom w:val="single" w:sz="8" w:space="2" w:color="1F8A8C"/>
        </w:pBdr>
        <w:rPr>
          <w:rFonts w:ascii="Arial" w:hAnsi="Arial" w:cs="Arial"/>
        </w:rPr>
      </w:pPr>
      <w:r w:rsidRPr="00C82C71">
        <w:rPr>
          <w:rFonts w:ascii="Arial" w:hAnsi="Arial" w:cs="Arial"/>
        </w:rPr>
        <w:t>3. The Standalone Sentiment Index</w:t>
      </w:r>
    </w:p>
    <w:p w14:paraId="72D2C251" w14:textId="77777777" w:rsidR="00B62D61" w:rsidRPr="00B62D61" w:rsidRDefault="00B62D61" w:rsidP="00B62D61">
      <w:pPr>
        <w:pStyle w:val="NormalWeb"/>
        <w:rPr>
          <w:rFonts w:ascii="Arial" w:hAnsi="Arial" w:cs="Arial"/>
          <w:sz w:val="21"/>
          <w:szCs w:val="21"/>
        </w:rPr>
      </w:pPr>
      <w:r w:rsidRPr="00B62D61">
        <w:rPr>
          <w:rFonts w:ascii="Arial" w:hAnsi="Arial" w:cs="Arial"/>
          <w:sz w:val="21"/>
          <w:szCs w:val="21"/>
        </w:rPr>
        <w:t xml:space="preserve">The Part B ETL logic was identical to Part </w:t>
      </w:r>
      <w:proofErr w:type="gramStart"/>
      <w:r w:rsidRPr="00B62D61">
        <w:rPr>
          <w:rFonts w:ascii="Arial" w:hAnsi="Arial" w:cs="Arial"/>
          <w:sz w:val="21"/>
          <w:szCs w:val="21"/>
        </w:rPr>
        <w:t>A's, and</w:t>
      </w:r>
      <w:proofErr w:type="gramEnd"/>
      <w:r w:rsidRPr="00B62D61">
        <w:rPr>
          <w:rFonts w:ascii="Arial" w:hAnsi="Arial" w:cs="Arial"/>
          <w:sz w:val="21"/>
          <w:szCs w:val="21"/>
        </w:rPr>
        <w:t xml:space="preserve"> followed </w:t>
      </w:r>
      <w:proofErr w:type="gramStart"/>
      <w:r w:rsidRPr="00B62D61">
        <w:rPr>
          <w:rFonts w:ascii="Arial" w:hAnsi="Arial" w:cs="Arial"/>
          <w:sz w:val="21"/>
          <w:szCs w:val="21"/>
        </w:rPr>
        <w:t>all of</w:t>
      </w:r>
      <w:proofErr w:type="gramEnd"/>
      <w:r w:rsidRPr="00B62D61">
        <w:rPr>
          <w:rFonts w:ascii="Arial" w:hAnsi="Arial" w:cs="Arial"/>
          <w:sz w:val="21"/>
          <w:szCs w:val="21"/>
        </w:rPr>
        <w:t xml:space="preserve"> the same data rules. Using ticker, date and title; we removed duplicate headlines and reduced our number of headlines by 2847 resulting in a total of 146,836 unique headlines. We converted the date field into a UTC-aware format and assigned each headline to the appropriate trading day (if available) or the next trading day. We decided to keep the raw headline text intact </w:t>
      </w:r>
      <w:proofErr w:type="gramStart"/>
      <w:r w:rsidRPr="00B62D61">
        <w:rPr>
          <w:rFonts w:ascii="Arial" w:hAnsi="Arial" w:cs="Arial"/>
          <w:sz w:val="21"/>
          <w:szCs w:val="21"/>
        </w:rPr>
        <w:t>due to the fact that</w:t>
      </w:r>
      <w:proofErr w:type="gramEnd"/>
      <w:r w:rsidRPr="00B62D61">
        <w:rPr>
          <w:rFonts w:ascii="Arial" w:hAnsi="Arial" w:cs="Arial"/>
          <w:sz w:val="21"/>
          <w:szCs w:val="21"/>
        </w:rPr>
        <w:t xml:space="preserve"> VADER measures sentiment based on punctuation, capitalization, surrounding words etc.</w:t>
      </w:r>
    </w:p>
    <w:p w14:paraId="1A758CB2" w14:textId="77777777" w:rsidR="00B62D61" w:rsidRPr="00B62D61" w:rsidRDefault="00B62D61" w:rsidP="00B62D61">
      <w:pPr>
        <w:pStyle w:val="NormalWeb"/>
        <w:rPr>
          <w:rFonts w:ascii="Arial" w:hAnsi="Arial" w:cs="Arial"/>
          <w:sz w:val="21"/>
          <w:szCs w:val="21"/>
        </w:rPr>
      </w:pPr>
      <w:r w:rsidRPr="00B62D61">
        <w:rPr>
          <w:rFonts w:ascii="Arial" w:hAnsi="Arial" w:cs="Arial"/>
          <w:sz w:val="21"/>
          <w:szCs w:val="21"/>
        </w:rPr>
        <w:t xml:space="preserve">Each headline received a compound score which we first averaged by ticker-day and then by sector-day. We used equal weights for each ticker with news because if one ticker had more news than </w:t>
      </w:r>
      <w:proofErr w:type="gramStart"/>
      <w:r w:rsidRPr="00B62D61">
        <w:rPr>
          <w:rFonts w:ascii="Arial" w:hAnsi="Arial" w:cs="Arial"/>
          <w:sz w:val="21"/>
          <w:szCs w:val="21"/>
        </w:rPr>
        <w:t>another</w:t>
      </w:r>
      <w:proofErr w:type="gramEnd"/>
      <w:r w:rsidRPr="00B62D61">
        <w:rPr>
          <w:rFonts w:ascii="Arial" w:hAnsi="Arial" w:cs="Arial"/>
          <w:sz w:val="21"/>
          <w:szCs w:val="21"/>
        </w:rPr>
        <w:t xml:space="preserve"> we would not want to give that ticker more weight. Since zero is an actual VADER neutral score, and no headline means there is no observation, we did not replace missing ticker-days with zero. Replacing those values with zero </w:t>
      </w:r>
      <w:r w:rsidRPr="00B62D61">
        <w:rPr>
          <w:rFonts w:ascii="Arial" w:hAnsi="Arial" w:cs="Arial"/>
          <w:sz w:val="21"/>
          <w:szCs w:val="21"/>
        </w:rPr>
        <w:lastRenderedPageBreak/>
        <w:t>could potentially make sectors with less news look more stable than they really are. We also lagged sentiment by one trading day so information from day t cannot be used until day t+1.</w:t>
      </w:r>
    </w:p>
    <w:p w14:paraId="2AA35877" w14:textId="77777777" w:rsidR="00B62D61" w:rsidRPr="00B62D61" w:rsidRDefault="00B62D61" w:rsidP="00B62D61">
      <w:pPr>
        <w:pStyle w:val="NormalWeb"/>
        <w:rPr>
          <w:rFonts w:ascii="Arial" w:hAnsi="Arial" w:cs="Arial"/>
          <w:sz w:val="21"/>
          <w:szCs w:val="21"/>
        </w:rPr>
      </w:pPr>
      <w:r w:rsidRPr="00B62D61">
        <w:rPr>
          <w:rFonts w:ascii="Arial" w:hAnsi="Arial" w:cs="Arial"/>
          <w:sz w:val="21"/>
          <w:szCs w:val="21"/>
        </w:rPr>
        <w:t xml:space="preserve">As shown in Figure 6 the average of the 21-day sector indices were mostly above zero. On average, using Plain VADER the headlines have a +0.106 rating, where 37.4% are positive, 13.0% negative, and 49.6% neutral. As seen during the March 2020 COVID-19 shock when OXY fell 52% the index was affected by the event but did not become strongly negative. This suggests that the index reflects more than just market stress, including company announcements, publisher selection, and differences in what gets reported. However, Utilities remained higher than most other sectors; </w:t>
      </w:r>
      <w:proofErr w:type="gramStart"/>
      <w:r w:rsidRPr="00B62D61">
        <w:rPr>
          <w:rFonts w:ascii="Arial" w:hAnsi="Arial" w:cs="Arial"/>
          <w:sz w:val="21"/>
          <w:szCs w:val="21"/>
        </w:rPr>
        <w:t>however</w:t>
      </w:r>
      <w:proofErr w:type="gramEnd"/>
      <w:r w:rsidRPr="00B62D61">
        <w:rPr>
          <w:rFonts w:ascii="Arial" w:hAnsi="Arial" w:cs="Arial"/>
          <w:sz w:val="21"/>
          <w:szCs w:val="21"/>
        </w:rPr>
        <w:t xml:space="preserve"> since news coverage can vary depending on the sector I consider this to be more descriptive.</w:t>
      </w:r>
    </w:p>
    <w:p w14:paraId="578591DD" w14:textId="77777777" w:rsidR="00B62D61" w:rsidRPr="00B62D61" w:rsidRDefault="00B62D61" w:rsidP="00B62D61">
      <w:pPr>
        <w:pStyle w:val="NormalWeb"/>
        <w:rPr>
          <w:rFonts w:ascii="Arial" w:hAnsi="Arial" w:cs="Arial"/>
          <w:sz w:val="21"/>
          <w:szCs w:val="21"/>
        </w:rPr>
      </w:pPr>
      <w:r w:rsidRPr="00B62D61">
        <w:rPr>
          <w:rFonts w:ascii="Arial" w:hAnsi="Arial" w:cs="Arial"/>
          <w:sz w:val="21"/>
          <w:szCs w:val="21"/>
        </w:rPr>
        <w:t xml:space="preserve">Therefore, I will treat the index as a relative measure of news tone rather than a direct measure of investor sentiment. It only uses headlines, and general-purpose VADER still produces a large neutral share. Part A already predicted that roughly half of the headlines would be neutral so the actual 49.6% supports limitations identified before results were known for Part B. Also, the positive average score does not mean investors were consistently optimistic. Due to these </w:t>
      </w:r>
      <w:proofErr w:type="gramStart"/>
      <w:r w:rsidRPr="00B62D61">
        <w:rPr>
          <w:rFonts w:ascii="Arial" w:hAnsi="Arial" w:cs="Arial"/>
          <w:sz w:val="21"/>
          <w:szCs w:val="21"/>
        </w:rPr>
        <w:t>limitations</w:t>
      </w:r>
      <w:proofErr w:type="gramEnd"/>
      <w:r w:rsidRPr="00B62D61">
        <w:rPr>
          <w:rFonts w:ascii="Arial" w:hAnsi="Arial" w:cs="Arial"/>
          <w:sz w:val="21"/>
          <w:szCs w:val="21"/>
        </w:rPr>
        <w:t xml:space="preserve"> we developed both the Fin-VADER extension and fusion test. The fusion test asked whether the sentiment signal </w:t>
      </w:r>
      <w:proofErr w:type="gramStart"/>
      <w:r w:rsidRPr="00B62D61">
        <w:rPr>
          <w:rFonts w:ascii="Arial" w:hAnsi="Arial" w:cs="Arial"/>
          <w:sz w:val="21"/>
          <w:szCs w:val="21"/>
        </w:rPr>
        <w:t>actually improves</w:t>
      </w:r>
      <w:proofErr w:type="gramEnd"/>
      <w:r w:rsidRPr="00B62D61">
        <w:rPr>
          <w:rFonts w:ascii="Arial" w:hAnsi="Arial" w:cs="Arial"/>
          <w:sz w:val="21"/>
          <w:szCs w:val="21"/>
        </w:rPr>
        <w:t xml:space="preserve"> an economically meaningful portfolio outcome once lagged. It does not, therefore we separate better sentiment measurement from better investment performance.</w:t>
      </w:r>
    </w:p>
    <w:p w14:paraId="38DB13F2" w14:textId="77777777" w:rsidR="00345269" w:rsidRPr="00345269" w:rsidRDefault="00345269" w:rsidP="00345269">
      <w:pPr>
        <w:rPr>
          <w:rFonts w:cs="Arial"/>
          <w:sz w:val="21"/>
          <w:szCs w:val="21"/>
        </w:rPr>
      </w:pPr>
    </w:p>
    <w:p w14:paraId="77182573" w14:textId="77777777" w:rsidR="00354F64" w:rsidRPr="00C82C71" w:rsidRDefault="00000000">
      <w:pPr>
        <w:pStyle w:val="Heading1"/>
        <w:pBdr>
          <w:bottom w:val="single" w:sz="8" w:space="2" w:color="1F8A8C"/>
        </w:pBdr>
        <w:rPr>
          <w:rFonts w:ascii="Arial" w:hAnsi="Arial" w:cs="Arial"/>
        </w:rPr>
      </w:pPr>
      <w:r w:rsidRPr="00C82C71">
        <w:rPr>
          <w:rFonts w:ascii="Arial" w:hAnsi="Arial" w:cs="Arial"/>
        </w:rPr>
        <w:t>4. Extensions, Innovation and What the Evidence Changed</w:t>
      </w:r>
    </w:p>
    <w:p w14:paraId="33F07EC1" w14:textId="4BBAF850" w:rsidR="006B1AAF" w:rsidRPr="007C7AA5" w:rsidRDefault="007C7AA5">
      <w:pPr>
        <w:rPr>
          <w:rFonts w:cs="Arial"/>
          <w:color w:val="000000" w:themeColor="text1"/>
          <w:sz w:val="21"/>
          <w:szCs w:val="21"/>
        </w:rPr>
      </w:pPr>
      <w:r w:rsidRPr="007C7AA5">
        <w:rPr>
          <w:color w:val="000000" w:themeColor="text1"/>
          <w:sz w:val="21"/>
          <w:szCs w:val="21"/>
        </w:rPr>
        <w:t xml:space="preserve">This project relies on multiple innovations to deliver an effective product. A new portfolio methodology via HRP and a finance-specific sentiment lexicon are added, as well as a look-ahead safe fusion test, turnover costs, a block bootstrap robustness check, and a design system for </w:t>
      </w:r>
      <w:proofErr w:type="spellStart"/>
      <w:r w:rsidRPr="007C7AA5">
        <w:rPr>
          <w:color w:val="000000" w:themeColor="text1"/>
          <w:sz w:val="21"/>
          <w:szCs w:val="21"/>
        </w:rPr>
        <w:t>FundX</w:t>
      </w:r>
      <w:proofErr w:type="spellEnd"/>
      <w:r w:rsidRPr="007C7AA5">
        <w:rPr>
          <w:color w:val="000000" w:themeColor="text1"/>
          <w:sz w:val="21"/>
          <w:szCs w:val="21"/>
        </w:rPr>
        <w:t>. While it's important to note the number of these elements, the focus should be placed on whether they create a measurable effect in my evaluation of the product, its creation or presentation.</w:t>
      </w:r>
    </w:p>
    <w:tbl>
      <w:tblPr>
        <w:tblStyle w:val="TableGrid"/>
        <w:tblW w:w="10065" w:type="dxa"/>
        <w:jc w:val="center"/>
        <w:tblLayout w:type="fixed"/>
        <w:tblLook w:val="04A0" w:firstRow="1" w:lastRow="0" w:firstColumn="1" w:lastColumn="0" w:noHBand="0" w:noVBand="1"/>
      </w:tblPr>
      <w:tblGrid>
        <w:gridCol w:w="2637"/>
        <w:gridCol w:w="3600"/>
        <w:gridCol w:w="3828"/>
      </w:tblGrid>
      <w:tr w:rsidR="00354F64" w:rsidRPr="007C7AA5" w14:paraId="35602D46" w14:textId="77777777" w:rsidTr="006B1AAF">
        <w:trPr>
          <w:tblHeader/>
          <w:jc w:val="center"/>
        </w:trPr>
        <w:tc>
          <w:tcPr>
            <w:tcW w:w="2637" w:type="dxa"/>
            <w:shd w:val="clear" w:color="auto" w:fill="12283F"/>
            <w:tcMar>
              <w:top w:w="55" w:type="dxa"/>
              <w:left w:w="65" w:type="dxa"/>
              <w:bottom w:w="55" w:type="dxa"/>
              <w:right w:w="65" w:type="dxa"/>
            </w:tcMar>
            <w:vAlign w:val="center"/>
          </w:tcPr>
          <w:p w14:paraId="5ED1D1FC" w14:textId="77777777" w:rsidR="00354F64" w:rsidRPr="007C7AA5" w:rsidRDefault="00000000">
            <w:pPr>
              <w:spacing w:after="0"/>
              <w:jc w:val="center"/>
              <w:rPr>
                <w:rFonts w:cs="Arial"/>
                <w:sz w:val="18"/>
                <w:szCs w:val="18"/>
              </w:rPr>
            </w:pPr>
            <w:r w:rsidRPr="007C7AA5">
              <w:rPr>
                <w:rFonts w:cs="Arial"/>
                <w:b/>
                <w:color w:val="FFFFFF"/>
                <w:sz w:val="18"/>
                <w:szCs w:val="18"/>
              </w:rPr>
              <w:t>Extension</w:t>
            </w:r>
          </w:p>
        </w:tc>
        <w:tc>
          <w:tcPr>
            <w:tcW w:w="3600" w:type="dxa"/>
            <w:shd w:val="clear" w:color="auto" w:fill="12283F"/>
            <w:tcMar>
              <w:top w:w="55" w:type="dxa"/>
              <w:left w:w="65" w:type="dxa"/>
              <w:bottom w:w="55" w:type="dxa"/>
              <w:right w:w="65" w:type="dxa"/>
            </w:tcMar>
            <w:vAlign w:val="center"/>
          </w:tcPr>
          <w:p w14:paraId="3271A1EA" w14:textId="77777777" w:rsidR="00354F64" w:rsidRPr="007C7AA5" w:rsidRDefault="00000000">
            <w:pPr>
              <w:spacing w:after="0"/>
              <w:jc w:val="center"/>
              <w:rPr>
                <w:rFonts w:cs="Arial"/>
                <w:sz w:val="18"/>
                <w:szCs w:val="18"/>
              </w:rPr>
            </w:pPr>
            <w:r w:rsidRPr="007C7AA5">
              <w:rPr>
                <w:rFonts w:cs="Arial"/>
                <w:b/>
                <w:color w:val="FFFFFF"/>
                <w:sz w:val="18"/>
                <w:szCs w:val="18"/>
              </w:rPr>
              <w:t>What was implemented</w:t>
            </w:r>
          </w:p>
        </w:tc>
        <w:tc>
          <w:tcPr>
            <w:tcW w:w="3828" w:type="dxa"/>
            <w:shd w:val="clear" w:color="auto" w:fill="12283F"/>
            <w:tcMar>
              <w:top w:w="55" w:type="dxa"/>
              <w:left w:w="65" w:type="dxa"/>
              <w:bottom w:w="55" w:type="dxa"/>
              <w:right w:w="65" w:type="dxa"/>
            </w:tcMar>
            <w:vAlign w:val="center"/>
          </w:tcPr>
          <w:p w14:paraId="4C5D6107" w14:textId="77777777" w:rsidR="00354F64" w:rsidRPr="007C7AA5" w:rsidRDefault="00000000">
            <w:pPr>
              <w:spacing w:after="0"/>
              <w:jc w:val="center"/>
              <w:rPr>
                <w:rFonts w:cs="Arial"/>
                <w:sz w:val="18"/>
                <w:szCs w:val="18"/>
              </w:rPr>
            </w:pPr>
            <w:r w:rsidRPr="007C7AA5">
              <w:rPr>
                <w:rFonts w:cs="Arial"/>
                <w:b/>
                <w:color w:val="FFFFFF"/>
                <w:sz w:val="18"/>
                <w:szCs w:val="18"/>
              </w:rPr>
              <w:t>Evidence / decision</w:t>
            </w:r>
          </w:p>
        </w:tc>
      </w:tr>
      <w:tr w:rsidR="00354F64" w:rsidRPr="007C7AA5" w14:paraId="1A3CAC6A" w14:textId="77777777" w:rsidTr="006B1AAF">
        <w:trPr>
          <w:jc w:val="center"/>
        </w:trPr>
        <w:tc>
          <w:tcPr>
            <w:tcW w:w="2637" w:type="dxa"/>
            <w:tcMar>
              <w:top w:w="50" w:type="dxa"/>
              <w:left w:w="65" w:type="dxa"/>
              <w:bottom w:w="50" w:type="dxa"/>
              <w:right w:w="65" w:type="dxa"/>
            </w:tcMar>
            <w:vAlign w:val="center"/>
          </w:tcPr>
          <w:p w14:paraId="45B5A734" w14:textId="77777777" w:rsidR="00354F64" w:rsidRPr="007C7AA5" w:rsidRDefault="00000000">
            <w:pPr>
              <w:spacing w:after="0"/>
              <w:rPr>
                <w:rFonts w:cs="Arial"/>
                <w:sz w:val="18"/>
                <w:szCs w:val="18"/>
              </w:rPr>
            </w:pPr>
            <w:r w:rsidRPr="007C7AA5">
              <w:rPr>
                <w:rFonts w:cs="Arial"/>
                <w:b/>
                <w:sz w:val="18"/>
                <w:szCs w:val="18"/>
              </w:rPr>
              <w:t>HRP</w:t>
            </w:r>
          </w:p>
        </w:tc>
        <w:tc>
          <w:tcPr>
            <w:tcW w:w="3600" w:type="dxa"/>
            <w:tcMar>
              <w:top w:w="50" w:type="dxa"/>
              <w:left w:w="65" w:type="dxa"/>
              <w:bottom w:w="50" w:type="dxa"/>
              <w:right w:w="65" w:type="dxa"/>
            </w:tcMar>
            <w:vAlign w:val="center"/>
          </w:tcPr>
          <w:p w14:paraId="64DC4862" w14:textId="77777777" w:rsidR="00354F64" w:rsidRPr="007C7AA5" w:rsidRDefault="00000000">
            <w:pPr>
              <w:spacing w:after="0"/>
              <w:jc w:val="center"/>
              <w:rPr>
                <w:rFonts w:cs="Arial"/>
                <w:sz w:val="18"/>
                <w:szCs w:val="18"/>
              </w:rPr>
            </w:pPr>
            <w:r w:rsidRPr="007C7AA5">
              <w:rPr>
                <w:rFonts w:cs="Arial"/>
                <w:sz w:val="18"/>
                <w:szCs w:val="18"/>
              </w:rPr>
              <w:t>Clustering-based allocation alongside four conventional methods</w:t>
            </w:r>
          </w:p>
        </w:tc>
        <w:tc>
          <w:tcPr>
            <w:tcW w:w="3828" w:type="dxa"/>
            <w:tcMar>
              <w:top w:w="50" w:type="dxa"/>
              <w:left w:w="65" w:type="dxa"/>
              <w:bottom w:w="50" w:type="dxa"/>
              <w:right w:w="65" w:type="dxa"/>
            </w:tcMar>
            <w:vAlign w:val="center"/>
          </w:tcPr>
          <w:p w14:paraId="71D1D747" w14:textId="77777777" w:rsidR="00354F64" w:rsidRPr="007C7AA5" w:rsidRDefault="00000000">
            <w:pPr>
              <w:spacing w:after="0"/>
              <w:jc w:val="center"/>
              <w:rPr>
                <w:rFonts w:cs="Arial"/>
                <w:sz w:val="18"/>
                <w:szCs w:val="18"/>
              </w:rPr>
            </w:pPr>
            <w:r w:rsidRPr="007C7AA5">
              <w:rPr>
                <w:rFonts w:cs="Arial"/>
                <w:sz w:val="18"/>
                <w:szCs w:val="18"/>
              </w:rPr>
              <w:t>Adds a distinct, lower-volatility construction rule; does not beat the best benchmark</w:t>
            </w:r>
          </w:p>
        </w:tc>
      </w:tr>
      <w:tr w:rsidR="00354F64" w:rsidRPr="007C7AA5" w14:paraId="5BA082A6" w14:textId="77777777" w:rsidTr="006B1AAF">
        <w:trPr>
          <w:jc w:val="center"/>
        </w:trPr>
        <w:tc>
          <w:tcPr>
            <w:tcW w:w="2637" w:type="dxa"/>
            <w:shd w:val="clear" w:color="auto" w:fill="F7F8F8"/>
            <w:tcMar>
              <w:top w:w="50" w:type="dxa"/>
              <w:left w:w="65" w:type="dxa"/>
              <w:bottom w:w="50" w:type="dxa"/>
              <w:right w:w="65" w:type="dxa"/>
            </w:tcMar>
            <w:vAlign w:val="center"/>
          </w:tcPr>
          <w:p w14:paraId="24AF2E75" w14:textId="77777777" w:rsidR="00354F64" w:rsidRPr="007C7AA5" w:rsidRDefault="00000000">
            <w:pPr>
              <w:spacing w:after="0"/>
              <w:rPr>
                <w:rFonts w:cs="Arial"/>
                <w:sz w:val="18"/>
                <w:szCs w:val="18"/>
              </w:rPr>
            </w:pPr>
            <w:r w:rsidRPr="007C7AA5">
              <w:rPr>
                <w:rFonts w:cs="Arial"/>
                <w:b/>
                <w:sz w:val="18"/>
                <w:szCs w:val="18"/>
              </w:rPr>
              <w:t>Fin-VADER</w:t>
            </w:r>
          </w:p>
        </w:tc>
        <w:tc>
          <w:tcPr>
            <w:tcW w:w="3600" w:type="dxa"/>
            <w:shd w:val="clear" w:color="auto" w:fill="F7F8F8"/>
            <w:tcMar>
              <w:top w:w="50" w:type="dxa"/>
              <w:left w:w="65" w:type="dxa"/>
              <w:bottom w:w="50" w:type="dxa"/>
              <w:right w:w="65" w:type="dxa"/>
            </w:tcMar>
            <w:vAlign w:val="center"/>
          </w:tcPr>
          <w:p w14:paraId="6F961113" w14:textId="77777777" w:rsidR="00354F64" w:rsidRPr="007C7AA5" w:rsidRDefault="00000000">
            <w:pPr>
              <w:spacing w:after="0"/>
              <w:jc w:val="center"/>
              <w:rPr>
                <w:rFonts w:cs="Arial"/>
                <w:sz w:val="18"/>
                <w:szCs w:val="18"/>
              </w:rPr>
            </w:pPr>
            <w:r w:rsidRPr="007C7AA5">
              <w:rPr>
                <w:rFonts w:cs="Arial"/>
                <w:sz w:val="18"/>
                <w:szCs w:val="18"/>
              </w:rPr>
              <w:t>~90 curated finance terms/phrases added to VADER</w:t>
            </w:r>
          </w:p>
        </w:tc>
        <w:tc>
          <w:tcPr>
            <w:tcW w:w="3828" w:type="dxa"/>
            <w:shd w:val="clear" w:color="auto" w:fill="F7F8F8"/>
            <w:tcMar>
              <w:top w:w="50" w:type="dxa"/>
              <w:left w:w="65" w:type="dxa"/>
              <w:bottom w:w="50" w:type="dxa"/>
              <w:right w:w="65" w:type="dxa"/>
            </w:tcMar>
            <w:vAlign w:val="center"/>
          </w:tcPr>
          <w:p w14:paraId="6B19E62F" w14:textId="77777777" w:rsidR="00354F64" w:rsidRPr="007C7AA5" w:rsidRDefault="00000000">
            <w:pPr>
              <w:spacing w:after="0"/>
              <w:jc w:val="center"/>
              <w:rPr>
                <w:rFonts w:cs="Arial"/>
                <w:sz w:val="18"/>
                <w:szCs w:val="18"/>
              </w:rPr>
            </w:pPr>
            <w:r w:rsidRPr="007C7AA5">
              <w:rPr>
                <w:rFonts w:cs="Arial"/>
                <w:sz w:val="18"/>
                <w:szCs w:val="18"/>
              </w:rPr>
              <w:t>Neutral share 49.6% -&gt; 45.2%; measurement improves, performance does not</w:t>
            </w:r>
          </w:p>
        </w:tc>
      </w:tr>
      <w:tr w:rsidR="00354F64" w:rsidRPr="007C7AA5" w14:paraId="320B416E" w14:textId="77777777" w:rsidTr="006B1AAF">
        <w:trPr>
          <w:jc w:val="center"/>
        </w:trPr>
        <w:tc>
          <w:tcPr>
            <w:tcW w:w="2637" w:type="dxa"/>
            <w:tcMar>
              <w:top w:w="50" w:type="dxa"/>
              <w:left w:w="65" w:type="dxa"/>
              <w:bottom w:w="50" w:type="dxa"/>
              <w:right w:w="65" w:type="dxa"/>
            </w:tcMar>
            <w:vAlign w:val="center"/>
          </w:tcPr>
          <w:p w14:paraId="37C0F199" w14:textId="77777777" w:rsidR="00354F64" w:rsidRPr="007C7AA5" w:rsidRDefault="00000000">
            <w:pPr>
              <w:spacing w:after="0"/>
              <w:rPr>
                <w:rFonts w:cs="Arial"/>
                <w:sz w:val="18"/>
                <w:szCs w:val="18"/>
              </w:rPr>
            </w:pPr>
            <w:r w:rsidRPr="007C7AA5">
              <w:rPr>
                <w:rFonts w:cs="Arial"/>
                <w:b/>
                <w:sz w:val="18"/>
                <w:szCs w:val="18"/>
              </w:rPr>
              <w:t>Sentiment fusion</w:t>
            </w:r>
          </w:p>
        </w:tc>
        <w:tc>
          <w:tcPr>
            <w:tcW w:w="3600" w:type="dxa"/>
            <w:tcMar>
              <w:top w:w="50" w:type="dxa"/>
              <w:left w:w="65" w:type="dxa"/>
              <w:bottom w:w="50" w:type="dxa"/>
              <w:right w:w="65" w:type="dxa"/>
            </w:tcMar>
            <w:vAlign w:val="center"/>
          </w:tcPr>
          <w:p w14:paraId="00014584" w14:textId="77777777" w:rsidR="00354F64" w:rsidRPr="007C7AA5" w:rsidRDefault="00000000">
            <w:pPr>
              <w:spacing w:after="0"/>
              <w:jc w:val="center"/>
              <w:rPr>
                <w:rFonts w:cs="Arial"/>
                <w:sz w:val="18"/>
                <w:szCs w:val="18"/>
              </w:rPr>
            </w:pPr>
            <w:r w:rsidRPr="007C7AA5">
              <w:rPr>
                <w:rFonts w:cs="Arial"/>
                <w:sz w:val="18"/>
                <w:szCs w:val="18"/>
              </w:rPr>
              <w:t>Lagged 21-day sector z-score tilt with bounded multipliers</w:t>
            </w:r>
          </w:p>
        </w:tc>
        <w:tc>
          <w:tcPr>
            <w:tcW w:w="3828" w:type="dxa"/>
            <w:tcMar>
              <w:top w:w="50" w:type="dxa"/>
              <w:left w:w="65" w:type="dxa"/>
              <w:bottom w:w="50" w:type="dxa"/>
              <w:right w:w="65" w:type="dxa"/>
            </w:tcMar>
            <w:vAlign w:val="center"/>
          </w:tcPr>
          <w:p w14:paraId="4BD47EA4" w14:textId="77777777" w:rsidR="00354F64" w:rsidRPr="007C7AA5" w:rsidRDefault="00000000">
            <w:pPr>
              <w:spacing w:after="0"/>
              <w:jc w:val="center"/>
              <w:rPr>
                <w:rFonts w:cs="Arial"/>
                <w:sz w:val="18"/>
                <w:szCs w:val="18"/>
              </w:rPr>
            </w:pPr>
            <w:r w:rsidRPr="007C7AA5">
              <w:rPr>
                <w:rFonts w:cs="Arial"/>
                <w:sz w:val="18"/>
                <w:szCs w:val="18"/>
              </w:rPr>
              <w:t>Sharpe 0.380 -&gt; 0.342; do not market it as alpha</w:t>
            </w:r>
          </w:p>
        </w:tc>
      </w:tr>
      <w:tr w:rsidR="00354F64" w:rsidRPr="007C7AA5" w14:paraId="61AF7D70" w14:textId="77777777" w:rsidTr="006B1AAF">
        <w:trPr>
          <w:jc w:val="center"/>
        </w:trPr>
        <w:tc>
          <w:tcPr>
            <w:tcW w:w="2637" w:type="dxa"/>
            <w:shd w:val="clear" w:color="auto" w:fill="F7F8F8"/>
            <w:tcMar>
              <w:top w:w="50" w:type="dxa"/>
              <w:left w:w="65" w:type="dxa"/>
              <w:bottom w:w="50" w:type="dxa"/>
              <w:right w:w="65" w:type="dxa"/>
            </w:tcMar>
            <w:vAlign w:val="center"/>
          </w:tcPr>
          <w:p w14:paraId="74D9F738" w14:textId="77777777" w:rsidR="00354F64" w:rsidRPr="007C7AA5" w:rsidRDefault="00000000">
            <w:pPr>
              <w:spacing w:after="0"/>
              <w:rPr>
                <w:rFonts w:cs="Arial"/>
                <w:sz w:val="18"/>
                <w:szCs w:val="18"/>
              </w:rPr>
            </w:pPr>
            <w:r w:rsidRPr="007C7AA5">
              <w:rPr>
                <w:rFonts w:cs="Arial"/>
                <w:b/>
                <w:sz w:val="18"/>
                <w:szCs w:val="18"/>
              </w:rPr>
              <w:t>Turnover costs</w:t>
            </w:r>
          </w:p>
        </w:tc>
        <w:tc>
          <w:tcPr>
            <w:tcW w:w="3600" w:type="dxa"/>
            <w:shd w:val="clear" w:color="auto" w:fill="F7F8F8"/>
            <w:tcMar>
              <w:top w:w="50" w:type="dxa"/>
              <w:left w:w="65" w:type="dxa"/>
              <w:bottom w:w="50" w:type="dxa"/>
              <w:right w:w="65" w:type="dxa"/>
            </w:tcMar>
            <w:vAlign w:val="center"/>
          </w:tcPr>
          <w:p w14:paraId="68EE0C83" w14:textId="77777777" w:rsidR="00354F64" w:rsidRPr="007C7AA5" w:rsidRDefault="00000000">
            <w:pPr>
              <w:spacing w:after="0"/>
              <w:jc w:val="center"/>
              <w:rPr>
                <w:rFonts w:cs="Arial"/>
                <w:sz w:val="18"/>
                <w:szCs w:val="18"/>
              </w:rPr>
            </w:pPr>
            <w:r w:rsidRPr="007C7AA5">
              <w:rPr>
                <w:rFonts w:cs="Arial"/>
                <w:sz w:val="18"/>
                <w:szCs w:val="18"/>
              </w:rPr>
              <w:t>10 bps x drift-adjusted turnover at rebalances</w:t>
            </w:r>
          </w:p>
        </w:tc>
        <w:tc>
          <w:tcPr>
            <w:tcW w:w="3828" w:type="dxa"/>
            <w:shd w:val="clear" w:color="auto" w:fill="F7F8F8"/>
            <w:tcMar>
              <w:top w:w="50" w:type="dxa"/>
              <w:left w:w="65" w:type="dxa"/>
              <w:bottom w:w="50" w:type="dxa"/>
              <w:right w:w="65" w:type="dxa"/>
            </w:tcMar>
            <w:vAlign w:val="center"/>
          </w:tcPr>
          <w:p w14:paraId="0F62F075" w14:textId="77777777" w:rsidR="00354F64" w:rsidRPr="007C7AA5" w:rsidRDefault="00000000">
            <w:pPr>
              <w:spacing w:after="0"/>
              <w:jc w:val="center"/>
              <w:rPr>
                <w:rFonts w:cs="Arial"/>
                <w:sz w:val="18"/>
                <w:szCs w:val="18"/>
              </w:rPr>
            </w:pPr>
            <w:r w:rsidRPr="007C7AA5">
              <w:rPr>
                <w:rFonts w:cs="Arial"/>
                <w:sz w:val="18"/>
                <w:szCs w:val="18"/>
              </w:rPr>
              <w:t>Penalises Max Sharpe more than Risk Parity; rankings mostly unchanged</w:t>
            </w:r>
          </w:p>
        </w:tc>
      </w:tr>
      <w:tr w:rsidR="00354F64" w:rsidRPr="007C7AA5" w14:paraId="02417899" w14:textId="77777777" w:rsidTr="006B1AAF">
        <w:trPr>
          <w:jc w:val="center"/>
        </w:trPr>
        <w:tc>
          <w:tcPr>
            <w:tcW w:w="2637" w:type="dxa"/>
            <w:tcMar>
              <w:top w:w="50" w:type="dxa"/>
              <w:left w:w="65" w:type="dxa"/>
              <w:bottom w:w="50" w:type="dxa"/>
              <w:right w:w="65" w:type="dxa"/>
            </w:tcMar>
            <w:vAlign w:val="center"/>
          </w:tcPr>
          <w:p w14:paraId="246C0FB9" w14:textId="77777777" w:rsidR="00354F64" w:rsidRPr="007C7AA5" w:rsidRDefault="00000000">
            <w:pPr>
              <w:spacing w:after="0"/>
              <w:rPr>
                <w:rFonts w:cs="Arial"/>
                <w:sz w:val="18"/>
                <w:szCs w:val="18"/>
              </w:rPr>
            </w:pPr>
            <w:r w:rsidRPr="007C7AA5">
              <w:rPr>
                <w:rFonts w:cs="Arial"/>
                <w:b/>
                <w:sz w:val="18"/>
                <w:szCs w:val="18"/>
              </w:rPr>
              <w:t>Block bootstrap</w:t>
            </w:r>
          </w:p>
        </w:tc>
        <w:tc>
          <w:tcPr>
            <w:tcW w:w="3600" w:type="dxa"/>
            <w:tcMar>
              <w:top w:w="50" w:type="dxa"/>
              <w:left w:w="65" w:type="dxa"/>
              <w:bottom w:w="50" w:type="dxa"/>
              <w:right w:w="65" w:type="dxa"/>
            </w:tcMar>
            <w:vAlign w:val="center"/>
          </w:tcPr>
          <w:p w14:paraId="60A40479" w14:textId="77777777" w:rsidR="00354F64" w:rsidRPr="007C7AA5" w:rsidRDefault="00000000">
            <w:pPr>
              <w:spacing w:after="0"/>
              <w:jc w:val="center"/>
              <w:rPr>
                <w:rFonts w:cs="Arial"/>
                <w:sz w:val="18"/>
                <w:szCs w:val="18"/>
              </w:rPr>
            </w:pPr>
            <w:r w:rsidRPr="007C7AA5">
              <w:rPr>
                <w:rFonts w:cs="Arial"/>
                <w:sz w:val="18"/>
                <w:szCs w:val="18"/>
              </w:rPr>
              <w:t>21-day blocks, 2,000 draws, fixed seed</w:t>
            </w:r>
          </w:p>
        </w:tc>
        <w:tc>
          <w:tcPr>
            <w:tcW w:w="3828" w:type="dxa"/>
            <w:tcMar>
              <w:top w:w="50" w:type="dxa"/>
              <w:left w:w="65" w:type="dxa"/>
              <w:bottom w:w="50" w:type="dxa"/>
              <w:right w:w="65" w:type="dxa"/>
            </w:tcMar>
            <w:vAlign w:val="center"/>
          </w:tcPr>
          <w:p w14:paraId="0F4C6EC0" w14:textId="77777777" w:rsidR="00354F64" w:rsidRPr="007C7AA5" w:rsidRDefault="00000000">
            <w:pPr>
              <w:spacing w:after="0"/>
              <w:jc w:val="center"/>
              <w:rPr>
                <w:rFonts w:cs="Arial"/>
                <w:sz w:val="18"/>
                <w:szCs w:val="18"/>
              </w:rPr>
            </w:pPr>
            <w:r w:rsidRPr="007C7AA5">
              <w:rPr>
                <w:rFonts w:cs="Arial"/>
                <w:sz w:val="18"/>
                <w:szCs w:val="18"/>
              </w:rPr>
              <w:t>Sharpe intervals are wide; product decision should not rely on rank alone</w:t>
            </w:r>
          </w:p>
        </w:tc>
      </w:tr>
      <w:tr w:rsidR="00354F64" w:rsidRPr="007C7AA5" w14:paraId="7FBC1478" w14:textId="77777777" w:rsidTr="006B1AAF">
        <w:trPr>
          <w:jc w:val="center"/>
        </w:trPr>
        <w:tc>
          <w:tcPr>
            <w:tcW w:w="2637" w:type="dxa"/>
            <w:shd w:val="clear" w:color="auto" w:fill="F7F8F8"/>
            <w:tcMar>
              <w:top w:w="50" w:type="dxa"/>
              <w:left w:w="65" w:type="dxa"/>
              <w:bottom w:w="50" w:type="dxa"/>
              <w:right w:w="65" w:type="dxa"/>
            </w:tcMar>
            <w:vAlign w:val="center"/>
          </w:tcPr>
          <w:p w14:paraId="24BC2594" w14:textId="77777777" w:rsidR="00354F64" w:rsidRPr="007C7AA5" w:rsidRDefault="00000000">
            <w:pPr>
              <w:spacing w:after="0"/>
              <w:rPr>
                <w:rFonts w:cs="Arial"/>
                <w:sz w:val="18"/>
                <w:szCs w:val="18"/>
              </w:rPr>
            </w:pPr>
            <w:r w:rsidRPr="007C7AA5">
              <w:rPr>
                <w:rFonts w:cs="Arial"/>
                <w:b/>
                <w:sz w:val="18"/>
                <w:szCs w:val="18"/>
              </w:rPr>
              <w:t>Design system</w:t>
            </w:r>
          </w:p>
        </w:tc>
        <w:tc>
          <w:tcPr>
            <w:tcW w:w="3600" w:type="dxa"/>
            <w:shd w:val="clear" w:color="auto" w:fill="F7F8F8"/>
            <w:tcMar>
              <w:top w:w="50" w:type="dxa"/>
              <w:left w:w="65" w:type="dxa"/>
              <w:bottom w:w="50" w:type="dxa"/>
              <w:right w:w="65" w:type="dxa"/>
            </w:tcMar>
            <w:vAlign w:val="center"/>
          </w:tcPr>
          <w:p w14:paraId="60FA67BF" w14:textId="77777777" w:rsidR="00354F64" w:rsidRPr="007C7AA5" w:rsidRDefault="00000000">
            <w:pPr>
              <w:spacing w:after="0"/>
              <w:jc w:val="center"/>
              <w:rPr>
                <w:rFonts w:cs="Arial"/>
                <w:sz w:val="18"/>
                <w:szCs w:val="18"/>
              </w:rPr>
            </w:pPr>
            <w:r w:rsidRPr="007C7AA5">
              <w:rPr>
                <w:rFonts w:cs="Arial"/>
                <w:sz w:val="18"/>
                <w:szCs w:val="18"/>
              </w:rPr>
              <w:t>Shared navy/teal/gold visual language across plots and app</w:t>
            </w:r>
          </w:p>
        </w:tc>
        <w:tc>
          <w:tcPr>
            <w:tcW w:w="3828" w:type="dxa"/>
            <w:shd w:val="clear" w:color="auto" w:fill="F7F8F8"/>
            <w:tcMar>
              <w:top w:w="50" w:type="dxa"/>
              <w:left w:w="65" w:type="dxa"/>
              <w:bottom w:w="50" w:type="dxa"/>
              <w:right w:w="65" w:type="dxa"/>
            </w:tcMar>
            <w:vAlign w:val="center"/>
          </w:tcPr>
          <w:p w14:paraId="016AF816" w14:textId="77777777" w:rsidR="00354F64" w:rsidRPr="007C7AA5" w:rsidRDefault="00000000">
            <w:pPr>
              <w:spacing w:after="0"/>
              <w:jc w:val="center"/>
              <w:rPr>
                <w:rFonts w:cs="Arial"/>
                <w:sz w:val="18"/>
                <w:szCs w:val="18"/>
              </w:rPr>
            </w:pPr>
            <w:r w:rsidRPr="007C7AA5">
              <w:rPr>
                <w:rFonts w:cs="Arial"/>
                <w:sz w:val="18"/>
                <w:szCs w:val="18"/>
              </w:rPr>
              <w:t>Makes evidence and product read as one FundX system</w:t>
            </w:r>
          </w:p>
        </w:tc>
      </w:tr>
    </w:tbl>
    <w:p w14:paraId="6D6A2D70" w14:textId="77777777" w:rsidR="00354F64" w:rsidRPr="007C7AA5" w:rsidRDefault="00354F64">
      <w:pPr>
        <w:spacing w:after="20"/>
        <w:rPr>
          <w:rFonts w:cs="Arial"/>
          <w:sz w:val="18"/>
          <w:szCs w:val="18"/>
        </w:rPr>
      </w:pPr>
    </w:p>
    <w:p w14:paraId="1D5E1202" w14:textId="77777777" w:rsidR="00354F64" w:rsidRPr="007C7AA5" w:rsidRDefault="00000000">
      <w:pPr>
        <w:pStyle w:val="Heading2"/>
        <w:rPr>
          <w:rFonts w:ascii="Arial" w:hAnsi="Arial" w:cs="Arial"/>
          <w:sz w:val="28"/>
          <w:szCs w:val="28"/>
        </w:rPr>
      </w:pPr>
      <w:r w:rsidRPr="007C7AA5">
        <w:rPr>
          <w:rFonts w:ascii="Arial" w:hAnsi="Arial" w:cs="Arial"/>
          <w:sz w:val="28"/>
          <w:szCs w:val="28"/>
        </w:rPr>
        <w:t>4.1 Fin-VADER: improving the measurement instrument</w:t>
      </w:r>
    </w:p>
    <w:p w14:paraId="107261E1" w14:textId="26E2980B" w:rsidR="006B1AAF" w:rsidRPr="007C7AA5" w:rsidRDefault="007C7AA5" w:rsidP="007C7AA5">
      <w:pPr>
        <w:pStyle w:val="pdq2pgselectionanchorcontainer"/>
        <w:rPr>
          <w:rFonts w:ascii="Arial" w:hAnsi="Arial" w:cs="Arial"/>
          <w:sz w:val="20"/>
          <w:szCs w:val="20"/>
        </w:rPr>
      </w:pPr>
      <w:r w:rsidRPr="007C7AA5">
        <w:rPr>
          <w:rFonts w:ascii="Arial" w:hAnsi="Arial" w:cs="Arial"/>
          <w:sz w:val="20"/>
          <w:szCs w:val="20"/>
        </w:rPr>
        <w:t xml:space="preserve">In addition to supporting a finding in Part A about Plain VADER classifying roughly half of the finance headlines as neutral, the results of Part B confirm that this problem existed prior to examining the extension. Fin-VADER provides a solution for this problem with approximately ninety finance-related word and phrase mapping additions made to Plain VADER’s -4 to +4 valence scale. Some examples </w:t>
      </w:r>
      <w:proofErr w:type="gramStart"/>
      <w:r w:rsidRPr="007C7AA5">
        <w:rPr>
          <w:rFonts w:ascii="Arial" w:hAnsi="Arial" w:cs="Arial"/>
          <w:sz w:val="20"/>
          <w:szCs w:val="20"/>
        </w:rPr>
        <w:t>are:</w:t>
      </w:r>
      <w:proofErr w:type="gramEnd"/>
      <w:r w:rsidRPr="007C7AA5">
        <w:rPr>
          <w:rFonts w:ascii="Arial" w:hAnsi="Arial" w:cs="Arial"/>
          <w:sz w:val="20"/>
          <w:szCs w:val="20"/>
        </w:rPr>
        <w:t xml:space="preserve"> upgrade, downgrade, profit warning, all-time high, bankruptcy, and weak demand. While an artificial intelligence (AI) tool assisted in generating possible term suggestions, the final list of terms along with their corresponding sentiment scores were reviewed and selected by hand as opposed to accepting them without manual review. Additionally, the valence scores were also determined manually rather than estimated from market returns.</w:t>
      </w:r>
    </w:p>
    <w:tbl>
      <w:tblPr>
        <w:tblStyle w:val="TableGrid"/>
        <w:tblW w:w="10866" w:type="dxa"/>
        <w:jc w:val="center"/>
        <w:tblLayout w:type="fixed"/>
        <w:tblLook w:val="04A0" w:firstRow="1" w:lastRow="0" w:firstColumn="1" w:lastColumn="0" w:noHBand="0" w:noVBand="1"/>
      </w:tblPr>
      <w:tblGrid>
        <w:gridCol w:w="2396"/>
        <w:gridCol w:w="1694"/>
        <w:gridCol w:w="1694"/>
        <w:gridCol w:w="1694"/>
        <w:gridCol w:w="1694"/>
        <w:gridCol w:w="1694"/>
      </w:tblGrid>
      <w:tr w:rsidR="00354F64" w:rsidRPr="00C82C71" w14:paraId="553BD499" w14:textId="77777777" w:rsidTr="006B1AAF">
        <w:trPr>
          <w:tblHeader/>
          <w:jc w:val="center"/>
        </w:trPr>
        <w:tc>
          <w:tcPr>
            <w:tcW w:w="2396" w:type="dxa"/>
            <w:shd w:val="clear" w:color="auto" w:fill="12283F"/>
            <w:tcMar>
              <w:top w:w="55" w:type="dxa"/>
              <w:left w:w="65" w:type="dxa"/>
              <w:bottom w:w="55" w:type="dxa"/>
              <w:right w:w="65" w:type="dxa"/>
            </w:tcMar>
            <w:vAlign w:val="center"/>
          </w:tcPr>
          <w:p w14:paraId="4E91ABF0" w14:textId="77777777" w:rsidR="00354F64" w:rsidRPr="007C7AA5" w:rsidRDefault="00000000">
            <w:pPr>
              <w:spacing w:after="0"/>
              <w:jc w:val="center"/>
              <w:rPr>
                <w:rFonts w:cs="Arial"/>
                <w:sz w:val="18"/>
                <w:szCs w:val="18"/>
              </w:rPr>
            </w:pPr>
            <w:r w:rsidRPr="007C7AA5">
              <w:rPr>
                <w:rFonts w:cs="Arial"/>
                <w:b/>
                <w:color w:val="FFFFFF"/>
                <w:sz w:val="18"/>
                <w:szCs w:val="18"/>
              </w:rPr>
              <w:lastRenderedPageBreak/>
              <w:t>Model</w:t>
            </w:r>
          </w:p>
        </w:tc>
        <w:tc>
          <w:tcPr>
            <w:tcW w:w="1694" w:type="dxa"/>
            <w:shd w:val="clear" w:color="auto" w:fill="12283F"/>
            <w:tcMar>
              <w:top w:w="55" w:type="dxa"/>
              <w:left w:w="65" w:type="dxa"/>
              <w:bottom w:w="55" w:type="dxa"/>
              <w:right w:w="65" w:type="dxa"/>
            </w:tcMar>
            <w:vAlign w:val="center"/>
          </w:tcPr>
          <w:p w14:paraId="457E03F5" w14:textId="77777777" w:rsidR="00354F64" w:rsidRPr="007C7AA5" w:rsidRDefault="00000000">
            <w:pPr>
              <w:spacing w:after="0"/>
              <w:jc w:val="center"/>
              <w:rPr>
                <w:rFonts w:cs="Arial"/>
                <w:sz w:val="18"/>
                <w:szCs w:val="18"/>
              </w:rPr>
            </w:pPr>
            <w:r w:rsidRPr="007C7AA5">
              <w:rPr>
                <w:rFonts w:cs="Arial"/>
                <w:b/>
                <w:color w:val="FFFFFF"/>
                <w:sz w:val="18"/>
                <w:szCs w:val="18"/>
              </w:rPr>
              <w:t>Neutral</w:t>
            </w:r>
          </w:p>
        </w:tc>
        <w:tc>
          <w:tcPr>
            <w:tcW w:w="1694" w:type="dxa"/>
            <w:shd w:val="clear" w:color="auto" w:fill="12283F"/>
            <w:tcMar>
              <w:top w:w="55" w:type="dxa"/>
              <w:left w:w="65" w:type="dxa"/>
              <w:bottom w:w="55" w:type="dxa"/>
              <w:right w:w="65" w:type="dxa"/>
            </w:tcMar>
            <w:vAlign w:val="center"/>
          </w:tcPr>
          <w:p w14:paraId="0E6AABD1" w14:textId="77777777" w:rsidR="00354F64" w:rsidRPr="007C7AA5" w:rsidRDefault="00000000">
            <w:pPr>
              <w:spacing w:after="0"/>
              <w:jc w:val="center"/>
              <w:rPr>
                <w:rFonts w:cs="Arial"/>
                <w:sz w:val="18"/>
                <w:szCs w:val="18"/>
              </w:rPr>
            </w:pPr>
            <w:r w:rsidRPr="007C7AA5">
              <w:rPr>
                <w:rFonts w:cs="Arial"/>
                <w:b/>
                <w:color w:val="FFFFFF"/>
                <w:sz w:val="18"/>
                <w:szCs w:val="18"/>
              </w:rPr>
              <w:t>Mean</w:t>
            </w:r>
          </w:p>
        </w:tc>
        <w:tc>
          <w:tcPr>
            <w:tcW w:w="1694" w:type="dxa"/>
            <w:shd w:val="clear" w:color="auto" w:fill="12283F"/>
            <w:tcMar>
              <w:top w:w="55" w:type="dxa"/>
              <w:left w:w="65" w:type="dxa"/>
              <w:bottom w:w="55" w:type="dxa"/>
              <w:right w:w="65" w:type="dxa"/>
            </w:tcMar>
            <w:vAlign w:val="center"/>
          </w:tcPr>
          <w:p w14:paraId="2D4E344A" w14:textId="77777777" w:rsidR="00354F64" w:rsidRPr="007C7AA5" w:rsidRDefault="00000000">
            <w:pPr>
              <w:spacing w:after="0"/>
              <w:jc w:val="center"/>
              <w:rPr>
                <w:rFonts w:cs="Arial"/>
                <w:sz w:val="18"/>
                <w:szCs w:val="18"/>
              </w:rPr>
            </w:pPr>
            <w:r w:rsidRPr="007C7AA5">
              <w:rPr>
                <w:rFonts w:cs="Arial"/>
                <w:b/>
                <w:color w:val="FFFFFF"/>
                <w:sz w:val="18"/>
                <w:szCs w:val="18"/>
              </w:rPr>
              <w:t>Std. dev.</w:t>
            </w:r>
          </w:p>
        </w:tc>
        <w:tc>
          <w:tcPr>
            <w:tcW w:w="1694" w:type="dxa"/>
            <w:shd w:val="clear" w:color="auto" w:fill="12283F"/>
            <w:tcMar>
              <w:top w:w="55" w:type="dxa"/>
              <w:left w:w="65" w:type="dxa"/>
              <w:bottom w:w="55" w:type="dxa"/>
              <w:right w:w="65" w:type="dxa"/>
            </w:tcMar>
            <w:vAlign w:val="center"/>
          </w:tcPr>
          <w:p w14:paraId="2C38B9AD" w14:textId="77777777" w:rsidR="00354F64" w:rsidRPr="007C7AA5" w:rsidRDefault="00000000">
            <w:pPr>
              <w:spacing w:after="0"/>
              <w:jc w:val="center"/>
              <w:rPr>
                <w:rFonts w:cs="Arial"/>
                <w:sz w:val="18"/>
                <w:szCs w:val="18"/>
              </w:rPr>
            </w:pPr>
            <w:r w:rsidRPr="007C7AA5">
              <w:rPr>
                <w:rFonts w:cs="Arial"/>
                <w:b/>
                <w:color w:val="FFFFFF"/>
                <w:sz w:val="18"/>
                <w:szCs w:val="18"/>
              </w:rPr>
              <w:t>Positive</w:t>
            </w:r>
          </w:p>
        </w:tc>
        <w:tc>
          <w:tcPr>
            <w:tcW w:w="1694" w:type="dxa"/>
            <w:shd w:val="clear" w:color="auto" w:fill="12283F"/>
            <w:tcMar>
              <w:top w:w="55" w:type="dxa"/>
              <w:left w:w="65" w:type="dxa"/>
              <w:bottom w:w="55" w:type="dxa"/>
              <w:right w:w="65" w:type="dxa"/>
            </w:tcMar>
            <w:vAlign w:val="center"/>
          </w:tcPr>
          <w:p w14:paraId="1737DD91" w14:textId="77777777" w:rsidR="00354F64" w:rsidRPr="007C7AA5" w:rsidRDefault="00000000">
            <w:pPr>
              <w:spacing w:after="0"/>
              <w:jc w:val="center"/>
              <w:rPr>
                <w:rFonts w:cs="Arial"/>
                <w:sz w:val="18"/>
                <w:szCs w:val="18"/>
              </w:rPr>
            </w:pPr>
            <w:r w:rsidRPr="007C7AA5">
              <w:rPr>
                <w:rFonts w:cs="Arial"/>
                <w:b/>
                <w:color w:val="FFFFFF"/>
                <w:sz w:val="18"/>
                <w:szCs w:val="18"/>
              </w:rPr>
              <w:t>Negative</w:t>
            </w:r>
          </w:p>
        </w:tc>
      </w:tr>
      <w:tr w:rsidR="00354F64" w:rsidRPr="00C82C71" w14:paraId="54A4EF88" w14:textId="77777777" w:rsidTr="006B1AAF">
        <w:trPr>
          <w:jc w:val="center"/>
        </w:trPr>
        <w:tc>
          <w:tcPr>
            <w:tcW w:w="2396" w:type="dxa"/>
            <w:tcMar>
              <w:top w:w="50" w:type="dxa"/>
              <w:left w:w="65" w:type="dxa"/>
              <w:bottom w:w="50" w:type="dxa"/>
              <w:right w:w="65" w:type="dxa"/>
            </w:tcMar>
            <w:vAlign w:val="center"/>
          </w:tcPr>
          <w:p w14:paraId="7357D203" w14:textId="77777777" w:rsidR="00354F64" w:rsidRPr="007C7AA5" w:rsidRDefault="00000000">
            <w:pPr>
              <w:spacing w:after="0"/>
              <w:rPr>
                <w:rFonts w:cs="Arial"/>
                <w:sz w:val="18"/>
                <w:szCs w:val="18"/>
              </w:rPr>
            </w:pPr>
            <w:r w:rsidRPr="007C7AA5">
              <w:rPr>
                <w:rFonts w:cs="Arial"/>
                <w:b/>
                <w:sz w:val="18"/>
                <w:szCs w:val="18"/>
              </w:rPr>
              <w:t>Plain VADER</w:t>
            </w:r>
          </w:p>
        </w:tc>
        <w:tc>
          <w:tcPr>
            <w:tcW w:w="1694" w:type="dxa"/>
            <w:tcMar>
              <w:top w:w="50" w:type="dxa"/>
              <w:left w:w="65" w:type="dxa"/>
              <w:bottom w:w="50" w:type="dxa"/>
              <w:right w:w="65" w:type="dxa"/>
            </w:tcMar>
            <w:vAlign w:val="center"/>
          </w:tcPr>
          <w:p w14:paraId="0B20B487" w14:textId="77777777" w:rsidR="00354F64" w:rsidRPr="007C7AA5" w:rsidRDefault="00000000">
            <w:pPr>
              <w:spacing w:after="0"/>
              <w:jc w:val="center"/>
              <w:rPr>
                <w:rFonts w:cs="Arial"/>
                <w:sz w:val="18"/>
                <w:szCs w:val="18"/>
              </w:rPr>
            </w:pPr>
            <w:r w:rsidRPr="007C7AA5">
              <w:rPr>
                <w:rFonts w:cs="Arial"/>
                <w:sz w:val="18"/>
                <w:szCs w:val="18"/>
              </w:rPr>
              <w:t>49.6%</w:t>
            </w:r>
          </w:p>
        </w:tc>
        <w:tc>
          <w:tcPr>
            <w:tcW w:w="1694" w:type="dxa"/>
            <w:tcMar>
              <w:top w:w="50" w:type="dxa"/>
              <w:left w:w="65" w:type="dxa"/>
              <w:bottom w:w="50" w:type="dxa"/>
              <w:right w:w="65" w:type="dxa"/>
            </w:tcMar>
            <w:vAlign w:val="center"/>
          </w:tcPr>
          <w:p w14:paraId="00BA670E" w14:textId="77777777" w:rsidR="00354F64" w:rsidRPr="007C7AA5" w:rsidRDefault="00000000">
            <w:pPr>
              <w:spacing w:after="0"/>
              <w:jc w:val="center"/>
              <w:rPr>
                <w:rFonts w:cs="Arial"/>
                <w:sz w:val="18"/>
                <w:szCs w:val="18"/>
              </w:rPr>
            </w:pPr>
            <w:r w:rsidRPr="007C7AA5">
              <w:rPr>
                <w:rFonts w:cs="Arial"/>
                <w:sz w:val="18"/>
                <w:szCs w:val="18"/>
              </w:rPr>
              <w:t>+0.106</w:t>
            </w:r>
          </w:p>
        </w:tc>
        <w:tc>
          <w:tcPr>
            <w:tcW w:w="1694" w:type="dxa"/>
            <w:tcMar>
              <w:top w:w="50" w:type="dxa"/>
              <w:left w:w="65" w:type="dxa"/>
              <w:bottom w:w="50" w:type="dxa"/>
              <w:right w:w="65" w:type="dxa"/>
            </w:tcMar>
            <w:vAlign w:val="center"/>
          </w:tcPr>
          <w:p w14:paraId="0A10268E" w14:textId="77777777" w:rsidR="00354F64" w:rsidRPr="007C7AA5" w:rsidRDefault="00000000">
            <w:pPr>
              <w:spacing w:after="0"/>
              <w:jc w:val="center"/>
              <w:rPr>
                <w:rFonts w:cs="Arial"/>
                <w:sz w:val="18"/>
                <w:szCs w:val="18"/>
              </w:rPr>
            </w:pPr>
            <w:r w:rsidRPr="007C7AA5">
              <w:rPr>
                <w:rFonts w:cs="Arial"/>
                <w:sz w:val="18"/>
                <w:szCs w:val="18"/>
              </w:rPr>
              <w:t>0.288</w:t>
            </w:r>
          </w:p>
        </w:tc>
        <w:tc>
          <w:tcPr>
            <w:tcW w:w="1694" w:type="dxa"/>
            <w:tcMar>
              <w:top w:w="50" w:type="dxa"/>
              <w:left w:w="65" w:type="dxa"/>
              <w:bottom w:w="50" w:type="dxa"/>
              <w:right w:w="65" w:type="dxa"/>
            </w:tcMar>
            <w:vAlign w:val="center"/>
          </w:tcPr>
          <w:p w14:paraId="28A3DE58" w14:textId="77777777" w:rsidR="00354F64" w:rsidRPr="007C7AA5" w:rsidRDefault="00000000">
            <w:pPr>
              <w:spacing w:after="0"/>
              <w:jc w:val="center"/>
              <w:rPr>
                <w:rFonts w:cs="Arial"/>
                <w:sz w:val="18"/>
                <w:szCs w:val="18"/>
              </w:rPr>
            </w:pPr>
            <w:r w:rsidRPr="007C7AA5">
              <w:rPr>
                <w:rFonts w:cs="Arial"/>
                <w:sz w:val="18"/>
                <w:szCs w:val="18"/>
              </w:rPr>
              <w:t>37.4%</w:t>
            </w:r>
          </w:p>
        </w:tc>
        <w:tc>
          <w:tcPr>
            <w:tcW w:w="1694" w:type="dxa"/>
            <w:tcMar>
              <w:top w:w="50" w:type="dxa"/>
              <w:left w:w="65" w:type="dxa"/>
              <w:bottom w:w="50" w:type="dxa"/>
              <w:right w:w="65" w:type="dxa"/>
            </w:tcMar>
            <w:vAlign w:val="center"/>
          </w:tcPr>
          <w:p w14:paraId="3195A342" w14:textId="77777777" w:rsidR="00354F64" w:rsidRPr="007C7AA5" w:rsidRDefault="00000000">
            <w:pPr>
              <w:spacing w:after="0"/>
              <w:jc w:val="center"/>
              <w:rPr>
                <w:rFonts w:cs="Arial"/>
                <w:sz w:val="18"/>
                <w:szCs w:val="18"/>
              </w:rPr>
            </w:pPr>
            <w:r w:rsidRPr="007C7AA5">
              <w:rPr>
                <w:rFonts w:cs="Arial"/>
                <w:sz w:val="18"/>
                <w:szCs w:val="18"/>
              </w:rPr>
              <w:t>13.0%</w:t>
            </w:r>
          </w:p>
        </w:tc>
      </w:tr>
      <w:tr w:rsidR="00354F64" w:rsidRPr="00C82C71" w14:paraId="4CE6C3ED" w14:textId="77777777" w:rsidTr="006B1AAF">
        <w:trPr>
          <w:jc w:val="center"/>
        </w:trPr>
        <w:tc>
          <w:tcPr>
            <w:tcW w:w="2396" w:type="dxa"/>
            <w:shd w:val="clear" w:color="auto" w:fill="F7F8F8"/>
            <w:tcMar>
              <w:top w:w="50" w:type="dxa"/>
              <w:left w:w="65" w:type="dxa"/>
              <w:bottom w:w="50" w:type="dxa"/>
              <w:right w:w="65" w:type="dxa"/>
            </w:tcMar>
            <w:vAlign w:val="center"/>
          </w:tcPr>
          <w:p w14:paraId="568620B7" w14:textId="77777777" w:rsidR="00354F64" w:rsidRPr="007C7AA5" w:rsidRDefault="00000000">
            <w:pPr>
              <w:spacing w:after="0"/>
              <w:rPr>
                <w:rFonts w:cs="Arial"/>
                <w:sz w:val="18"/>
                <w:szCs w:val="18"/>
              </w:rPr>
            </w:pPr>
            <w:r w:rsidRPr="007C7AA5">
              <w:rPr>
                <w:rFonts w:cs="Arial"/>
                <w:b/>
                <w:sz w:val="18"/>
                <w:szCs w:val="18"/>
              </w:rPr>
              <w:t>Fin-VADER (extended lexicon)</w:t>
            </w:r>
          </w:p>
        </w:tc>
        <w:tc>
          <w:tcPr>
            <w:tcW w:w="1694" w:type="dxa"/>
            <w:shd w:val="clear" w:color="auto" w:fill="F7F8F8"/>
            <w:tcMar>
              <w:top w:w="50" w:type="dxa"/>
              <w:left w:w="65" w:type="dxa"/>
              <w:bottom w:w="50" w:type="dxa"/>
              <w:right w:w="65" w:type="dxa"/>
            </w:tcMar>
            <w:vAlign w:val="center"/>
          </w:tcPr>
          <w:p w14:paraId="72A1E8B7" w14:textId="77777777" w:rsidR="00354F64" w:rsidRPr="007C7AA5" w:rsidRDefault="00000000">
            <w:pPr>
              <w:spacing w:after="0"/>
              <w:jc w:val="center"/>
              <w:rPr>
                <w:rFonts w:cs="Arial"/>
                <w:sz w:val="18"/>
                <w:szCs w:val="18"/>
              </w:rPr>
            </w:pPr>
            <w:r w:rsidRPr="007C7AA5">
              <w:rPr>
                <w:rFonts w:cs="Arial"/>
                <w:sz w:val="18"/>
                <w:szCs w:val="18"/>
              </w:rPr>
              <w:t>45.2%</w:t>
            </w:r>
          </w:p>
        </w:tc>
        <w:tc>
          <w:tcPr>
            <w:tcW w:w="1694" w:type="dxa"/>
            <w:shd w:val="clear" w:color="auto" w:fill="F7F8F8"/>
            <w:tcMar>
              <w:top w:w="50" w:type="dxa"/>
              <w:left w:w="65" w:type="dxa"/>
              <w:bottom w:w="50" w:type="dxa"/>
              <w:right w:w="65" w:type="dxa"/>
            </w:tcMar>
            <w:vAlign w:val="center"/>
          </w:tcPr>
          <w:p w14:paraId="4869A553" w14:textId="77777777" w:rsidR="00354F64" w:rsidRPr="007C7AA5" w:rsidRDefault="00000000">
            <w:pPr>
              <w:spacing w:after="0"/>
              <w:jc w:val="center"/>
              <w:rPr>
                <w:rFonts w:cs="Arial"/>
                <w:sz w:val="18"/>
                <w:szCs w:val="18"/>
              </w:rPr>
            </w:pPr>
            <w:r w:rsidRPr="007C7AA5">
              <w:rPr>
                <w:rFonts w:cs="Arial"/>
                <w:sz w:val="18"/>
                <w:szCs w:val="18"/>
              </w:rPr>
              <w:t>+0.117</w:t>
            </w:r>
          </w:p>
        </w:tc>
        <w:tc>
          <w:tcPr>
            <w:tcW w:w="1694" w:type="dxa"/>
            <w:shd w:val="clear" w:color="auto" w:fill="F7F8F8"/>
            <w:tcMar>
              <w:top w:w="50" w:type="dxa"/>
              <w:left w:w="65" w:type="dxa"/>
              <w:bottom w:w="50" w:type="dxa"/>
              <w:right w:w="65" w:type="dxa"/>
            </w:tcMar>
            <w:vAlign w:val="center"/>
          </w:tcPr>
          <w:p w14:paraId="17F829C3" w14:textId="77777777" w:rsidR="00354F64" w:rsidRPr="007C7AA5" w:rsidRDefault="00000000">
            <w:pPr>
              <w:spacing w:after="0"/>
              <w:jc w:val="center"/>
              <w:rPr>
                <w:rFonts w:cs="Arial"/>
                <w:sz w:val="18"/>
                <w:szCs w:val="18"/>
              </w:rPr>
            </w:pPr>
            <w:r w:rsidRPr="007C7AA5">
              <w:rPr>
                <w:rFonts w:cs="Arial"/>
                <w:sz w:val="18"/>
                <w:szCs w:val="18"/>
              </w:rPr>
              <w:t>0.312</w:t>
            </w:r>
          </w:p>
        </w:tc>
        <w:tc>
          <w:tcPr>
            <w:tcW w:w="1694" w:type="dxa"/>
            <w:shd w:val="clear" w:color="auto" w:fill="F7F8F8"/>
            <w:tcMar>
              <w:top w:w="50" w:type="dxa"/>
              <w:left w:w="65" w:type="dxa"/>
              <w:bottom w:w="50" w:type="dxa"/>
              <w:right w:w="65" w:type="dxa"/>
            </w:tcMar>
            <w:vAlign w:val="center"/>
          </w:tcPr>
          <w:p w14:paraId="2666D1B1" w14:textId="77777777" w:rsidR="00354F64" w:rsidRPr="007C7AA5" w:rsidRDefault="00000000">
            <w:pPr>
              <w:spacing w:after="0"/>
              <w:jc w:val="center"/>
              <w:rPr>
                <w:rFonts w:cs="Arial"/>
                <w:sz w:val="18"/>
                <w:szCs w:val="18"/>
              </w:rPr>
            </w:pPr>
            <w:r w:rsidRPr="007C7AA5">
              <w:rPr>
                <w:rFonts w:cs="Arial"/>
                <w:sz w:val="18"/>
                <w:szCs w:val="18"/>
              </w:rPr>
              <w:t>40.6%</w:t>
            </w:r>
          </w:p>
        </w:tc>
        <w:tc>
          <w:tcPr>
            <w:tcW w:w="1694" w:type="dxa"/>
            <w:shd w:val="clear" w:color="auto" w:fill="F7F8F8"/>
            <w:tcMar>
              <w:top w:w="50" w:type="dxa"/>
              <w:left w:w="65" w:type="dxa"/>
              <w:bottom w:w="50" w:type="dxa"/>
              <w:right w:w="65" w:type="dxa"/>
            </w:tcMar>
            <w:vAlign w:val="center"/>
          </w:tcPr>
          <w:p w14:paraId="51874173" w14:textId="77777777" w:rsidR="00354F64" w:rsidRPr="007C7AA5" w:rsidRDefault="00000000">
            <w:pPr>
              <w:spacing w:after="0"/>
              <w:jc w:val="center"/>
              <w:rPr>
                <w:rFonts w:cs="Arial"/>
                <w:sz w:val="18"/>
                <w:szCs w:val="18"/>
              </w:rPr>
            </w:pPr>
            <w:r w:rsidRPr="007C7AA5">
              <w:rPr>
                <w:rFonts w:cs="Arial"/>
                <w:sz w:val="18"/>
                <w:szCs w:val="18"/>
              </w:rPr>
              <w:t>14.2%</w:t>
            </w:r>
          </w:p>
        </w:tc>
      </w:tr>
    </w:tbl>
    <w:p w14:paraId="4BF72B32" w14:textId="77777777" w:rsidR="00354F64" w:rsidRPr="00C82C71" w:rsidRDefault="00354F64">
      <w:pPr>
        <w:spacing w:after="20"/>
        <w:rPr>
          <w:rFonts w:cs="Arial"/>
        </w:rPr>
      </w:pPr>
    </w:p>
    <w:p w14:paraId="716BEC30" w14:textId="1175C9A6" w:rsidR="007C7AA5" w:rsidRPr="007C7AA5" w:rsidRDefault="007C7AA5">
      <w:pPr>
        <w:pStyle w:val="Heading2"/>
        <w:rPr>
          <w:rFonts w:ascii="Arial" w:hAnsi="Arial" w:cs="Arial"/>
          <w:b w:val="0"/>
          <w:bCs w:val="0"/>
          <w:color w:val="000000" w:themeColor="text1"/>
          <w:sz w:val="21"/>
          <w:szCs w:val="21"/>
        </w:rPr>
      </w:pPr>
      <w:r w:rsidRPr="007C7AA5">
        <w:rPr>
          <w:rFonts w:ascii="Arial" w:hAnsi="Arial" w:cs="Arial"/>
          <w:b w:val="0"/>
          <w:bCs w:val="0"/>
          <w:color w:val="000000" w:themeColor="text1"/>
          <w:sz w:val="21"/>
          <w:szCs w:val="21"/>
        </w:rPr>
        <w:t xml:space="preserve">Figure 7 illustrates that Fin-VADER has altered headline classification. The neutral share dropped from 49.6% to 45.2%. Thus, about 6,500 news stories have been shifted out of the neutral category by the addition of a finance-specific sentiment measure. Additionally, average sentiment rose from 0.106 to 0.117, while the standard deviation increased from 0.288 to 0.312. Also, both the frequency of positive and negative sentiment </w:t>
      </w:r>
      <w:proofErr w:type="gramStart"/>
      <w:r w:rsidRPr="007C7AA5">
        <w:rPr>
          <w:rFonts w:ascii="Arial" w:hAnsi="Arial" w:cs="Arial"/>
          <w:b w:val="0"/>
          <w:bCs w:val="0"/>
          <w:color w:val="000000" w:themeColor="text1"/>
          <w:sz w:val="21"/>
          <w:szCs w:val="21"/>
        </w:rPr>
        <w:t>have</w:t>
      </w:r>
      <w:proofErr w:type="gramEnd"/>
      <w:r w:rsidRPr="007C7AA5">
        <w:rPr>
          <w:rFonts w:ascii="Arial" w:hAnsi="Arial" w:cs="Arial"/>
          <w:b w:val="0"/>
          <w:bCs w:val="0"/>
          <w:color w:val="000000" w:themeColor="text1"/>
          <w:sz w:val="21"/>
          <w:szCs w:val="21"/>
        </w:rPr>
        <w:t xml:space="preserve"> grown. That is consistent with its purpose. It identifies clearer direction in financial terms where VADER alone typically identifies a neutral result. However, this does not necessarily mean that the additional sentiment information is useful for trading.</w:t>
      </w:r>
    </w:p>
    <w:p w14:paraId="2C508787" w14:textId="41FBBC19" w:rsidR="00354F64" w:rsidRPr="007C7AA5" w:rsidRDefault="00000000">
      <w:pPr>
        <w:pStyle w:val="Heading2"/>
        <w:rPr>
          <w:rFonts w:ascii="Arial" w:hAnsi="Arial" w:cs="Arial"/>
          <w:sz w:val="28"/>
          <w:szCs w:val="28"/>
        </w:rPr>
      </w:pPr>
      <w:r w:rsidRPr="007C7AA5">
        <w:rPr>
          <w:rFonts w:ascii="Arial" w:hAnsi="Arial" w:cs="Arial"/>
          <w:sz w:val="28"/>
          <w:szCs w:val="28"/>
        </w:rPr>
        <w:t>4.2 Fusion: a negative result that changes the product claim</w:t>
      </w:r>
    </w:p>
    <w:p w14:paraId="59862B9B" w14:textId="479F0D86" w:rsidR="006B1AAF" w:rsidRDefault="005D0D61">
      <w:pPr>
        <w:rPr>
          <w:sz w:val="21"/>
          <w:szCs w:val="21"/>
        </w:rPr>
      </w:pPr>
      <w:r w:rsidRPr="005D0D61">
        <w:rPr>
          <w:sz w:val="21"/>
          <w:szCs w:val="21"/>
        </w:rPr>
        <w:t xml:space="preserve">The Fusion Rule was designed with simplicity to enable clarity and reproduction. Therefore, I delay the Sector Sentiment Index by one trading day and then take a 21-day rolling average. After that, I determine the z-score across the ten Sectors to display which sectors exhibit the greatest positive (or negative) relative sentiment. Finally, I adjust each Stock's initial Portfolio Weight utilizing </w:t>
      </w:r>
      <w:proofErr w:type="gramStart"/>
      <w:r w:rsidRPr="005D0D61">
        <w:rPr>
          <w:sz w:val="21"/>
          <w:szCs w:val="21"/>
        </w:rPr>
        <w:t>Clip(</w:t>
      </w:r>
      <w:proofErr w:type="gramEnd"/>
      <w:r w:rsidRPr="005D0D61">
        <w:rPr>
          <w:sz w:val="21"/>
          <w:szCs w:val="21"/>
        </w:rPr>
        <w:t xml:space="preserve">1 + 0.25 </w:t>
      </w:r>
      <w:proofErr w:type="spellStart"/>
      <w:r w:rsidRPr="005D0D61">
        <w:rPr>
          <w:sz w:val="21"/>
          <w:szCs w:val="21"/>
        </w:rPr>
        <w:t>Z_Sector</w:t>
      </w:r>
      <w:proofErr w:type="spellEnd"/>
      <w:r w:rsidRPr="005D0D61">
        <w:rPr>
          <w:sz w:val="21"/>
          <w:szCs w:val="21"/>
        </w:rPr>
        <w:t xml:space="preserve">, .60, 1.40), after which all Weights are normalized again. The one-trading day delay removes Look Ahead Bias; the z-Score represents Relative Sector Sentiment rather than Absolute levels; and the Clipping will prevent the Model from placing too great a Bet in a specific sector. Versions A-D utilize the exact same Equity Maximum Sharpe Model as well as the same </w:t>
      </w:r>
      <w:proofErr w:type="spellStart"/>
      <w:r w:rsidRPr="005D0D61">
        <w:rPr>
          <w:sz w:val="21"/>
          <w:szCs w:val="21"/>
        </w:rPr>
        <w:t>Out-of</w:t>
      </w:r>
      <w:proofErr w:type="spellEnd"/>
      <w:r w:rsidRPr="005D0D61">
        <w:rPr>
          <w:sz w:val="21"/>
          <w:szCs w:val="21"/>
        </w:rPr>
        <w:t xml:space="preserve"> Sample </w:t>
      </w:r>
      <w:proofErr w:type="gramStart"/>
      <w:r w:rsidRPr="005D0D61">
        <w:rPr>
          <w:sz w:val="21"/>
          <w:szCs w:val="21"/>
        </w:rPr>
        <w:t>time period</w:t>
      </w:r>
      <w:proofErr w:type="gramEnd"/>
      <w:r w:rsidRPr="005D0D61">
        <w:rPr>
          <w:sz w:val="21"/>
          <w:szCs w:val="21"/>
        </w:rPr>
        <w:t xml:space="preserve"> utilized in Table 2; </w:t>
      </w:r>
      <w:proofErr w:type="gramStart"/>
      <w:r w:rsidRPr="005D0D61">
        <w:rPr>
          <w:sz w:val="21"/>
          <w:szCs w:val="21"/>
        </w:rPr>
        <w:t>therefore</w:t>
      </w:r>
      <w:proofErr w:type="gramEnd"/>
      <w:r w:rsidRPr="005D0D61">
        <w:rPr>
          <w:sz w:val="21"/>
          <w:szCs w:val="21"/>
        </w:rPr>
        <w:t xml:space="preserve"> this version-to-version comparison within Table 2 is like for like.</w:t>
      </w:r>
    </w:p>
    <w:p w14:paraId="14BE64CC" w14:textId="77777777" w:rsidR="005D0D61" w:rsidRPr="005D0D61" w:rsidRDefault="005D0D61">
      <w:pPr>
        <w:rPr>
          <w:sz w:val="21"/>
          <w:szCs w:val="21"/>
        </w:rPr>
      </w:pPr>
    </w:p>
    <w:p w14:paraId="5EFFA37D" w14:textId="77777777" w:rsidR="005D0D61" w:rsidRPr="00C82C71" w:rsidRDefault="005D0D61">
      <w:pPr>
        <w:rPr>
          <w:rFonts w:cs="Arial"/>
        </w:rPr>
      </w:pPr>
    </w:p>
    <w:tbl>
      <w:tblPr>
        <w:tblStyle w:val="TableGrid"/>
        <w:tblW w:w="10774" w:type="dxa"/>
        <w:jc w:val="center"/>
        <w:tblLayout w:type="fixed"/>
        <w:tblLook w:val="04A0" w:firstRow="1" w:lastRow="0" w:firstColumn="1" w:lastColumn="0" w:noHBand="0" w:noVBand="1"/>
      </w:tblPr>
      <w:tblGrid>
        <w:gridCol w:w="2609"/>
        <w:gridCol w:w="1452"/>
        <w:gridCol w:w="1452"/>
        <w:gridCol w:w="1452"/>
        <w:gridCol w:w="1452"/>
        <w:gridCol w:w="1452"/>
        <w:gridCol w:w="905"/>
      </w:tblGrid>
      <w:tr w:rsidR="00354F64" w:rsidRPr="00C82C71" w14:paraId="26307ECC" w14:textId="77777777" w:rsidTr="005D0D61">
        <w:trPr>
          <w:tblHeader/>
          <w:jc w:val="center"/>
        </w:trPr>
        <w:tc>
          <w:tcPr>
            <w:tcW w:w="2609" w:type="dxa"/>
            <w:shd w:val="clear" w:color="auto" w:fill="12283F"/>
            <w:tcMar>
              <w:top w:w="55" w:type="dxa"/>
              <w:left w:w="65" w:type="dxa"/>
              <w:bottom w:w="55" w:type="dxa"/>
              <w:right w:w="65" w:type="dxa"/>
            </w:tcMar>
            <w:vAlign w:val="center"/>
          </w:tcPr>
          <w:p w14:paraId="53C5B8AA" w14:textId="77777777" w:rsidR="00354F64" w:rsidRPr="005D0D61" w:rsidRDefault="00000000">
            <w:pPr>
              <w:rPr>
                <w:rFonts w:cs="Arial"/>
                <w:sz w:val="18"/>
                <w:szCs w:val="18"/>
              </w:rPr>
            </w:pPr>
            <w:r w:rsidRPr="005D0D61">
              <w:rPr>
                <w:rFonts w:cs="Arial"/>
                <w:b/>
                <w:color w:val="FFFFFF"/>
                <w:sz w:val="18"/>
                <w:szCs w:val="18"/>
              </w:rPr>
              <w:t>Table 2. Fusion comparison</w:t>
            </w:r>
            <w:r w:rsidRPr="005D0D61">
              <w:rPr>
                <w:rFonts w:cs="Arial"/>
                <w:b/>
                <w:color w:val="FFFFFF"/>
                <w:sz w:val="18"/>
                <w:szCs w:val="18"/>
              </w:rPr>
              <w:br/>
              <w:t>OOS 2021-01-04 to 2023-12-29</w:t>
            </w:r>
          </w:p>
        </w:tc>
        <w:tc>
          <w:tcPr>
            <w:tcW w:w="1452" w:type="dxa"/>
            <w:shd w:val="clear" w:color="auto" w:fill="12283F"/>
            <w:tcMar>
              <w:top w:w="55" w:type="dxa"/>
              <w:left w:w="65" w:type="dxa"/>
              <w:bottom w:w="55" w:type="dxa"/>
              <w:right w:w="65" w:type="dxa"/>
            </w:tcMar>
            <w:vAlign w:val="center"/>
          </w:tcPr>
          <w:p w14:paraId="634A3D5A" w14:textId="77777777" w:rsidR="00354F64" w:rsidRPr="005D0D61" w:rsidRDefault="00000000">
            <w:pPr>
              <w:spacing w:after="0"/>
              <w:jc w:val="center"/>
              <w:rPr>
                <w:rFonts w:cs="Arial"/>
                <w:sz w:val="18"/>
                <w:szCs w:val="18"/>
              </w:rPr>
            </w:pPr>
            <w:r w:rsidRPr="005D0D61">
              <w:rPr>
                <w:rFonts w:cs="Arial"/>
                <w:b/>
                <w:color w:val="FFFFFF"/>
                <w:sz w:val="18"/>
                <w:szCs w:val="18"/>
              </w:rPr>
              <w:t>Ann. ret.</w:t>
            </w:r>
          </w:p>
        </w:tc>
        <w:tc>
          <w:tcPr>
            <w:tcW w:w="1452" w:type="dxa"/>
            <w:shd w:val="clear" w:color="auto" w:fill="12283F"/>
            <w:tcMar>
              <w:top w:w="55" w:type="dxa"/>
              <w:left w:w="65" w:type="dxa"/>
              <w:bottom w:w="55" w:type="dxa"/>
              <w:right w:w="65" w:type="dxa"/>
            </w:tcMar>
            <w:vAlign w:val="center"/>
          </w:tcPr>
          <w:p w14:paraId="32209F9B" w14:textId="77777777" w:rsidR="00354F64" w:rsidRPr="005D0D61" w:rsidRDefault="00000000">
            <w:pPr>
              <w:spacing w:after="0"/>
              <w:jc w:val="center"/>
              <w:rPr>
                <w:rFonts w:cs="Arial"/>
                <w:sz w:val="18"/>
                <w:szCs w:val="18"/>
              </w:rPr>
            </w:pPr>
            <w:r w:rsidRPr="005D0D61">
              <w:rPr>
                <w:rFonts w:cs="Arial"/>
                <w:b/>
                <w:color w:val="FFFFFF"/>
                <w:sz w:val="18"/>
                <w:szCs w:val="18"/>
              </w:rPr>
              <w:t>Ann. vol.</w:t>
            </w:r>
          </w:p>
        </w:tc>
        <w:tc>
          <w:tcPr>
            <w:tcW w:w="1452" w:type="dxa"/>
            <w:shd w:val="clear" w:color="auto" w:fill="12283F"/>
            <w:tcMar>
              <w:top w:w="55" w:type="dxa"/>
              <w:left w:w="65" w:type="dxa"/>
              <w:bottom w:w="55" w:type="dxa"/>
              <w:right w:w="65" w:type="dxa"/>
            </w:tcMar>
            <w:vAlign w:val="center"/>
          </w:tcPr>
          <w:p w14:paraId="2897C517" w14:textId="77777777" w:rsidR="00354F64" w:rsidRPr="005D0D61" w:rsidRDefault="00000000">
            <w:pPr>
              <w:spacing w:after="0"/>
              <w:jc w:val="center"/>
              <w:rPr>
                <w:rFonts w:cs="Arial"/>
                <w:sz w:val="18"/>
                <w:szCs w:val="18"/>
              </w:rPr>
            </w:pPr>
            <w:r w:rsidRPr="005D0D61">
              <w:rPr>
                <w:rFonts w:cs="Arial"/>
                <w:b/>
                <w:color w:val="FFFFFF"/>
                <w:sz w:val="18"/>
                <w:szCs w:val="18"/>
              </w:rPr>
              <w:t>Sharpe</w:t>
            </w:r>
          </w:p>
        </w:tc>
        <w:tc>
          <w:tcPr>
            <w:tcW w:w="1452" w:type="dxa"/>
            <w:shd w:val="clear" w:color="auto" w:fill="12283F"/>
            <w:tcMar>
              <w:top w:w="55" w:type="dxa"/>
              <w:left w:w="65" w:type="dxa"/>
              <w:bottom w:w="55" w:type="dxa"/>
              <w:right w:w="65" w:type="dxa"/>
            </w:tcMar>
            <w:vAlign w:val="center"/>
          </w:tcPr>
          <w:p w14:paraId="6170DDA4" w14:textId="77777777" w:rsidR="00354F64" w:rsidRPr="005D0D61" w:rsidRDefault="00000000">
            <w:pPr>
              <w:spacing w:after="0"/>
              <w:jc w:val="center"/>
              <w:rPr>
                <w:rFonts w:cs="Arial"/>
                <w:sz w:val="18"/>
                <w:szCs w:val="18"/>
              </w:rPr>
            </w:pPr>
            <w:r w:rsidRPr="005D0D61">
              <w:rPr>
                <w:rFonts w:cs="Arial"/>
                <w:b/>
                <w:color w:val="FFFFFF"/>
                <w:sz w:val="18"/>
                <w:szCs w:val="18"/>
              </w:rPr>
              <w:t>Max DD</w:t>
            </w:r>
          </w:p>
        </w:tc>
        <w:tc>
          <w:tcPr>
            <w:tcW w:w="1452" w:type="dxa"/>
            <w:shd w:val="clear" w:color="auto" w:fill="12283F"/>
            <w:tcMar>
              <w:top w:w="55" w:type="dxa"/>
              <w:left w:w="65" w:type="dxa"/>
              <w:bottom w:w="55" w:type="dxa"/>
              <w:right w:w="65" w:type="dxa"/>
            </w:tcMar>
            <w:vAlign w:val="center"/>
          </w:tcPr>
          <w:p w14:paraId="41F3D80F" w14:textId="77777777" w:rsidR="00354F64" w:rsidRPr="005D0D61" w:rsidRDefault="00000000">
            <w:pPr>
              <w:spacing w:after="0"/>
              <w:jc w:val="center"/>
              <w:rPr>
                <w:rFonts w:cs="Arial"/>
                <w:sz w:val="18"/>
                <w:szCs w:val="18"/>
              </w:rPr>
            </w:pPr>
            <w:r w:rsidRPr="005D0D61">
              <w:rPr>
                <w:rFonts w:cs="Arial"/>
                <w:b/>
                <w:color w:val="FFFFFF"/>
                <w:sz w:val="18"/>
                <w:szCs w:val="18"/>
              </w:rPr>
              <w:t>Turnover</w:t>
            </w:r>
          </w:p>
        </w:tc>
        <w:tc>
          <w:tcPr>
            <w:tcW w:w="905" w:type="dxa"/>
            <w:shd w:val="clear" w:color="auto" w:fill="12283F"/>
            <w:tcMar>
              <w:top w:w="55" w:type="dxa"/>
              <w:left w:w="65" w:type="dxa"/>
              <w:bottom w:w="55" w:type="dxa"/>
              <w:right w:w="65" w:type="dxa"/>
            </w:tcMar>
            <w:vAlign w:val="center"/>
          </w:tcPr>
          <w:p w14:paraId="42B49E7A" w14:textId="77777777" w:rsidR="00354F64" w:rsidRPr="005D0D61" w:rsidRDefault="00000000">
            <w:pPr>
              <w:spacing w:after="0"/>
              <w:jc w:val="center"/>
              <w:rPr>
                <w:rFonts w:cs="Arial"/>
                <w:sz w:val="18"/>
                <w:szCs w:val="18"/>
              </w:rPr>
            </w:pPr>
            <w:r w:rsidRPr="005D0D61">
              <w:rPr>
                <w:rFonts w:cs="Arial"/>
                <w:b/>
                <w:color w:val="FFFFFF"/>
                <w:sz w:val="18"/>
                <w:szCs w:val="18"/>
              </w:rPr>
              <w:t>Net Sharpe</w:t>
            </w:r>
          </w:p>
        </w:tc>
      </w:tr>
      <w:tr w:rsidR="00354F64" w:rsidRPr="00C82C71" w14:paraId="4D57C97B" w14:textId="77777777" w:rsidTr="005D0D61">
        <w:trPr>
          <w:jc w:val="center"/>
        </w:trPr>
        <w:tc>
          <w:tcPr>
            <w:tcW w:w="2609" w:type="dxa"/>
            <w:tcMar>
              <w:top w:w="50" w:type="dxa"/>
              <w:left w:w="65" w:type="dxa"/>
              <w:bottom w:w="50" w:type="dxa"/>
              <w:right w:w="65" w:type="dxa"/>
            </w:tcMar>
            <w:vAlign w:val="center"/>
          </w:tcPr>
          <w:p w14:paraId="2D7D0EBC" w14:textId="77777777" w:rsidR="00354F64" w:rsidRPr="005D0D61" w:rsidRDefault="00000000">
            <w:pPr>
              <w:spacing w:after="0"/>
              <w:rPr>
                <w:rFonts w:cs="Arial"/>
                <w:sz w:val="18"/>
                <w:szCs w:val="18"/>
              </w:rPr>
            </w:pPr>
            <w:r w:rsidRPr="005D0D61">
              <w:rPr>
                <w:rFonts w:cs="Arial"/>
                <w:b/>
                <w:sz w:val="18"/>
                <w:szCs w:val="18"/>
              </w:rPr>
              <w:t>Base Equity Max Sharpe</w:t>
            </w:r>
          </w:p>
        </w:tc>
        <w:tc>
          <w:tcPr>
            <w:tcW w:w="1452" w:type="dxa"/>
            <w:tcMar>
              <w:top w:w="50" w:type="dxa"/>
              <w:left w:w="65" w:type="dxa"/>
              <w:bottom w:w="50" w:type="dxa"/>
              <w:right w:w="65" w:type="dxa"/>
            </w:tcMar>
            <w:vAlign w:val="center"/>
          </w:tcPr>
          <w:p w14:paraId="31AB05BC" w14:textId="77777777" w:rsidR="00354F64" w:rsidRPr="005D0D61" w:rsidRDefault="00000000">
            <w:pPr>
              <w:spacing w:after="0"/>
              <w:jc w:val="center"/>
              <w:rPr>
                <w:rFonts w:cs="Arial"/>
                <w:sz w:val="18"/>
                <w:szCs w:val="18"/>
              </w:rPr>
            </w:pPr>
            <w:r w:rsidRPr="005D0D61">
              <w:rPr>
                <w:rFonts w:cs="Arial"/>
                <w:sz w:val="18"/>
                <w:szCs w:val="18"/>
              </w:rPr>
              <w:t>6.6%</w:t>
            </w:r>
          </w:p>
        </w:tc>
        <w:tc>
          <w:tcPr>
            <w:tcW w:w="1452" w:type="dxa"/>
            <w:tcMar>
              <w:top w:w="50" w:type="dxa"/>
              <w:left w:w="65" w:type="dxa"/>
              <w:bottom w:w="50" w:type="dxa"/>
              <w:right w:w="65" w:type="dxa"/>
            </w:tcMar>
            <w:vAlign w:val="center"/>
          </w:tcPr>
          <w:p w14:paraId="0907C30F" w14:textId="77777777" w:rsidR="00354F64" w:rsidRPr="005D0D61" w:rsidRDefault="00000000">
            <w:pPr>
              <w:spacing w:after="0"/>
              <w:jc w:val="center"/>
              <w:rPr>
                <w:rFonts w:cs="Arial"/>
                <w:sz w:val="18"/>
                <w:szCs w:val="18"/>
              </w:rPr>
            </w:pPr>
            <w:r w:rsidRPr="005D0D61">
              <w:rPr>
                <w:rFonts w:cs="Arial"/>
                <w:sz w:val="18"/>
                <w:szCs w:val="18"/>
              </w:rPr>
              <w:t>17.3%</w:t>
            </w:r>
          </w:p>
        </w:tc>
        <w:tc>
          <w:tcPr>
            <w:tcW w:w="1452" w:type="dxa"/>
            <w:tcMar>
              <w:top w:w="50" w:type="dxa"/>
              <w:left w:w="65" w:type="dxa"/>
              <w:bottom w:w="50" w:type="dxa"/>
              <w:right w:w="65" w:type="dxa"/>
            </w:tcMar>
            <w:vAlign w:val="center"/>
          </w:tcPr>
          <w:p w14:paraId="09D2CE0D" w14:textId="77777777" w:rsidR="00354F64" w:rsidRPr="005D0D61" w:rsidRDefault="00000000">
            <w:pPr>
              <w:spacing w:after="0"/>
              <w:jc w:val="center"/>
              <w:rPr>
                <w:rFonts w:cs="Arial"/>
                <w:sz w:val="18"/>
                <w:szCs w:val="18"/>
              </w:rPr>
            </w:pPr>
            <w:r w:rsidRPr="005D0D61">
              <w:rPr>
                <w:rFonts w:cs="Arial"/>
                <w:sz w:val="18"/>
                <w:szCs w:val="18"/>
              </w:rPr>
              <w:t>0.380</w:t>
            </w:r>
          </w:p>
        </w:tc>
        <w:tc>
          <w:tcPr>
            <w:tcW w:w="1452" w:type="dxa"/>
            <w:tcMar>
              <w:top w:w="50" w:type="dxa"/>
              <w:left w:w="65" w:type="dxa"/>
              <w:bottom w:w="50" w:type="dxa"/>
              <w:right w:w="65" w:type="dxa"/>
            </w:tcMar>
            <w:vAlign w:val="center"/>
          </w:tcPr>
          <w:p w14:paraId="773773A7" w14:textId="77777777" w:rsidR="00354F64" w:rsidRPr="005D0D61" w:rsidRDefault="00000000">
            <w:pPr>
              <w:spacing w:after="0"/>
              <w:jc w:val="center"/>
              <w:rPr>
                <w:rFonts w:cs="Arial"/>
                <w:sz w:val="18"/>
                <w:szCs w:val="18"/>
              </w:rPr>
            </w:pPr>
            <w:r w:rsidRPr="005D0D61">
              <w:rPr>
                <w:rFonts w:cs="Arial"/>
                <w:sz w:val="18"/>
                <w:szCs w:val="18"/>
              </w:rPr>
              <w:t>-22.6%</w:t>
            </w:r>
          </w:p>
        </w:tc>
        <w:tc>
          <w:tcPr>
            <w:tcW w:w="1452" w:type="dxa"/>
            <w:tcMar>
              <w:top w:w="50" w:type="dxa"/>
              <w:left w:w="65" w:type="dxa"/>
              <w:bottom w:w="50" w:type="dxa"/>
              <w:right w:w="65" w:type="dxa"/>
            </w:tcMar>
            <w:vAlign w:val="center"/>
          </w:tcPr>
          <w:p w14:paraId="255CD0F2" w14:textId="77777777" w:rsidR="00354F64" w:rsidRPr="005D0D61" w:rsidRDefault="00000000">
            <w:pPr>
              <w:spacing w:after="0"/>
              <w:jc w:val="center"/>
              <w:rPr>
                <w:rFonts w:cs="Arial"/>
                <w:sz w:val="18"/>
                <w:szCs w:val="18"/>
              </w:rPr>
            </w:pPr>
            <w:r w:rsidRPr="005D0D61">
              <w:rPr>
                <w:rFonts w:cs="Arial"/>
                <w:sz w:val="18"/>
                <w:szCs w:val="18"/>
              </w:rPr>
              <w:t>28.1%</w:t>
            </w:r>
          </w:p>
        </w:tc>
        <w:tc>
          <w:tcPr>
            <w:tcW w:w="905" w:type="dxa"/>
            <w:tcMar>
              <w:top w:w="50" w:type="dxa"/>
              <w:left w:w="65" w:type="dxa"/>
              <w:bottom w:w="50" w:type="dxa"/>
              <w:right w:w="65" w:type="dxa"/>
            </w:tcMar>
            <w:vAlign w:val="center"/>
          </w:tcPr>
          <w:p w14:paraId="74C89061" w14:textId="77777777" w:rsidR="00354F64" w:rsidRPr="005D0D61" w:rsidRDefault="00000000">
            <w:pPr>
              <w:spacing w:after="0"/>
              <w:jc w:val="center"/>
              <w:rPr>
                <w:rFonts w:cs="Arial"/>
                <w:sz w:val="18"/>
                <w:szCs w:val="18"/>
              </w:rPr>
            </w:pPr>
            <w:r w:rsidRPr="005D0D61">
              <w:rPr>
                <w:rFonts w:cs="Arial"/>
                <w:sz w:val="18"/>
                <w:szCs w:val="18"/>
              </w:rPr>
              <w:t>0.359</w:t>
            </w:r>
          </w:p>
        </w:tc>
      </w:tr>
      <w:tr w:rsidR="00354F64" w:rsidRPr="00C82C71" w14:paraId="33BFA98E" w14:textId="77777777" w:rsidTr="005D0D61">
        <w:trPr>
          <w:jc w:val="center"/>
        </w:trPr>
        <w:tc>
          <w:tcPr>
            <w:tcW w:w="2609" w:type="dxa"/>
            <w:shd w:val="clear" w:color="auto" w:fill="F7F8F8"/>
            <w:tcMar>
              <w:top w:w="50" w:type="dxa"/>
              <w:left w:w="65" w:type="dxa"/>
              <w:bottom w:w="50" w:type="dxa"/>
              <w:right w:w="65" w:type="dxa"/>
            </w:tcMar>
            <w:vAlign w:val="center"/>
          </w:tcPr>
          <w:p w14:paraId="3BD95145" w14:textId="77777777" w:rsidR="00354F64" w:rsidRPr="005D0D61" w:rsidRDefault="00000000">
            <w:pPr>
              <w:spacing w:after="0"/>
              <w:rPr>
                <w:rFonts w:cs="Arial"/>
                <w:sz w:val="18"/>
                <w:szCs w:val="18"/>
              </w:rPr>
            </w:pPr>
            <w:r w:rsidRPr="005D0D61">
              <w:rPr>
                <w:rFonts w:cs="Arial"/>
                <w:b/>
                <w:sz w:val="18"/>
                <w:szCs w:val="18"/>
              </w:rPr>
              <w:t>+ VADER tilt</w:t>
            </w:r>
          </w:p>
        </w:tc>
        <w:tc>
          <w:tcPr>
            <w:tcW w:w="1452" w:type="dxa"/>
            <w:shd w:val="clear" w:color="auto" w:fill="F7F8F8"/>
            <w:tcMar>
              <w:top w:w="50" w:type="dxa"/>
              <w:left w:w="65" w:type="dxa"/>
              <w:bottom w:w="50" w:type="dxa"/>
              <w:right w:w="65" w:type="dxa"/>
            </w:tcMar>
            <w:vAlign w:val="center"/>
          </w:tcPr>
          <w:p w14:paraId="1B0F98E3" w14:textId="77777777" w:rsidR="00354F64" w:rsidRPr="005D0D61" w:rsidRDefault="00000000">
            <w:pPr>
              <w:spacing w:after="0"/>
              <w:jc w:val="center"/>
              <w:rPr>
                <w:rFonts w:cs="Arial"/>
                <w:sz w:val="18"/>
                <w:szCs w:val="18"/>
              </w:rPr>
            </w:pPr>
            <w:r w:rsidRPr="005D0D61">
              <w:rPr>
                <w:rFonts w:cs="Arial"/>
                <w:sz w:val="18"/>
                <w:szCs w:val="18"/>
              </w:rPr>
              <w:t>6.2%</w:t>
            </w:r>
          </w:p>
        </w:tc>
        <w:tc>
          <w:tcPr>
            <w:tcW w:w="1452" w:type="dxa"/>
            <w:shd w:val="clear" w:color="auto" w:fill="F7F8F8"/>
            <w:tcMar>
              <w:top w:w="50" w:type="dxa"/>
              <w:left w:w="65" w:type="dxa"/>
              <w:bottom w:w="50" w:type="dxa"/>
              <w:right w:w="65" w:type="dxa"/>
            </w:tcMar>
            <w:vAlign w:val="center"/>
          </w:tcPr>
          <w:p w14:paraId="4069079E" w14:textId="77777777" w:rsidR="00354F64" w:rsidRPr="005D0D61" w:rsidRDefault="00000000">
            <w:pPr>
              <w:spacing w:after="0"/>
              <w:jc w:val="center"/>
              <w:rPr>
                <w:rFonts w:cs="Arial"/>
                <w:sz w:val="18"/>
                <w:szCs w:val="18"/>
              </w:rPr>
            </w:pPr>
            <w:r w:rsidRPr="005D0D61">
              <w:rPr>
                <w:rFonts w:cs="Arial"/>
                <w:sz w:val="18"/>
                <w:szCs w:val="18"/>
              </w:rPr>
              <w:t>17.9%</w:t>
            </w:r>
          </w:p>
        </w:tc>
        <w:tc>
          <w:tcPr>
            <w:tcW w:w="1452" w:type="dxa"/>
            <w:shd w:val="clear" w:color="auto" w:fill="F7F8F8"/>
            <w:tcMar>
              <w:top w:w="50" w:type="dxa"/>
              <w:left w:w="65" w:type="dxa"/>
              <w:bottom w:w="50" w:type="dxa"/>
              <w:right w:w="65" w:type="dxa"/>
            </w:tcMar>
            <w:vAlign w:val="center"/>
          </w:tcPr>
          <w:p w14:paraId="1856195C" w14:textId="77777777" w:rsidR="00354F64" w:rsidRPr="005D0D61" w:rsidRDefault="00000000">
            <w:pPr>
              <w:spacing w:after="0"/>
              <w:jc w:val="center"/>
              <w:rPr>
                <w:rFonts w:cs="Arial"/>
                <w:sz w:val="18"/>
                <w:szCs w:val="18"/>
              </w:rPr>
            </w:pPr>
            <w:r w:rsidRPr="005D0D61">
              <w:rPr>
                <w:rFonts w:cs="Arial"/>
                <w:sz w:val="18"/>
                <w:szCs w:val="18"/>
              </w:rPr>
              <w:t>0.344</w:t>
            </w:r>
          </w:p>
        </w:tc>
        <w:tc>
          <w:tcPr>
            <w:tcW w:w="1452" w:type="dxa"/>
            <w:shd w:val="clear" w:color="auto" w:fill="F7F8F8"/>
            <w:tcMar>
              <w:top w:w="50" w:type="dxa"/>
              <w:left w:w="65" w:type="dxa"/>
              <w:bottom w:w="50" w:type="dxa"/>
              <w:right w:w="65" w:type="dxa"/>
            </w:tcMar>
            <w:vAlign w:val="center"/>
          </w:tcPr>
          <w:p w14:paraId="3A17938C" w14:textId="77777777" w:rsidR="00354F64" w:rsidRPr="005D0D61" w:rsidRDefault="00000000">
            <w:pPr>
              <w:spacing w:after="0"/>
              <w:jc w:val="center"/>
              <w:rPr>
                <w:rFonts w:cs="Arial"/>
                <w:sz w:val="18"/>
                <w:szCs w:val="18"/>
              </w:rPr>
            </w:pPr>
            <w:r w:rsidRPr="005D0D61">
              <w:rPr>
                <w:rFonts w:cs="Arial"/>
                <w:sz w:val="18"/>
                <w:szCs w:val="18"/>
              </w:rPr>
              <w:t>-22.0%</w:t>
            </w:r>
          </w:p>
        </w:tc>
        <w:tc>
          <w:tcPr>
            <w:tcW w:w="1452" w:type="dxa"/>
            <w:shd w:val="clear" w:color="auto" w:fill="F7F8F8"/>
            <w:tcMar>
              <w:top w:w="50" w:type="dxa"/>
              <w:left w:w="65" w:type="dxa"/>
              <w:bottom w:w="50" w:type="dxa"/>
              <w:right w:w="65" w:type="dxa"/>
            </w:tcMar>
            <w:vAlign w:val="center"/>
          </w:tcPr>
          <w:p w14:paraId="35843362" w14:textId="77777777" w:rsidR="00354F64" w:rsidRPr="005D0D61" w:rsidRDefault="00000000">
            <w:pPr>
              <w:spacing w:after="0"/>
              <w:jc w:val="center"/>
              <w:rPr>
                <w:rFonts w:cs="Arial"/>
                <w:sz w:val="18"/>
                <w:szCs w:val="18"/>
              </w:rPr>
            </w:pPr>
            <w:r w:rsidRPr="005D0D61">
              <w:rPr>
                <w:rFonts w:cs="Arial"/>
                <w:sz w:val="18"/>
                <w:szCs w:val="18"/>
              </w:rPr>
              <w:t>29.9%</w:t>
            </w:r>
          </w:p>
        </w:tc>
        <w:tc>
          <w:tcPr>
            <w:tcW w:w="905" w:type="dxa"/>
            <w:shd w:val="clear" w:color="auto" w:fill="F7F8F8"/>
            <w:tcMar>
              <w:top w:w="50" w:type="dxa"/>
              <w:left w:w="65" w:type="dxa"/>
              <w:bottom w:w="50" w:type="dxa"/>
              <w:right w:w="65" w:type="dxa"/>
            </w:tcMar>
            <w:vAlign w:val="center"/>
          </w:tcPr>
          <w:p w14:paraId="2BB4020E" w14:textId="77777777" w:rsidR="00354F64" w:rsidRPr="005D0D61" w:rsidRDefault="00000000">
            <w:pPr>
              <w:spacing w:after="0"/>
              <w:jc w:val="center"/>
              <w:rPr>
                <w:rFonts w:cs="Arial"/>
                <w:sz w:val="18"/>
                <w:szCs w:val="18"/>
              </w:rPr>
            </w:pPr>
            <w:r w:rsidRPr="005D0D61">
              <w:rPr>
                <w:rFonts w:cs="Arial"/>
                <w:sz w:val="18"/>
                <w:szCs w:val="18"/>
              </w:rPr>
              <w:t>0.323</w:t>
            </w:r>
          </w:p>
        </w:tc>
      </w:tr>
      <w:tr w:rsidR="00354F64" w:rsidRPr="00C82C71" w14:paraId="3C8F1893" w14:textId="77777777" w:rsidTr="005D0D61">
        <w:trPr>
          <w:jc w:val="center"/>
        </w:trPr>
        <w:tc>
          <w:tcPr>
            <w:tcW w:w="2609" w:type="dxa"/>
            <w:tcMar>
              <w:top w:w="50" w:type="dxa"/>
              <w:left w:w="65" w:type="dxa"/>
              <w:bottom w:w="50" w:type="dxa"/>
              <w:right w:w="65" w:type="dxa"/>
            </w:tcMar>
            <w:vAlign w:val="center"/>
          </w:tcPr>
          <w:p w14:paraId="5AD87796" w14:textId="77777777" w:rsidR="00354F64" w:rsidRPr="005D0D61" w:rsidRDefault="00000000">
            <w:pPr>
              <w:spacing w:after="0"/>
              <w:rPr>
                <w:rFonts w:cs="Arial"/>
                <w:sz w:val="18"/>
                <w:szCs w:val="18"/>
              </w:rPr>
            </w:pPr>
            <w:r w:rsidRPr="005D0D61">
              <w:rPr>
                <w:rFonts w:cs="Arial"/>
                <w:b/>
                <w:sz w:val="18"/>
                <w:szCs w:val="18"/>
              </w:rPr>
              <w:t>+ Fin-VADER tilt</w:t>
            </w:r>
          </w:p>
        </w:tc>
        <w:tc>
          <w:tcPr>
            <w:tcW w:w="1452" w:type="dxa"/>
            <w:tcMar>
              <w:top w:w="50" w:type="dxa"/>
              <w:left w:w="65" w:type="dxa"/>
              <w:bottom w:w="50" w:type="dxa"/>
              <w:right w:w="65" w:type="dxa"/>
            </w:tcMar>
            <w:vAlign w:val="center"/>
          </w:tcPr>
          <w:p w14:paraId="3D70AEE0" w14:textId="77777777" w:rsidR="00354F64" w:rsidRPr="005D0D61" w:rsidRDefault="00000000">
            <w:pPr>
              <w:spacing w:after="0"/>
              <w:jc w:val="center"/>
              <w:rPr>
                <w:rFonts w:cs="Arial"/>
                <w:sz w:val="18"/>
                <w:szCs w:val="18"/>
              </w:rPr>
            </w:pPr>
            <w:r w:rsidRPr="005D0D61">
              <w:rPr>
                <w:rFonts w:cs="Arial"/>
                <w:sz w:val="18"/>
                <w:szCs w:val="18"/>
              </w:rPr>
              <w:t>6.1%</w:t>
            </w:r>
          </w:p>
        </w:tc>
        <w:tc>
          <w:tcPr>
            <w:tcW w:w="1452" w:type="dxa"/>
            <w:tcMar>
              <w:top w:w="50" w:type="dxa"/>
              <w:left w:w="65" w:type="dxa"/>
              <w:bottom w:w="50" w:type="dxa"/>
              <w:right w:w="65" w:type="dxa"/>
            </w:tcMar>
            <w:vAlign w:val="center"/>
          </w:tcPr>
          <w:p w14:paraId="26F1AB1B" w14:textId="77777777" w:rsidR="00354F64" w:rsidRPr="005D0D61" w:rsidRDefault="00000000">
            <w:pPr>
              <w:spacing w:after="0"/>
              <w:jc w:val="center"/>
              <w:rPr>
                <w:rFonts w:cs="Arial"/>
                <w:sz w:val="18"/>
                <w:szCs w:val="18"/>
              </w:rPr>
            </w:pPr>
            <w:r w:rsidRPr="005D0D61">
              <w:rPr>
                <w:rFonts w:cs="Arial"/>
                <w:sz w:val="18"/>
                <w:szCs w:val="18"/>
              </w:rPr>
              <w:t>17.8%</w:t>
            </w:r>
          </w:p>
        </w:tc>
        <w:tc>
          <w:tcPr>
            <w:tcW w:w="1452" w:type="dxa"/>
            <w:tcMar>
              <w:top w:w="50" w:type="dxa"/>
              <w:left w:w="65" w:type="dxa"/>
              <w:bottom w:w="50" w:type="dxa"/>
              <w:right w:w="65" w:type="dxa"/>
            </w:tcMar>
            <w:vAlign w:val="center"/>
          </w:tcPr>
          <w:p w14:paraId="203DFB95" w14:textId="77777777" w:rsidR="00354F64" w:rsidRPr="005D0D61" w:rsidRDefault="00000000">
            <w:pPr>
              <w:spacing w:after="0"/>
              <w:jc w:val="center"/>
              <w:rPr>
                <w:rFonts w:cs="Arial"/>
                <w:sz w:val="18"/>
                <w:szCs w:val="18"/>
              </w:rPr>
            </w:pPr>
            <w:r w:rsidRPr="005D0D61">
              <w:rPr>
                <w:rFonts w:cs="Arial"/>
                <w:sz w:val="18"/>
                <w:szCs w:val="18"/>
              </w:rPr>
              <w:t>0.342</w:t>
            </w:r>
          </w:p>
        </w:tc>
        <w:tc>
          <w:tcPr>
            <w:tcW w:w="1452" w:type="dxa"/>
            <w:tcMar>
              <w:top w:w="50" w:type="dxa"/>
              <w:left w:w="65" w:type="dxa"/>
              <w:bottom w:w="50" w:type="dxa"/>
              <w:right w:w="65" w:type="dxa"/>
            </w:tcMar>
            <w:vAlign w:val="center"/>
          </w:tcPr>
          <w:p w14:paraId="04E955A1" w14:textId="77777777" w:rsidR="00354F64" w:rsidRPr="005D0D61" w:rsidRDefault="00000000">
            <w:pPr>
              <w:spacing w:after="0"/>
              <w:jc w:val="center"/>
              <w:rPr>
                <w:rFonts w:cs="Arial"/>
                <w:sz w:val="18"/>
                <w:szCs w:val="18"/>
              </w:rPr>
            </w:pPr>
            <w:r w:rsidRPr="005D0D61">
              <w:rPr>
                <w:rFonts w:cs="Arial"/>
                <w:sz w:val="18"/>
                <w:szCs w:val="18"/>
              </w:rPr>
              <w:t>-21.4%</w:t>
            </w:r>
          </w:p>
        </w:tc>
        <w:tc>
          <w:tcPr>
            <w:tcW w:w="1452" w:type="dxa"/>
            <w:tcMar>
              <w:top w:w="50" w:type="dxa"/>
              <w:left w:w="65" w:type="dxa"/>
              <w:bottom w:w="50" w:type="dxa"/>
              <w:right w:w="65" w:type="dxa"/>
            </w:tcMar>
            <w:vAlign w:val="center"/>
          </w:tcPr>
          <w:p w14:paraId="0686B471" w14:textId="77777777" w:rsidR="00354F64" w:rsidRPr="005D0D61" w:rsidRDefault="00000000">
            <w:pPr>
              <w:spacing w:after="0"/>
              <w:jc w:val="center"/>
              <w:rPr>
                <w:rFonts w:cs="Arial"/>
                <w:sz w:val="18"/>
                <w:szCs w:val="18"/>
              </w:rPr>
            </w:pPr>
            <w:r w:rsidRPr="005D0D61">
              <w:rPr>
                <w:rFonts w:cs="Arial"/>
                <w:sz w:val="18"/>
                <w:szCs w:val="18"/>
              </w:rPr>
              <w:t>30.0%</w:t>
            </w:r>
          </w:p>
        </w:tc>
        <w:tc>
          <w:tcPr>
            <w:tcW w:w="905" w:type="dxa"/>
            <w:tcMar>
              <w:top w:w="50" w:type="dxa"/>
              <w:left w:w="65" w:type="dxa"/>
              <w:bottom w:w="50" w:type="dxa"/>
              <w:right w:w="65" w:type="dxa"/>
            </w:tcMar>
            <w:vAlign w:val="center"/>
          </w:tcPr>
          <w:p w14:paraId="78C51A4E" w14:textId="77777777" w:rsidR="00354F64" w:rsidRPr="005D0D61" w:rsidRDefault="00000000">
            <w:pPr>
              <w:spacing w:after="0"/>
              <w:jc w:val="center"/>
              <w:rPr>
                <w:rFonts w:cs="Arial"/>
                <w:sz w:val="18"/>
                <w:szCs w:val="18"/>
              </w:rPr>
            </w:pPr>
            <w:r w:rsidRPr="005D0D61">
              <w:rPr>
                <w:rFonts w:cs="Arial"/>
                <w:sz w:val="18"/>
                <w:szCs w:val="18"/>
              </w:rPr>
              <w:t>0.320</w:t>
            </w:r>
          </w:p>
        </w:tc>
      </w:tr>
    </w:tbl>
    <w:p w14:paraId="6E8A9D70" w14:textId="77777777" w:rsidR="005D0D61" w:rsidRPr="005D0D61" w:rsidRDefault="005D0D61" w:rsidP="005D0D61">
      <w:pPr>
        <w:pStyle w:val="NormalWeb"/>
        <w:rPr>
          <w:rFonts w:ascii="Arial" w:hAnsi="Arial" w:cs="Arial"/>
          <w:sz w:val="21"/>
          <w:szCs w:val="21"/>
        </w:rPr>
      </w:pPr>
      <w:r w:rsidRPr="005D0D61">
        <w:rPr>
          <w:rFonts w:ascii="Arial" w:hAnsi="Arial" w:cs="Arial"/>
          <w:sz w:val="21"/>
          <w:szCs w:val="21"/>
        </w:rPr>
        <w:t>There was no improvement in the base fund. With basic VADER, Sharpe fell from 0.380 to 0.344, and with Fin-VADER it went down to 0.342; with that same model we have an increase in monthly turnover of 28.1% to approximately 30%. Although there may be a slight reduction in max DD (from -22.6% to -21.4%), Figure 8 demonstrates all three paths were relatively similar and the funds based on the tilted portfolios will end up slightly lower.</w:t>
      </w:r>
    </w:p>
    <w:p w14:paraId="5A7C92C8" w14:textId="352089B5" w:rsidR="005D0D61" w:rsidRPr="005D0D61" w:rsidRDefault="005D0D61" w:rsidP="005D0D61">
      <w:pPr>
        <w:pStyle w:val="NormalWeb"/>
        <w:rPr>
          <w:rFonts w:ascii="Arial" w:hAnsi="Arial" w:cs="Arial"/>
          <w:sz w:val="21"/>
          <w:szCs w:val="21"/>
        </w:rPr>
      </w:pPr>
      <w:r w:rsidRPr="005D0D61">
        <w:rPr>
          <w:rFonts w:ascii="Arial" w:hAnsi="Arial" w:cs="Arial"/>
          <w:sz w:val="21"/>
          <w:szCs w:val="21"/>
        </w:rPr>
        <w:t>The direct prediction analysis was weak. Based on 9800 sector day combinations, the Pearson Information Coefficient was -0.043 and the Spearman Coefficient was -0.023. Both are extremely close to zero and can therefore be considered economically negligible. It's likely that there is no one cause for this result. Sentiment noise exists at a monthly time frame. The Maximum Sharpe Base Fund is already weak out-of-sample. The sentiment indicator is constructed at the sector level while the stocks' weights are established at the individual stock level. Additionally, the 21-day average will smooth out much of the additional variability produced by Fin-VADER.</w:t>
      </w:r>
      <w:r>
        <w:rPr>
          <w:rFonts w:ascii="Arial" w:hAnsi="Arial" w:cs="Arial"/>
          <w:sz w:val="21"/>
          <w:szCs w:val="21"/>
        </w:rPr>
        <w:t xml:space="preserve"> </w:t>
      </w:r>
      <w:r w:rsidRPr="005D0D61">
        <w:rPr>
          <w:rFonts w:ascii="Arial" w:hAnsi="Arial" w:cs="Arial"/>
          <w:sz w:val="21"/>
          <w:szCs w:val="21"/>
        </w:rPr>
        <w:t>Therefore, Fund X should offer sentiment as an analytical and research tool instead of marketing the tilt as an alpha-generating strategy.</w:t>
      </w:r>
    </w:p>
    <w:p w14:paraId="110D0D55" w14:textId="49339233" w:rsidR="00354F64" w:rsidRDefault="00000000">
      <w:pPr>
        <w:pStyle w:val="Heading2"/>
        <w:rPr>
          <w:rFonts w:ascii="Arial" w:hAnsi="Arial" w:cs="Arial"/>
          <w:sz w:val="28"/>
          <w:szCs w:val="28"/>
        </w:rPr>
      </w:pPr>
      <w:r w:rsidRPr="005D0D61">
        <w:rPr>
          <w:rFonts w:ascii="Arial" w:hAnsi="Arial" w:cs="Arial"/>
          <w:sz w:val="28"/>
          <w:szCs w:val="28"/>
        </w:rPr>
        <w:t>4.3 Turnover, costs and implementation realism</w:t>
      </w:r>
    </w:p>
    <w:p w14:paraId="2453E431" w14:textId="77777777" w:rsidR="005D0D61" w:rsidRPr="005D0D61" w:rsidRDefault="005D0D61" w:rsidP="005D0D61">
      <w:pPr>
        <w:pStyle w:val="NormalWeb"/>
        <w:rPr>
          <w:rFonts w:ascii="Arial" w:hAnsi="Arial" w:cs="Arial"/>
          <w:sz w:val="21"/>
          <w:szCs w:val="21"/>
        </w:rPr>
      </w:pPr>
      <w:r w:rsidRPr="005D0D61">
        <w:rPr>
          <w:rFonts w:ascii="Arial" w:hAnsi="Arial" w:cs="Arial"/>
          <w:sz w:val="21"/>
          <w:szCs w:val="21"/>
        </w:rPr>
        <w:t>The turnover differences are important as well. Equal Weight moves only about 2.6% to 5.8% of the portfolio each month across the fund families, while Risk Parity turns over about 3.1% to 6.3%. Maximum Sharpe is far more active, with turnover of 28.5% in the combined fund and 28.1% in the equity fund.</w:t>
      </w:r>
    </w:p>
    <w:p w14:paraId="3BECC18A" w14:textId="2561AB42" w:rsidR="005D0D61" w:rsidRPr="005D0D61" w:rsidRDefault="005D0D61" w:rsidP="005D0D61">
      <w:pPr>
        <w:pStyle w:val="NormalWeb"/>
        <w:rPr>
          <w:rFonts w:ascii="Arial" w:hAnsi="Arial" w:cs="Arial"/>
          <w:sz w:val="21"/>
          <w:szCs w:val="21"/>
        </w:rPr>
      </w:pPr>
      <w:r w:rsidRPr="005D0D61">
        <w:rPr>
          <w:rFonts w:ascii="Arial" w:hAnsi="Arial" w:cs="Arial"/>
          <w:sz w:val="21"/>
          <w:szCs w:val="21"/>
        </w:rPr>
        <w:lastRenderedPageBreak/>
        <w:t>At 10 basis points (bps), the overall rankings do not change, but the impact is largest where expected. Combined Maximum Sharpe falls from a Gross Sharpe of 0.744 to a Net Sharpe of 0.727, while Combined Risk Parity only falls from 0.862 to 0.859. Figure 9 also shows that the wealth paths remain similar over the three-year period, meaning the cost assumption is not large enough to drive the result. However, the drag would increase with higher trading costs and remain greatest for the more aggressive optimiser.</w:t>
      </w:r>
    </w:p>
    <w:p w14:paraId="71E78434" w14:textId="77777777" w:rsidR="00354F64" w:rsidRPr="005D0D61" w:rsidRDefault="00000000">
      <w:pPr>
        <w:pStyle w:val="Heading2"/>
        <w:rPr>
          <w:rFonts w:ascii="Arial" w:hAnsi="Arial" w:cs="Arial"/>
          <w:sz w:val="28"/>
          <w:szCs w:val="28"/>
        </w:rPr>
      </w:pPr>
      <w:r w:rsidRPr="005D0D61">
        <w:rPr>
          <w:rFonts w:ascii="Arial" w:hAnsi="Arial" w:cs="Arial"/>
          <w:sz w:val="28"/>
          <w:szCs w:val="28"/>
        </w:rPr>
        <w:t>4.4 Robustness: the leaderboard is less certain than the point estimates</w:t>
      </w:r>
    </w:p>
    <w:p w14:paraId="2ABA3599" w14:textId="77777777" w:rsidR="00EC1BCE" w:rsidRPr="00EC1BCE" w:rsidRDefault="00EC1BCE" w:rsidP="00EC1BCE">
      <w:pPr>
        <w:pStyle w:val="pdq2pgselectionanchorcontainer"/>
        <w:rPr>
          <w:rFonts w:ascii="Arial" w:hAnsi="Arial" w:cs="Arial"/>
          <w:sz w:val="21"/>
          <w:szCs w:val="21"/>
        </w:rPr>
      </w:pPr>
      <w:r w:rsidRPr="00EC1BCE">
        <w:rPr>
          <w:rFonts w:ascii="Arial" w:hAnsi="Arial" w:cs="Arial"/>
          <w:sz w:val="21"/>
          <w:szCs w:val="21"/>
        </w:rPr>
        <w:t xml:space="preserve">A 21-day moving-block bootstrap using 2000 draws with random number generator seed 42 alters my perception of the fund ranking. All sampled date blocks are identical across all funds selected in each draw. This means that cross-fund dependency is preserved in comparing pairs of funds. In Figure 10, 90 percent Sharpe intervals are shown. Each interval intersects zero. The Combined Risk Parity model yields a Sharpe ratio of .862 with an estimated interval of approximately [-.25, 2.02] while Combined Maximum Sharpe gives a Sharpe ratio of .744 with an estimated interval of approximately [-.37, 1.61]. The paired Risk Parity minus Max Sharpe difference is +.118 with an estimated interval of approximately [-.41, .95]. Overall, the Risk Parity strategy outperforms the Max Sharpe strategy in 70.9 percent of the draws. Additionally, in 70.6 percent of the paired draws the Fin-VADER sentiment tilt is less effective than its base case. The interval of the paired Fin-VADER strategy also intersects zero. While three years of data are sufficient to demonstrate the existence of drawdowns, turnover differences and the failed fusion result, they do not provide adequate time to determine if these small differences in Sharpe ratios will be persistent over long horizons. Therefore, the </w:t>
      </w:r>
      <w:proofErr w:type="spellStart"/>
      <w:r w:rsidRPr="00EC1BCE">
        <w:rPr>
          <w:rFonts w:ascii="Arial" w:hAnsi="Arial" w:cs="Arial"/>
          <w:sz w:val="21"/>
          <w:szCs w:val="21"/>
        </w:rPr>
        <w:t>FundX</w:t>
      </w:r>
      <w:proofErr w:type="spellEnd"/>
      <w:r w:rsidRPr="00EC1BCE">
        <w:rPr>
          <w:rFonts w:ascii="Arial" w:hAnsi="Arial" w:cs="Arial"/>
          <w:sz w:val="21"/>
          <w:szCs w:val="21"/>
        </w:rPr>
        <w:t xml:space="preserve"> recommendations use multiple measurements to determine rankings instead of relying solely on point estimates.</w:t>
      </w:r>
    </w:p>
    <w:p w14:paraId="0582C5DC" w14:textId="5DB5E314" w:rsidR="00EC1BCE" w:rsidRPr="00EC1BCE" w:rsidRDefault="00EC1BCE" w:rsidP="00EC1BCE">
      <w:pPr>
        <w:pStyle w:val="NormalWeb"/>
        <w:rPr>
          <w:rFonts w:ascii="Arial" w:hAnsi="Arial" w:cs="Arial"/>
          <w:sz w:val="21"/>
          <w:szCs w:val="21"/>
        </w:rPr>
      </w:pPr>
      <w:r w:rsidRPr="00EC1BCE">
        <w:rPr>
          <w:rFonts w:ascii="Arial" w:hAnsi="Arial" w:cs="Arial"/>
          <w:sz w:val="21"/>
          <w:szCs w:val="21"/>
        </w:rPr>
        <w:t xml:space="preserve">In addition to providing a broader range of portfolio strategies through HRP, testing implementation drag due to transaction costs, evaluating the ability of sentiment measurement to be enhanced through Fin-VADER and testing whether such enhancements translate into better portfolio performance through fusion, the nearly-zero information coefficient also indicates that there may be limited predictive value associated with the signal itself at this horizon. Finally, the bootstrap allows for determining whether the ranking of funds is robust. Thus, the order in which the extensions occur is important because an extension could successfully function at one level and then fail at another. For example, Fin-VADER was successful in improving sentiment measurement however was unsuccessful in enhancing Sharpe ratios. Similarly, the bootstrap prevented small differences in point estimates from being perceived as certainties. As a result, I consider the negative fusion result to be an innovation outcome because it provides evidence regarding what occurred, what did not occur and how such results should impact the </w:t>
      </w:r>
      <w:proofErr w:type="spellStart"/>
      <w:r w:rsidRPr="00EC1BCE">
        <w:rPr>
          <w:rFonts w:ascii="Arial" w:hAnsi="Arial" w:cs="Arial"/>
          <w:sz w:val="21"/>
          <w:szCs w:val="21"/>
        </w:rPr>
        <w:t>FundX</w:t>
      </w:r>
      <w:proofErr w:type="spellEnd"/>
      <w:r w:rsidRPr="00EC1BCE">
        <w:rPr>
          <w:rFonts w:ascii="Arial" w:hAnsi="Arial" w:cs="Arial"/>
          <w:sz w:val="21"/>
          <w:szCs w:val="21"/>
        </w:rPr>
        <w:t xml:space="preserve"> product claims.</w:t>
      </w:r>
    </w:p>
    <w:p w14:paraId="58EA8A1A" w14:textId="6AC0E7A0" w:rsidR="00354F64" w:rsidRPr="00C82C71" w:rsidRDefault="00000000">
      <w:pPr>
        <w:pStyle w:val="Heading1"/>
        <w:pBdr>
          <w:bottom w:val="single" w:sz="8" w:space="2" w:color="1F8A8C"/>
        </w:pBdr>
        <w:rPr>
          <w:rFonts w:ascii="Arial" w:hAnsi="Arial" w:cs="Arial"/>
        </w:rPr>
      </w:pPr>
      <w:r w:rsidRPr="00C82C71">
        <w:rPr>
          <w:rFonts w:ascii="Arial" w:hAnsi="Arial" w:cs="Arial"/>
        </w:rPr>
        <w:t>5. The App and the Investor Journey</w:t>
      </w:r>
    </w:p>
    <w:p w14:paraId="4633F884" w14:textId="740FA9ED" w:rsidR="006B1AAF" w:rsidRPr="00EC1BCE" w:rsidRDefault="00EC1BCE">
      <w:pPr>
        <w:rPr>
          <w:rFonts w:cs="Arial"/>
          <w:color w:val="000000" w:themeColor="text1"/>
          <w:sz w:val="21"/>
          <w:szCs w:val="21"/>
        </w:rPr>
      </w:pPr>
      <w:r w:rsidRPr="00EC1BCE">
        <w:rPr>
          <w:color w:val="000000" w:themeColor="text1"/>
          <w:sz w:val="21"/>
          <w:szCs w:val="21"/>
        </w:rPr>
        <w:t xml:space="preserve">The user will have access to the same content from the </w:t>
      </w:r>
      <w:proofErr w:type="spellStart"/>
      <w:r w:rsidRPr="00EC1BCE">
        <w:rPr>
          <w:color w:val="000000" w:themeColor="text1"/>
          <w:sz w:val="21"/>
          <w:szCs w:val="21"/>
        </w:rPr>
        <w:t>Streamlit</w:t>
      </w:r>
      <w:proofErr w:type="spellEnd"/>
      <w:r w:rsidRPr="00EC1BCE">
        <w:rPr>
          <w:color w:val="000000" w:themeColor="text1"/>
          <w:sz w:val="21"/>
          <w:szCs w:val="21"/>
        </w:rPr>
        <w:t xml:space="preserve"> App that was previously used for the analysis. However, in this case, it has been turned into an Investor Journey with 7 different pages. The pages are ordered sequentially so users may begin by learning about </w:t>
      </w:r>
      <w:proofErr w:type="gramStart"/>
      <w:r w:rsidRPr="00EC1BCE">
        <w:rPr>
          <w:color w:val="000000" w:themeColor="text1"/>
          <w:sz w:val="21"/>
          <w:szCs w:val="21"/>
        </w:rPr>
        <w:t>all of</w:t>
      </w:r>
      <w:proofErr w:type="gramEnd"/>
      <w:r w:rsidRPr="00EC1BCE">
        <w:rPr>
          <w:color w:val="000000" w:themeColor="text1"/>
          <w:sz w:val="21"/>
          <w:szCs w:val="21"/>
        </w:rPr>
        <w:t xml:space="preserve"> the available investment funds, then compare one or multiple funds based on their </w:t>
      </w:r>
      <w:proofErr w:type="gramStart"/>
      <w:r w:rsidRPr="00EC1BCE">
        <w:rPr>
          <w:color w:val="000000" w:themeColor="text1"/>
          <w:sz w:val="21"/>
          <w:szCs w:val="21"/>
        </w:rPr>
        <w:t>characteristics, and</w:t>
      </w:r>
      <w:proofErr w:type="gramEnd"/>
      <w:r w:rsidRPr="00EC1BCE">
        <w:rPr>
          <w:color w:val="000000" w:themeColor="text1"/>
          <w:sz w:val="21"/>
          <w:szCs w:val="21"/>
        </w:rPr>
        <w:t xml:space="preserve"> ultimately build their own investment portfolio. Users can also access the methodology and data behind the resulting allocations, meaning the process remains transparent rather than operating as a black box.</w:t>
      </w:r>
    </w:p>
    <w:tbl>
      <w:tblPr>
        <w:tblStyle w:val="TableGrid"/>
        <w:tblW w:w="10348" w:type="dxa"/>
        <w:jc w:val="center"/>
        <w:tblLayout w:type="fixed"/>
        <w:tblLook w:val="04A0" w:firstRow="1" w:lastRow="0" w:firstColumn="1" w:lastColumn="0" w:noHBand="0" w:noVBand="1"/>
      </w:tblPr>
      <w:tblGrid>
        <w:gridCol w:w="2635"/>
        <w:gridCol w:w="4680"/>
        <w:gridCol w:w="3033"/>
      </w:tblGrid>
      <w:tr w:rsidR="00354F64" w:rsidRPr="00C82C71" w14:paraId="208EDB9A" w14:textId="77777777" w:rsidTr="006B1AAF">
        <w:trPr>
          <w:tblHeader/>
          <w:jc w:val="center"/>
        </w:trPr>
        <w:tc>
          <w:tcPr>
            <w:tcW w:w="2635" w:type="dxa"/>
            <w:shd w:val="clear" w:color="auto" w:fill="12283F"/>
            <w:tcMar>
              <w:top w:w="55" w:type="dxa"/>
              <w:left w:w="65" w:type="dxa"/>
              <w:bottom w:w="55" w:type="dxa"/>
              <w:right w:w="65" w:type="dxa"/>
            </w:tcMar>
            <w:vAlign w:val="center"/>
          </w:tcPr>
          <w:p w14:paraId="5B64359F" w14:textId="77777777" w:rsidR="00354F64" w:rsidRPr="00EC1BCE" w:rsidRDefault="00000000">
            <w:pPr>
              <w:spacing w:after="0"/>
              <w:jc w:val="center"/>
              <w:rPr>
                <w:rFonts w:cs="Arial"/>
                <w:color w:val="FFFFFF" w:themeColor="background1"/>
                <w:sz w:val="18"/>
                <w:szCs w:val="18"/>
              </w:rPr>
            </w:pPr>
            <w:r w:rsidRPr="00EC1BCE">
              <w:rPr>
                <w:rFonts w:cs="Arial"/>
                <w:b/>
                <w:color w:val="FFFFFF" w:themeColor="background1"/>
                <w:sz w:val="18"/>
                <w:szCs w:val="18"/>
              </w:rPr>
              <w:t>Journey step</w:t>
            </w:r>
          </w:p>
        </w:tc>
        <w:tc>
          <w:tcPr>
            <w:tcW w:w="4680" w:type="dxa"/>
            <w:shd w:val="clear" w:color="auto" w:fill="12283F"/>
            <w:tcMar>
              <w:top w:w="55" w:type="dxa"/>
              <w:left w:w="65" w:type="dxa"/>
              <w:bottom w:w="55" w:type="dxa"/>
              <w:right w:w="65" w:type="dxa"/>
            </w:tcMar>
            <w:vAlign w:val="center"/>
          </w:tcPr>
          <w:p w14:paraId="2E69F01A" w14:textId="77777777" w:rsidR="00354F64" w:rsidRPr="00EC1BCE" w:rsidRDefault="00000000">
            <w:pPr>
              <w:spacing w:after="0"/>
              <w:jc w:val="center"/>
              <w:rPr>
                <w:rFonts w:cs="Arial"/>
                <w:color w:val="FFFFFF" w:themeColor="background1"/>
                <w:sz w:val="18"/>
                <w:szCs w:val="18"/>
              </w:rPr>
            </w:pPr>
            <w:r w:rsidRPr="00EC1BCE">
              <w:rPr>
                <w:rFonts w:cs="Arial"/>
                <w:b/>
                <w:color w:val="FFFFFF" w:themeColor="background1"/>
                <w:sz w:val="18"/>
                <w:szCs w:val="18"/>
              </w:rPr>
              <w:t>What the user can do</w:t>
            </w:r>
          </w:p>
        </w:tc>
        <w:tc>
          <w:tcPr>
            <w:tcW w:w="3033" w:type="dxa"/>
            <w:shd w:val="clear" w:color="auto" w:fill="12283F"/>
            <w:tcMar>
              <w:top w:w="55" w:type="dxa"/>
              <w:left w:w="65" w:type="dxa"/>
              <w:bottom w:w="55" w:type="dxa"/>
              <w:right w:w="65" w:type="dxa"/>
            </w:tcMar>
            <w:vAlign w:val="center"/>
          </w:tcPr>
          <w:p w14:paraId="312CD908" w14:textId="77777777" w:rsidR="00354F64" w:rsidRPr="00EC1BCE" w:rsidRDefault="00000000">
            <w:pPr>
              <w:spacing w:after="0"/>
              <w:jc w:val="center"/>
              <w:rPr>
                <w:rFonts w:cs="Arial"/>
                <w:color w:val="FFFFFF" w:themeColor="background1"/>
                <w:sz w:val="18"/>
                <w:szCs w:val="18"/>
              </w:rPr>
            </w:pPr>
            <w:r w:rsidRPr="00EC1BCE">
              <w:rPr>
                <w:rFonts w:cs="Arial"/>
                <w:b/>
                <w:color w:val="FFFFFF" w:themeColor="background1"/>
                <w:sz w:val="18"/>
                <w:szCs w:val="18"/>
              </w:rPr>
              <w:t>Why it matters</w:t>
            </w:r>
          </w:p>
        </w:tc>
      </w:tr>
      <w:tr w:rsidR="00354F64" w:rsidRPr="00C82C71" w14:paraId="11A97860" w14:textId="77777777" w:rsidTr="006B1AAF">
        <w:trPr>
          <w:jc w:val="center"/>
        </w:trPr>
        <w:tc>
          <w:tcPr>
            <w:tcW w:w="2635" w:type="dxa"/>
            <w:tcMar>
              <w:top w:w="50" w:type="dxa"/>
              <w:left w:w="65" w:type="dxa"/>
              <w:bottom w:w="50" w:type="dxa"/>
              <w:right w:w="65" w:type="dxa"/>
            </w:tcMar>
            <w:vAlign w:val="center"/>
          </w:tcPr>
          <w:p w14:paraId="238B78AA" w14:textId="77777777" w:rsidR="00354F64" w:rsidRPr="00EC1BCE" w:rsidRDefault="00000000">
            <w:pPr>
              <w:spacing w:after="0"/>
              <w:rPr>
                <w:rFonts w:cs="Arial"/>
                <w:color w:val="000000" w:themeColor="text1"/>
                <w:sz w:val="18"/>
                <w:szCs w:val="18"/>
              </w:rPr>
            </w:pPr>
            <w:r w:rsidRPr="00EC1BCE">
              <w:rPr>
                <w:rFonts w:cs="Arial"/>
                <w:b/>
                <w:color w:val="000000" w:themeColor="text1"/>
                <w:sz w:val="18"/>
                <w:szCs w:val="18"/>
              </w:rPr>
              <w:t>1. Discover</w:t>
            </w:r>
          </w:p>
        </w:tc>
        <w:tc>
          <w:tcPr>
            <w:tcW w:w="4680" w:type="dxa"/>
            <w:tcMar>
              <w:top w:w="50" w:type="dxa"/>
              <w:left w:w="65" w:type="dxa"/>
              <w:bottom w:w="50" w:type="dxa"/>
              <w:right w:w="65" w:type="dxa"/>
            </w:tcMar>
            <w:vAlign w:val="center"/>
          </w:tcPr>
          <w:p w14:paraId="38A0E3CE"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Overview + Find my mix introduce the shelf and risk preferences</w:t>
            </w:r>
          </w:p>
        </w:tc>
        <w:tc>
          <w:tcPr>
            <w:tcW w:w="3033" w:type="dxa"/>
            <w:tcMar>
              <w:top w:w="50" w:type="dxa"/>
              <w:left w:w="65" w:type="dxa"/>
              <w:bottom w:w="50" w:type="dxa"/>
              <w:right w:w="65" w:type="dxa"/>
            </w:tcMar>
            <w:vAlign w:val="center"/>
          </w:tcPr>
          <w:p w14:paraId="0F502BB5"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Reduces a 17-fund universe to a manageable starting point</w:t>
            </w:r>
          </w:p>
        </w:tc>
      </w:tr>
      <w:tr w:rsidR="00354F64" w:rsidRPr="00C82C71" w14:paraId="45054A20" w14:textId="77777777" w:rsidTr="006B1AAF">
        <w:trPr>
          <w:jc w:val="center"/>
        </w:trPr>
        <w:tc>
          <w:tcPr>
            <w:tcW w:w="2635" w:type="dxa"/>
            <w:shd w:val="clear" w:color="auto" w:fill="F7F8F8"/>
            <w:tcMar>
              <w:top w:w="50" w:type="dxa"/>
              <w:left w:w="65" w:type="dxa"/>
              <w:bottom w:w="50" w:type="dxa"/>
              <w:right w:w="65" w:type="dxa"/>
            </w:tcMar>
            <w:vAlign w:val="center"/>
          </w:tcPr>
          <w:p w14:paraId="2D7BC881" w14:textId="77777777" w:rsidR="00354F64" w:rsidRPr="00EC1BCE" w:rsidRDefault="00000000">
            <w:pPr>
              <w:spacing w:after="0"/>
              <w:rPr>
                <w:rFonts w:cs="Arial"/>
                <w:color w:val="000000" w:themeColor="text1"/>
                <w:sz w:val="18"/>
                <w:szCs w:val="18"/>
              </w:rPr>
            </w:pPr>
            <w:r w:rsidRPr="00EC1BCE">
              <w:rPr>
                <w:rFonts w:cs="Arial"/>
                <w:b/>
                <w:color w:val="000000" w:themeColor="text1"/>
                <w:sz w:val="18"/>
                <w:szCs w:val="18"/>
              </w:rPr>
              <w:t>2. Compare</w:t>
            </w:r>
          </w:p>
        </w:tc>
        <w:tc>
          <w:tcPr>
            <w:tcW w:w="4680" w:type="dxa"/>
            <w:shd w:val="clear" w:color="auto" w:fill="F7F8F8"/>
            <w:tcMar>
              <w:top w:w="50" w:type="dxa"/>
              <w:left w:w="65" w:type="dxa"/>
              <w:bottom w:w="50" w:type="dxa"/>
              <w:right w:w="65" w:type="dxa"/>
            </w:tcMar>
            <w:vAlign w:val="center"/>
          </w:tcPr>
          <w:p w14:paraId="00C7B73D"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Filter funds, sort metrics and overlay growth of $1</w:t>
            </w:r>
          </w:p>
        </w:tc>
        <w:tc>
          <w:tcPr>
            <w:tcW w:w="3033" w:type="dxa"/>
            <w:shd w:val="clear" w:color="auto" w:fill="F7F8F8"/>
            <w:tcMar>
              <w:top w:w="50" w:type="dxa"/>
              <w:left w:w="65" w:type="dxa"/>
              <w:bottom w:w="50" w:type="dxa"/>
              <w:right w:w="65" w:type="dxa"/>
            </w:tcMar>
            <w:vAlign w:val="center"/>
          </w:tcPr>
          <w:p w14:paraId="08CD3F62"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Makes return, risk and drawdown trade-offs visible side by side</w:t>
            </w:r>
          </w:p>
        </w:tc>
      </w:tr>
      <w:tr w:rsidR="00354F64" w:rsidRPr="00C82C71" w14:paraId="1CAA2AE5" w14:textId="77777777" w:rsidTr="006B1AAF">
        <w:trPr>
          <w:jc w:val="center"/>
        </w:trPr>
        <w:tc>
          <w:tcPr>
            <w:tcW w:w="2635" w:type="dxa"/>
            <w:tcMar>
              <w:top w:w="50" w:type="dxa"/>
              <w:left w:w="65" w:type="dxa"/>
              <w:bottom w:w="50" w:type="dxa"/>
              <w:right w:w="65" w:type="dxa"/>
            </w:tcMar>
            <w:vAlign w:val="center"/>
          </w:tcPr>
          <w:p w14:paraId="76F98374" w14:textId="77777777" w:rsidR="00354F64" w:rsidRPr="00EC1BCE" w:rsidRDefault="00000000">
            <w:pPr>
              <w:spacing w:after="0"/>
              <w:rPr>
                <w:rFonts w:cs="Arial"/>
                <w:color w:val="000000" w:themeColor="text1"/>
                <w:sz w:val="18"/>
                <w:szCs w:val="18"/>
              </w:rPr>
            </w:pPr>
            <w:r w:rsidRPr="00EC1BCE">
              <w:rPr>
                <w:rFonts w:cs="Arial"/>
                <w:b/>
                <w:color w:val="000000" w:themeColor="text1"/>
                <w:sz w:val="18"/>
                <w:szCs w:val="18"/>
              </w:rPr>
              <w:t>3. Inspect</w:t>
            </w:r>
          </w:p>
        </w:tc>
        <w:tc>
          <w:tcPr>
            <w:tcW w:w="4680" w:type="dxa"/>
            <w:tcMar>
              <w:top w:w="50" w:type="dxa"/>
              <w:left w:w="65" w:type="dxa"/>
              <w:bottom w:w="50" w:type="dxa"/>
              <w:right w:w="65" w:type="dxa"/>
            </w:tcMar>
            <w:vAlign w:val="center"/>
          </w:tcPr>
          <w:p w14:paraId="5D34E8DB"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Open a fact sheet with KPIs, drawdown, holdings and weight history</w:t>
            </w:r>
          </w:p>
        </w:tc>
        <w:tc>
          <w:tcPr>
            <w:tcW w:w="3033" w:type="dxa"/>
            <w:tcMar>
              <w:top w:w="50" w:type="dxa"/>
              <w:left w:w="65" w:type="dxa"/>
              <w:bottom w:w="50" w:type="dxa"/>
              <w:right w:w="65" w:type="dxa"/>
            </w:tcMar>
            <w:vAlign w:val="center"/>
          </w:tcPr>
          <w:p w14:paraId="51D6132B"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Turns each rule into an explainable investable product</w:t>
            </w:r>
          </w:p>
        </w:tc>
      </w:tr>
      <w:tr w:rsidR="00354F64" w:rsidRPr="00C82C71" w14:paraId="7DE002D6" w14:textId="77777777" w:rsidTr="006B1AAF">
        <w:trPr>
          <w:jc w:val="center"/>
        </w:trPr>
        <w:tc>
          <w:tcPr>
            <w:tcW w:w="2635" w:type="dxa"/>
            <w:shd w:val="clear" w:color="auto" w:fill="F7F8F8"/>
            <w:tcMar>
              <w:top w:w="50" w:type="dxa"/>
              <w:left w:w="65" w:type="dxa"/>
              <w:bottom w:w="50" w:type="dxa"/>
              <w:right w:w="65" w:type="dxa"/>
            </w:tcMar>
            <w:vAlign w:val="center"/>
          </w:tcPr>
          <w:p w14:paraId="473C579A" w14:textId="77777777" w:rsidR="00354F64" w:rsidRPr="00EC1BCE" w:rsidRDefault="00000000">
            <w:pPr>
              <w:spacing w:after="0"/>
              <w:rPr>
                <w:rFonts w:cs="Arial"/>
                <w:color w:val="000000" w:themeColor="text1"/>
                <w:sz w:val="18"/>
                <w:szCs w:val="18"/>
              </w:rPr>
            </w:pPr>
            <w:r w:rsidRPr="00EC1BCE">
              <w:rPr>
                <w:rFonts w:cs="Arial"/>
                <w:b/>
                <w:color w:val="000000" w:themeColor="text1"/>
                <w:sz w:val="18"/>
                <w:szCs w:val="18"/>
              </w:rPr>
              <w:t>4. Allocate</w:t>
            </w:r>
          </w:p>
        </w:tc>
        <w:tc>
          <w:tcPr>
            <w:tcW w:w="4680" w:type="dxa"/>
            <w:shd w:val="clear" w:color="auto" w:fill="F7F8F8"/>
            <w:tcMar>
              <w:top w:w="50" w:type="dxa"/>
              <w:left w:w="65" w:type="dxa"/>
              <w:bottom w:w="50" w:type="dxa"/>
              <w:right w:w="65" w:type="dxa"/>
            </w:tcMar>
            <w:vAlign w:val="center"/>
          </w:tcPr>
          <w:p w14:paraId="70F98290"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Combine funds, normalise to 100%, enter amount/horizon and view fee illustration</w:t>
            </w:r>
          </w:p>
        </w:tc>
        <w:tc>
          <w:tcPr>
            <w:tcW w:w="3033" w:type="dxa"/>
            <w:shd w:val="clear" w:color="auto" w:fill="F7F8F8"/>
            <w:tcMar>
              <w:top w:w="50" w:type="dxa"/>
              <w:left w:w="65" w:type="dxa"/>
              <w:bottom w:w="50" w:type="dxa"/>
              <w:right w:w="65" w:type="dxa"/>
            </w:tcMar>
            <w:vAlign w:val="center"/>
          </w:tcPr>
          <w:p w14:paraId="2F12C36D"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Connects the backtest to an actual portfolio decision</w:t>
            </w:r>
          </w:p>
        </w:tc>
      </w:tr>
      <w:tr w:rsidR="00354F64" w:rsidRPr="00C82C71" w14:paraId="4EA83E6C" w14:textId="77777777" w:rsidTr="006B1AAF">
        <w:trPr>
          <w:jc w:val="center"/>
        </w:trPr>
        <w:tc>
          <w:tcPr>
            <w:tcW w:w="2635" w:type="dxa"/>
            <w:tcMar>
              <w:top w:w="50" w:type="dxa"/>
              <w:left w:w="65" w:type="dxa"/>
              <w:bottom w:w="50" w:type="dxa"/>
              <w:right w:w="65" w:type="dxa"/>
            </w:tcMar>
            <w:vAlign w:val="center"/>
          </w:tcPr>
          <w:p w14:paraId="15D9CE92" w14:textId="77777777" w:rsidR="00354F64" w:rsidRPr="00EC1BCE" w:rsidRDefault="00000000">
            <w:pPr>
              <w:spacing w:after="0"/>
              <w:rPr>
                <w:rFonts w:cs="Arial"/>
                <w:color w:val="000000" w:themeColor="text1"/>
                <w:sz w:val="18"/>
                <w:szCs w:val="18"/>
              </w:rPr>
            </w:pPr>
            <w:r w:rsidRPr="00EC1BCE">
              <w:rPr>
                <w:rFonts w:cs="Arial"/>
                <w:b/>
                <w:color w:val="000000" w:themeColor="text1"/>
                <w:sz w:val="18"/>
                <w:szCs w:val="18"/>
              </w:rPr>
              <w:t>5. Investigate</w:t>
            </w:r>
          </w:p>
        </w:tc>
        <w:tc>
          <w:tcPr>
            <w:tcW w:w="4680" w:type="dxa"/>
            <w:tcMar>
              <w:top w:w="50" w:type="dxa"/>
              <w:left w:w="65" w:type="dxa"/>
              <w:bottom w:w="50" w:type="dxa"/>
              <w:right w:w="65" w:type="dxa"/>
            </w:tcMar>
            <w:vAlign w:val="center"/>
          </w:tcPr>
          <w:p w14:paraId="5FD6700F"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Switch VADER/Fin-VADER, change smoothing and inspect methodology/coverage</w:t>
            </w:r>
          </w:p>
        </w:tc>
        <w:tc>
          <w:tcPr>
            <w:tcW w:w="3033" w:type="dxa"/>
            <w:tcMar>
              <w:top w:w="50" w:type="dxa"/>
              <w:left w:w="65" w:type="dxa"/>
              <w:bottom w:w="50" w:type="dxa"/>
              <w:right w:w="65" w:type="dxa"/>
            </w:tcMar>
            <w:vAlign w:val="center"/>
          </w:tcPr>
          <w:p w14:paraId="4095D20E" w14:textId="77777777" w:rsidR="00354F64" w:rsidRPr="00EC1BCE" w:rsidRDefault="00000000">
            <w:pPr>
              <w:spacing w:after="0"/>
              <w:jc w:val="center"/>
              <w:rPr>
                <w:rFonts w:cs="Arial"/>
                <w:color w:val="000000" w:themeColor="text1"/>
                <w:sz w:val="18"/>
                <w:szCs w:val="18"/>
              </w:rPr>
            </w:pPr>
            <w:r w:rsidRPr="00EC1BCE">
              <w:rPr>
                <w:rFonts w:cs="Arial"/>
                <w:color w:val="000000" w:themeColor="text1"/>
                <w:sz w:val="18"/>
                <w:szCs w:val="18"/>
              </w:rPr>
              <w:t>Keeps sentiment and model limitations visible rather than hidden</w:t>
            </w:r>
          </w:p>
        </w:tc>
      </w:tr>
    </w:tbl>
    <w:p w14:paraId="385F4817" w14:textId="77777777" w:rsidR="00F27A56" w:rsidRPr="00F27A56" w:rsidRDefault="00F27A56" w:rsidP="00F27A56">
      <w:pPr>
        <w:pStyle w:val="NormalWeb"/>
        <w:rPr>
          <w:rFonts w:ascii="Arial" w:hAnsi="Arial" w:cs="Arial"/>
          <w:sz w:val="21"/>
          <w:szCs w:val="21"/>
        </w:rPr>
      </w:pPr>
      <w:r w:rsidRPr="00F27A56">
        <w:rPr>
          <w:rFonts w:ascii="Arial" w:hAnsi="Arial" w:cs="Arial"/>
          <w:sz w:val="21"/>
          <w:szCs w:val="21"/>
        </w:rPr>
        <w:lastRenderedPageBreak/>
        <w:t>Beginning with the Allocation Builder, it gives shape to the Part A Business Model. In allocating equally (one third) to each of the three strategies (Combined Maximum Sharpe, Combined Risk Parity &amp; Equity Minimum Variance), the strategy yields approximately 12.6 percent annualized return, 15.6 percent volatility, .81 Sharpe ratio and -18.9 percent max. draw down across the common out-of-sample (OOS) history. Using an example of a $10,000 investment, the annualized 0.75 percent management fee would be approximately $75 per year. As these are historical (not predictive) results; the main purpose of this feature is to show users the actual result of their allocation choice.</w:t>
      </w:r>
    </w:p>
    <w:p w14:paraId="3A5D6F66" w14:textId="77777777" w:rsidR="00F27A56" w:rsidRPr="00F27A56" w:rsidRDefault="00F27A56" w:rsidP="00F27A56">
      <w:pPr>
        <w:pStyle w:val="NormalWeb"/>
        <w:rPr>
          <w:rFonts w:ascii="Arial" w:hAnsi="Arial" w:cs="Arial"/>
          <w:sz w:val="21"/>
          <w:szCs w:val="21"/>
        </w:rPr>
      </w:pPr>
      <w:r w:rsidRPr="00F27A56">
        <w:rPr>
          <w:rFonts w:ascii="Arial" w:hAnsi="Arial" w:cs="Arial"/>
          <w:sz w:val="21"/>
          <w:szCs w:val="21"/>
        </w:rPr>
        <w:t xml:space="preserve">There was no need for heavy development to create the current application. All calculations for optimization were done outside of </w:t>
      </w:r>
      <w:proofErr w:type="spellStart"/>
      <w:r w:rsidRPr="00F27A56">
        <w:rPr>
          <w:rFonts w:ascii="Arial" w:hAnsi="Arial" w:cs="Arial"/>
          <w:sz w:val="21"/>
          <w:szCs w:val="21"/>
        </w:rPr>
        <w:t>StreamLit</w:t>
      </w:r>
      <w:proofErr w:type="spellEnd"/>
      <w:r w:rsidRPr="00F27A56">
        <w:rPr>
          <w:rFonts w:ascii="Arial" w:hAnsi="Arial" w:cs="Arial"/>
          <w:sz w:val="21"/>
          <w:szCs w:val="21"/>
        </w:rPr>
        <w:t xml:space="preserve"> by the scripts/run_part_b.py script. Only pre-computed file results located within results/, are read into memory using </w:t>
      </w:r>
      <w:proofErr w:type="spellStart"/>
      <w:r w:rsidRPr="00F27A56">
        <w:rPr>
          <w:rFonts w:ascii="Arial" w:hAnsi="Arial" w:cs="Arial"/>
          <w:sz w:val="21"/>
          <w:szCs w:val="21"/>
        </w:rPr>
        <w:t>streamlit</w:t>
      </w:r>
      <w:proofErr w:type="spellEnd"/>
      <w:r w:rsidRPr="00F27A56">
        <w:rPr>
          <w:rFonts w:ascii="Arial" w:hAnsi="Arial" w:cs="Arial"/>
          <w:sz w:val="21"/>
          <w:szCs w:val="21"/>
        </w:rPr>
        <w:t xml:space="preserve">. No usage of Vader or NLTK, nor any optimizer occur at runtime. It allowed for a minimalistic approach to maintain responsiveness when deployed to the free tier service provider. The report and web application share the same </w:t>
      </w:r>
      <w:proofErr w:type="spellStart"/>
      <w:r w:rsidRPr="00F27A56">
        <w:rPr>
          <w:rFonts w:ascii="Arial" w:hAnsi="Arial" w:cs="Arial"/>
          <w:sz w:val="21"/>
          <w:szCs w:val="21"/>
        </w:rPr>
        <w:t>FundX</w:t>
      </w:r>
      <w:proofErr w:type="spellEnd"/>
      <w:r w:rsidRPr="00F27A56">
        <w:rPr>
          <w:rFonts w:ascii="Arial" w:hAnsi="Arial" w:cs="Arial"/>
          <w:sz w:val="21"/>
          <w:szCs w:val="21"/>
        </w:rPr>
        <w:t xml:space="preserve"> Navy Blue / Teal / Gold design theme which provides a sense of continuity between the presentation of the analytical evidence and the User Interface of the product.</w:t>
      </w:r>
    </w:p>
    <w:p w14:paraId="05754073" w14:textId="77777777" w:rsidR="00F27A56" w:rsidRDefault="00F27A56" w:rsidP="00F27A56">
      <w:pPr>
        <w:pStyle w:val="NormalWeb"/>
        <w:rPr>
          <w:rFonts w:ascii="Arial" w:hAnsi="Arial" w:cs="Arial"/>
          <w:sz w:val="21"/>
          <w:szCs w:val="21"/>
        </w:rPr>
      </w:pPr>
      <w:r w:rsidRPr="00F27A56">
        <w:rPr>
          <w:rFonts w:ascii="Arial" w:hAnsi="Arial" w:cs="Arial"/>
          <w:sz w:val="21"/>
          <w:szCs w:val="21"/>
        </w:rPr>
        <w:t>The web application provides additional functionality as a "control" for communicating the outcome of the analysis to the user. Users do not view simply a leaderboard of funds ranked by their Sharpe ratios. Instead, users can examine return, volatility, drawdown and compound growth simultaneously via the Comparison Page. Additionally, users have access to examine holdings and the evolution of Target Weights via the Fact Sheet. For the Combined Maximum Sharpe portfolio, there is considerable concentration among the five largest final positions. Together they represent 78.4 percent of the Target Portfolio even though there is a limit of 20 percent per position. With this knowledge, users may now ask themselves what combination of funds will best fit their level of risk tolerance and investment size?</w:t>
      </w:r>
    </w:p>
    <w:p w14:paraId="58E23A91" w14:textId="7E364222" w:rsidR="00354F64" w:rsidRPr="00F27A56" w:rsidRDefault="00F27A56" w:rsidP="00F27A56">
      <w:pPr>
        <w:pStyle w:val="NormalWeb"/>
        <w:rPr>
          <w:rFonts w:ascii="Arial" w:hAnsi="Arial" w:cs="Arial"/>
          <w:sz w:val="21"/>
          <w:szCs w:val="21"/>
        </w:rPr>
      </w:pPr>
      <w:r w:rsidRPr="00F27A56">
        <w:rPr>
          <w:rFonts w:ascii="Arial" w:hAnsi="Arial" w:cs="Arial"/>
          <w:sz w:val="21"/>
          <w:szCs w:val="21"/>
        </w:rPr>
        <w:t>The Sentiment Analytics area has been positioned beside Coverage &amp; Methodology rather than being displayed as a buy/sell signal. This is consistent with our finding that Sentiment Analytics can provide value as an Analytic tool, however we have not found sufficient evidence to support its use as Alpha. Therefore, the Product Design follows the Evidence Hierarchy in the Report: users can observe historical performance, review assumptions made and view experimental features without implying them to be anything other than experimentation. Transparency is crucial in supporting the needs of our target user. He/she desires assistance with constructing a portfolio without transferring all responsibility for making decisions to an unknown Black Box.</w:t>
      </w:r>
    </w:p>
    <w:tbl>
      <w:tblPr>
        <w:tblW w:w="0" w:type="auto"/>
        <w:jc w:val="center"/>
        <w:tblLayout w:type="fixed"/>
        <w:tblLook w:val="04A0" w:firstRow="1" w:lastRow="0" w:firstColumn="1" w:lastColumn="0" w:noHBand="0" w:noVBand="1"/>
      </w:tblPr>
      <w:tblGrid>
        <w:gridCol w:w="10166"/>
      </w:tblGrid>
      <w:tr w:rsidR="00354F64" w:rsidRPr="00C82C71" w14:paraId="36133D64" w14:textId="77777777" w:rsidTr="00EC1BCE">
        <w:trPr>
          <w:trHeight w:val="670"/>
          <w:jc w:val="center"/>
        </w:trPr>
        <w:tc>
          <w:tcPr>
            <w:tcW w:w="10166" w:type="dxa"/>
            <w:shd w:val="clear" w:color="auto" w:fill="EEF3F7"/>
            <w:tcMar>
              <w:top w:w="90" w:type="dxa"/>
              <w:left w:w="120" w:type="dxa"/>
              <w:bottom w:w="90" w:type="dxa"/>
              <w:right w:w="120" w:type="dxa"/>
            </w:tcMar>
          </w:tcPr>
          <w:p w14:paraId="79EDB0ED" w14:textId="77777777" w:rsidR="00354F64" w:rsidRPr="00C82C71" w:rsidRDefault="00000000">
            <w:pPr>
              <w:spacing w:after="40"/>
              <w:rPr>
                <w:rFonts w:cs="Arial"/>
              </w:rPr>
            </w:pPr>
            <w:r w:rsidRPr="00C82C71">
              <w:rPr>
                <w:rFonts w:cs="Arial"/>
                <w:b/>
                <w:color w:val="12283F"/>
                <w:sz w:val="16"/>
              </w:rPr>
              <w:t>LIVE PRODUCT</w:t>
            </w:r>
          </w:p>
          <w:p w14:paraId="2EA975A6" w14:textId="77777777" w:rsidR="00354F64" w:rsidRPr="00C82C71" w:rsidRDefault="00000000">
            <w:pPr>
              <w:spacing w:after="0"/>
              <w:rPr>
                <w:rFonts w:cs="Arial"/>
              </w:rPr>
            </w:pPr>
            <w:r w:rsidRPr="00C82C71">
              <w:rPr>
                <w:rFonts w:cs="Arial"/>
                <w:sz w:val="18"/>
              </w:rPr>
              <w:t>App: https://z5544937-fundx.streamlit.app   |   Public repo: https://github.com/1Tehan/z5544937_projectB</w:t>
            </w:r>
          </w:p>
        </w:tc>
      </w:tr>
    </w:tbl>
    <w:p w14:paraId="1B27083C" w14:textId="77777777" w:rsidR="00354F64" w:rsidRPr="00C82C71" w:rsidRDefault="00354F64">
      <w:pPr>
        <w:spacing w:after="20"/>
        <w:rPr>
          <w:rFonts w:cs="Arial"/>
        </w:rPr>
      </w:pPr>
    </w:p>
    <w:p w14:paraId="4373B6A5" w14:textId="77777777" w:rsidR="00354F64" w:rsidRPr="00C82C71" w:rsidRDefault="00000000">
      <w:pPr>
        <w:pStyle w:val="Heading1"/>
        <w:pBdr>
          <w:bottom w:val="single" w:sz="8" w:space="2" w:color="1F8A8C"/>
        </w:pBdr>
        <w:rPr>
          <w:rFonts w:ascii="Arial" w:hAnsi="Arial" w:cs="Arial"/>
        </w:rPr>
      </w:pPr>
      <w:r w:rsidRPr="00C82C71">
        <w:rPr>
          <w:rFonts w:ascii="Arial" w:hAnsi="Arial" w:cs="Arial"/>
        </w:rPr>
        <w:t>6. Critical Reflection and Three Recommendations</w:t>
      </w:r>
    </w:p>
    <w:p w14:paraId="7D9052E0" w14:textId="77777777" w:rsidR="008474F2" w:rsidRPr="008474F2" w:rsidRDefault="008474F2" w:rsidP="008474F2">
      <w:pPr>
        <w:pStyle w:val="pdq2pgselectionanchorcontainer"/>
        <w:rPr>
          <w:rFonts w:ascii="Arial" w:hAnsi="Arial" w:cs="Arial"/>
          <w:sz w:val="21"/>
          <w:szCs w:val="21"/>
        </w:rPr>
      </w:pPr>
      <w:r w:rsidRPr="008474F2">
        <w:rPr>
          <w:rFonts w:ascii="Arial" w:hAnsi="Arial" w:cs="Arial"/>
          <w:sz w:val="21"/>
          <w:szCs w:val="21"/>
        </w:rPr>
        <w:t xml:space="preserve">The first important lesson I took away from my experience with </w:t>
      </w:r>
      <w:proofErr w:type="spellStart"/>
      <w:r w:rsidRPr="008474F2">
        <w:rPr>
          <w:rFonts w:ascii="Arial" w:hAnsi="Arial" w:cs="Arial"/>
          <w:sz w:val="21"/>
          <w:szCs w:val="21"/>
        </w:rPr>
        <w:t>FundX</w:t>
      </w:r>
      <w:proofErr w:type="spellEnd"/>
      <w:r w:rsidRPr="008474F2">
        <w:rPr>
          <w:rFonts w:ascii="Arial" w:hAnsi="Arial" w:cs="Arial"/>
          <w:sz w:val="21"/>
          <w:szCs w:val="21"/>
        </w:rPr>
        <w:t xml:space="preserve"> is that the simplest strategy doesn’t have to be the worst in terms of the quality of your final product. I assumed that optimization strategies would continue to dominate the simple benchmark as soon as we moved to a walk-forward </w:t>
      </w:r>
      <w:proofErr w:type="spellStart"/>
      <w:r w:rsidRPr="008474F2">
        <w:rPr>
          <w:rFonts w:ascii="Arial" w:hAnsi="Arial" w:cs="Arial"/>
          <w:sz w:val="21"/>
          <w:szCs w:val="21"/>
        </w:rPr>
        <w:t>backtesting</w:t>
      </w:r>
      <w:proofErr w:type="spellEnd"/>
      <w:r w:rsidRPr="008474F2">
        <w:rPr>
          <w:rFonts w:ascii="Arial" w:hAnsi="Arial" w:cs="Arial"/>
          <w:sz w:val="21"/>
          <w:szCs w:val="21"/>
        </w:rPr>
        <w:t xml:space="preserve"> process, however that did not happen. All optimized equity funds were beaten by the "Equity Equal Weight" on Sharpe ratio. Additionally, all Maximum Sharpe funds used had clear concentration problems along with high turnover and relied on unstable expected-return estimates. For this reason, I determined that Risk Parity would be the lead for </w:t>
      </w:r>
      <w:proofErr w:type="spellStart"/>
      <w:r w:rsidRPr="008474F2">
        <w:rPr>
          <w:rFonts w:ascii="Arial" w:hAnsi="Arial" w:cs="Arial"/>
          <w:sz w:val="21"/>
          <w:szCs w:val="21"/>
        </w:rPr>
        <w:t>FundX</w:t>
      </w:r>
      <w:proofErr w:type="spellEnd"/>
      <w:r w:rsidRPr="008474F2">
        <w:rPr>
          <w:rFonts w:ascii="Arial" w:hAnsi="Arial" w:cs="Arial"/>
          <w:sz w:val="21"/>
          <w:szCs w:val="21"/>
        </w:rPr>
        <w:t>. Rather than seeking to create an optimal allocation based on past returns, Risk Parity seeks to get each asset contributing equally to total portfolio risk. And based on this example, the less complicated concept performed better out of sample.</w:t>
      </w:r>
    </w:p>
    <w:p w14:paraId="24C8598E" w14:textId="77777777" w:rsidR="008474F2" w:rsidRPr="008474F2" w:rsidRDefault="008474F2" w:rsidP="008474F2">
      <w:pPr>
        <w:pStyle w:val="NormalWeb"/>
        <w:rPr>
          <w:rFonts w:ascii="Arial" w:hAnsi="Arial" w:cs="Arial"/>
          <w:sz w:val="21"/>
          <w:szCs w:val="21"/>
        </w:rPr>
      </w:pPr>
      <w:r w:rsidRPr="008474F2">
        <w:rPr>
          <w:rFonts w:ascii="Arial" w:hAnsi="Arial" w:cs="Arial"/>
          <w:sz w:val="21"/>
          <w:szCs w:val="21"/>
        </w:rPr>
        <w:t xml:space="preserve">I also found that simply improving measurement does not guarantee you'll achieve better investment performance. Even though Fin-VADER improved the sentiment measurements, the neutral share fell by 4.4 percentage points and the scores are now more directional; the performance of the portfolio didn't increase. And since the Information Coefficient is nearly zero, it appears that the signal has almost no predictive ability </w:t>
      </w:r>
      <w:proofErr w:type="gramStart"/>
      <w:r w:rsidRPr="008474F2">
        <w:rPr>
          <w:rFonts w:ascii="Arial" w:hAnsi="Arial" w:cs="Arial"/>
          <w:sz w:val="21"/>
          <w:szCs w:val="21"/>
        </w:rPr>
        <w:lastRenderedPageBreak/>
        <w:t>at this time</w:t>
      </w:r>
      <w:proofErr w:type="gramEnd"/>
      <w:r w:rsidRPr="008474F2">
        <w:rPr>
          <w:rFonts w:ascii="Arial" w:hAnsi="Arial" w:cs="Arial"/>
          <w:sz w:val="21"/>
          <w:szCs w:val="21"/>
        </w:rPr>
        <w:t xml:space="preserve"> frame. As such, even though the study produced a negative result, it is still positive for </w:t>
      </w:r>
      <w:proofErr w:type="spellStart"/>
      <w:r w:rsidRPr="008474F2">
        <w:rPr>
          <w:rFonts w:ascii="Arial" w:hAnsi="Arial" w:cs="Arial"/>
          <w:sz w:val="21"/>
          <w:szCs w:val="21"/>
        </w:rPr>
        <w:t>FundX</w:t>
      </w:r>
      <w:proofErr w:type="spellEnd"/>
      <w:r w:rsidRPr="008474F2">
        <w:rPr>
          <w:rFonts w:ascii="Arial" w:hAnsi="Arial" w:cs="Arial"/>
          <w:sz w:val="21"/>
          <w:szCs w:val="21"/>
        </w:rPr>
        <w:t xml:space="preserve">, as it prevents </w:t>
      </w:r>
      <w:proofErr w:type="spellStart"/>
      <w:r w:rsidRPr="008474F2">
        <w:rPr>
          <w:rFonts w:ascii="Arial" w:hAnsi="Arial" w:cs="Arial"/>
          <w:sz w:val="21"/>
          <w:szCs w:val="21"/>
        </w:rPr>
        <w:t>FundX</w:t>
      </w:r>
      <w:proofErr w:type="spellEnd"/>
      <w:r w:rsidRPr="008474F2">
        <w:rPr>
          <w:rFonts w:ascii="Arial" w:hAnsi="Arial" w:cs="Arial"/>
          <w:sz w:val="21"/>
          <w:szCs w:val="21"/>
        </w:rPr>
        <w:t xml:space="preserve"> from claiming performance based on a sentiment feature with limited predictive power.</w:t>
      </w:r>
    </w:p>
    <w:p w14:paraId="352071EE" w14:textId="77777777" w:rsidR="008474F2" w:rsidRPr="008474F2" w:rsidRDefault="008474F2" w:rsidP="008474F2">
      <w:pPr>
        <w:pStyle w:val="NormalWeb"/>
        <w:rPr>
          <w:rFonts w:ascii="Arial" w:hAnsi="Arial" w:cs="Arial"/>
          <w:sz w:val="21"/>
          <w:szCs w:val="21"/>
        </w:rPr>
      </w:pPr>
      <w:r w:rsidRPr="008474F2">
        <w:rPr>
          <w:rFonts w:ascii="Arial" w:hAnsi="Arial" w:cs="Arial"/>
          <w:sz w:val="21"/>
          <w:szCs w:val="21"/>
        </w:rPr>
        <w:t>Similarly, the results of the cryptocurrency testing demonstrated another way that a retail product cannot be assessed solely upon return. At first glance, a 59.8% return per annum sounds like a tremendous performance metric; however, when compared to the -72.0% drawdown, it produces a very different picture. Therefore, I believe there is stronger evidence to support the notion of utilizing cryptocurrency within risk-budgeting or combination portfolios rather than using a crypto-only fund as the default.</w:t>
      </w:r>
    </w:p>
    <w:p w14:paraId="38BF8D08" w14:textId="77777777" w:rsidR="008474F2" w:rsidRPr="008474F2" w:rsidRDefault="008474F2" w:rsidP="008474F2">
      <w:pPr>
        <w:pStyle w:val="NormalWeb"/>
        <w:rPr>
          <w:rFonts w:ascii="Arial" w:hAnsi="Arial" w:cs="Arial"/>
          <w:sz w:val="21"/>
          <w:szCs w:val="21"/>
        </w:rPr>
      </w:pPr>
      <w:r w:rsidRPr="008474F2">
        <w:rPr>
          <w:rFonts w:ascii="Arial" w:hAnsi="Arial" w:cs="Arial"/>
          <w:sz w:val="21"/>
          <w:szCs w:val="21"/>
        </w:rPr>
        <w:t>There are many obvious constraints as well. First and foremost, there are only three years of out-of-sample data. Secondly, the cost model is very basic. Specifically, I am assuming a flat 10 bps transaction-cost assumption and excluding spread costs, market impact costs and other fees associated with distressed market conditions. Thirdly, I utilize headline news only and not full articles for my sentiment analysis, and I set the Fin-VADER valences manually instead of statistically estimating them. While these constraints don't eliminate the usefulness of my findings, they do demonstrate what needs to be examined next.</w:t>
      </w:r>
    </w:p>
    <w:p w14:paraId="27923005" w14:textId="77777777" w:rsidR="008474F2" w:rsidRPr="008474F2" w:rsidRDefault="008474F2" w:rsidP="008474F2">
      <w:pPr>
        <w:pStyle w:val="NormalWeb"/>
        <w:rPr>
          <w:rFonts w:ascii="Arial" w:hAnsi="Arial" w:cs="Arial"/>
          <w:sz w:val="21"/>
          <w:szCs w:val="21"/>
        </w:rPr>
      </w:pPr>
      <w:r w:rsidRPr="008474F2">
        <w:rPr>
          <w:rFonts w:ascii="Arial" w:hAnsi="Arial" w:cs="Arial"/>
          <w:sz w:val="21"/>
          <w:szCs w:val="21"/>
        </w:rPr>
        <w:t xml:space="preserve">Therefore, my suggestions are directly related to those constraints. Data quality should be a priority because one poor return may negatively affect the estimation of covariances for every fund developed from those returns. The second recommendation would be to determine if the hand-set valences could be replaced with actual evidence derived from returns. The third recommendation would be to implement turnover controls because they directly address one of the major shortfalls of Maximum Sharpe and can be </w:t>
      </w:r>
      <w:proofErr w:type="spellStart"/>
      <w:r w:rsidRPr="008474F2">
        <w:rPr>
          <w:rFonts w:ascii="Arial" w:hAnsi="Arial" w:cs="Arial"/>
          <w:sz w:val="21"/>
          <w:szCs w:val="21"/>
        </w:rPr>
        <w:t>analyzed</w:t>
      </w:r>
      <w:proofErr w:type="spellEnd"/>
      <w:r w:rsidRPr="008474F2">
        <w:rPr>
          <w:rFonts w:ascii="Arial" w:hAnsi="Arial" w:cs="Arial"/>
          <w:sz w:val="21"/>
          <w:szCs w:val="21"/>
        </w:rPr>
        <w:t xml:space="preserve"> through the lens of gross vs net metrics. Finally, I wouldn't prioritize adding additional optimization techniques prior to addressing these items. My experience demonstrates that simply having additional options for optimizing does not inherently provide a better OOS product. Both Equal Weight and Risk Parity are highly competitive.</w:t>
      </w:r>
    </w:p>
    <w:p w14:paraId="0FCA1CA2" w14:textId="798D160F" w:rsidR="00354F64" w:rsidRPr="00E611DA" w:rsidRDefault="00000000">
      <w:pPr>
        <w:pStyle w:val="Heading2"/>
        <w:rPr>
          <w:rFonts w:ascii="Arial" w:hAnsi="Arial" w:cs="Arial"/>
          <w:sz w:val="28"/>
          <w:szCs w:val="28"/>
        </w:rPr>
      </w:pPr>
      <w:r w:rsidRPr="00E611DA">
        <w:rPr>
          <w:rFonts w:ascii="Arial" w:hAnsi="Arial" w:cs="Arial"/>
          <w:sz w:val="28"/>
          <w:szCs w:val="28"/>
        </w:rPr>
        <w:t xml:space="preserve">Recommendation 1 - </w:t>
      </w:r>
      <w:proofErr w:type="spellStart"/>
      <w:r w:rsidRPr="00E611DA">
        <w:rPr>
          <w:rFonts w:ascii="Arial" w:hAnsi="Arial" w:cs="Arial"/>
          <w:sz w:val="28"/>
          <w:szCs w:val="28"/>
        </w:rPr>
        <w:t>Productionise</w:t>
      </w:r>
      <w:proofErr w:type="spellEnd"/>
      <w:r w:rsidRPr="00E611DA">
        <w:rPr>
          <w:rFonts w:ascii="Arial" w:hAnsi="Arial" w:cs="Arial"/>
          <w:sz w:val="28"/>
          <w:szCs w:val="28"/>
        </w:rPr>
        <w:t xml:space="preserve"> the Part A extreme-move screen</w:t>
      </w:r>
    </w:p>
    <w:p w14:paraId="64411120" w14:textId="30611E58" w:rsidR="00E611DA" w:rsidRPr="001A2890" w:rsidRDefault="00E611DA">
      <w:pPr>
        <w:pStyle w:val="Heading2"/>
        <w:rPr>
          <w:rFonts w:ascii="Arial" w:hAnsi="Arial" w:cs="Arial"/>
          <w:b w:val="0"/>
          <w:bCs w:val="0"/>
          <w:color w:val="000000" w:themeColor="text1"/>
          <w:sz w:val="21"/>
          <w:szCs w:val="21"/>
        </w:rPr>
      </w:pPr>
      <w:r w:rsidRPr="001A2890">
        <w:rPr>
          <w:rFonts w:ascii="Arial" w:hAnsi="Arial" w:cs="Arial"/>
          <w:b w:val="0"/>
          <w:bCs w:val="0"/>
          <w:color w:val="000000" w:themeColor="text1"/>
          <w:sz w:val="21"/>
          <w:szCs w:val="21"/>
        </w:rPr>
        <w:t xml:space="preserve">In Part A, the first version of this code retained 29 observations where |z| &gt; 8. To get more out of this work, the second version will transform this screen into a real-time quality-control monitoring tool for prices, which could flag extreme moves as soon as they </w:t>
      </w:r>
      <w:proofErr w:type="gramStart"/>
      <w:r w:rsidRPr="001A2890">
        <w:rPr>
          <w:rFonts w:ascii="Arial" w:hAnsi="Arial" w:cs="Arial"/>
          <w:b w:val="0"/>
          <w:bCs w:val="0"/>
          <w:color w:val="000000" w:themeColor="text1"/>
          <w:sz w:val="21"/>
          <w:szCs w:val="21"/>
        </w:rPr>
        <w:t>occur</w:t>
      </w:r>
      <w:proofErr w:type="gramEnd"/>
      <w:r w:rsidRPr="001A2890">
        <w:rPr>
          <w:rFonts w:ascii="Arial" w:hAnsi="Arial" w:cs="Arial"/>
          <w:b w:val="0"/>
          <w:bCs w:val="0"/>
          <w:color w:val="000000" w:themeColor="text1"/>
          <w:sz w:val="21"/>
          <w:szCs w:val="21"/>
        </w:rPr>
        <w:t xml:space="preserve"> so they do not influence returns, covariance estimates or portfolio weights.</w:t>
      </w:r>
    </w:p>
    <w:p w14:paraId="799657F1" w14:textId="77777777" w:rsidR="001A2890" w:rsidRDefault="00000000" w:rsidP="001A2890">
      <w:pPr>
        <w:pStyle w:val="Heading2"/>
        <w:rPr>
          <w:rFonts w:ascii="Arial" w:hAnsi="Arial" w:cs="Arial"/>
          <w:sz w:val="28"/>
          <w:szCs w:val="28"/>
        </w:rPr>
      </w:pPr>
      <w:r w:rsidRPr="00E611DA">
        <w:rPr>
          <w:rFonts w:ascii="Arial" w:hAnsi="Arial" w:cs="Arial"/>
          <w:sz w:val="28"/>
          <w:szCs w:val="28"/>
        </w:rPr>
        <w:t xml:space="preserve">Recommendation 2 - Estimate, rather than </w:t>
      </w:r>
      <w:proofErr w:type="gramStart"/>
      <w:r w:rsidRPr="00E611DA">
        <w:rPr>
          <w:rFonts w:ascii="Arial" w:hAnsi="Arial" w:cs="Arial"/>
          <w:sz w:val="28"/>
          <w:szCs w:val="28"/>
        </w:rPr>
        <w:t>hand-set</w:t>
      </w:r>
      <w:proofErr w:type="gramEnd"/>
      <w:r w:rsidRPr="00E611DA">
        <w:rPr>
          <w:rFonts w:ascii="Arial" w:hAnsi="Arial" w:cs="Arial"/>
          <w:sz w:val="28"/>
          <w:szCs w:val="28"/>
        </w:rPr>
        <w:t>, finance valences</w:t>
      </w:r>
    </w:p>
    <w:p w14:paraId="76FC04C8" w14:textId="0C92DF8A" w:rsidR="001A2890" w:rsidRPr="001A2890" w:rsidRDefault="001A2890" w:rsidP="001A2890">
      <w:pPr>
        <w:pStyle w:val="Heading2"/>
        <w:rPr>
          <w:rFonts w:ascii="Arial" w:hAnsi="Arial" w:cs="Arial"/>
          <w:sz w:val="28"/>
          <w:szCs w:val="28"/>
        </w:rPr>
      </w:pPr>
      <w:r w:rsidRPr="001A2890">
        <w:rPr>
          <w:rFonts w:ascii="Arial" w:hAnsi="Arial" w:cs="Arial"/>
          <w:color w:val="000000" w:themeColor="text1"/>
          <w:sz w:val="21"/>
          <w:szCs w:val="21"/>
        </w:rPr>
        <w:t>FIN-VADER proves that financial vocabulary changes classification; however, the existing valences remain curated judgments, and the almost zero Information Coefficient indicates very little predictive content from the signal at this horizon.</w:t>
      </w:r>
    </w:p>
    <w:p w14:paraId="1F525043" w14:textId="43ED0040" w:rsidR="001A2890" w:rsidRPr="001A2890" w:rsidRDefault="001A2890" w:rsidP="001A2890">
      <w:pPr>
        <w:pStyle w:val="NormalWeb"/>
        <w:rPr>
          <w:rFonts w:ascii="Arial" w:hAnsi="Arial" w:cs="Arial"/>
          <w:color w:val="000000" w:themeColor="text1"/>
          <w:sz w:val="21"/>
          <w:szCs w:val="21"/>
        </w:rPr>
      </w:pPr>
      <w:r w:rsidRPr="001A2890">
        <w:rPr>
          <w:rFonts w:ascii="Arial" w:hAnsi="Arial" w:cs="Arial"/>
          <w:color w:val="000000" w:themeColor="text1"/>
          <w:sz w:val="21"/>
          <w:szCs w:val="21"/>
        </w:rPr>
        <w:t>The Next Version of FIN-VADER will be to run an Ordinary Least Squares (OLS) regression model, using abnormal returns from the next trading day as the dependent variable and dummy variables for each term present from the roughly 90-word lexicon. I will estimate the model using data from 2020 through 2022 and then evaluate it on a held-out sample of 2023 data.</w:t>
      </w:r>
      <w:r>
        <w:rPr>
          <w:rFonts w:ascii="Arial" w:hAnsi="Arial" w:cs="Arial"/>
          <w:color w:val="000000" w:themeColor="text1"/>
          <w:sz w:val="21"/>
          <w:szCs w:val="21"/>
        </w:rPr>
        <w:t xml:space="preserve"> </w:t>
      </w:r>
      <w:r w:rsidRPr="001A2890">
        <w:rPr>
          <w:rFonts w:ascii="Arial" w:hAnsi="Arial" w:cs="Arial"/>
          <w:color w:val="000000" w:themeColor="text1"/>
          <w:sz w:val="21"/>
          <w:szCs w:val="21"/>
        </w:rPr>
        <w:t>I would retain only those terms whose direction and statistical evidence survive out-of-sample testing. Then I would rerun the exact same Fusion Rule without making any adjustments or retuning it</w:t>
      </w:r>
      <w:r>
        <w:rPr>
          <w:rFonts w:ascii="Arial" w:hAnsi="Arial" w:cs="Arial"/>
          <w:color w:val="000000" w:themeColor="text1"/>
          <w:sz w:val="21"/>
          <w:szCs w:val="21"/>
        </w:rPr>
        <w:t>.</w:t>
      </w:r>
    </w:p>
    <w:p w14:paraId="53BAE4F4" w14:textId="6093C0A4" w:rsidR="00354F64" w:rsidRPr="00E611DA" w:rsidRDefault="00000000">
      <w:pPr>
        <w:pStyle w:val="Heading2"/>
        <w:rPr>
          <w:rFonts w:ascii="Arial" w:hAnsi="Arial" w:cs="Arial"/>
          <w:sz w:val="28"/>
          <w:szCs w:val="28"/>
        </w:rPr>
      </w:pPr>
      <w:r w:rsidRPr="00E611DA">
        <w:rPr>
          <w:rFonts w:ascii="Arial" w:hAnsi="Arial" w:cs="Arial"/>
          <w:sz w:val="28"/>
          <w:szCs w:val="28"/>
        </w:rPr>
        <w:t>Recommendation 3 - Put turnover inside the optimiser</w:t>
      </w:r>
    </w:p>
    <w:p w14:paraId="43EE50D6" w14:textId="74E9C694" w:rsidR="00354F64" w:rsidRPr="001A2890" w:rsidRDefault="001A2890">
      <w:pPr>
        <w:rPr>
          <w:rFonts w:cs="Arial"/>
          <w:color w:val="000000" w:themeColor="text1"/>
          <w:sz w:val="21"/>
          <w:szCs w:val="21"/>
        </w:rPr>
      </w:pPr>
      <w:r w:rsidRPr="001A2890">
        <w:rPr>
          <w:color w:val="000000" w:themeColor="text1"/>
          <w:sz w:val="21"/>
          <w:szCs w:val="21"/>
        </w:rPr>
        <w:t xml:space="preserve">Combined Maximum Sharpe has monthly portfolio turnover of about 28.5%, whereas Combined Risk Parity is approximately 3.7%. In a commercial implementation it would be advisable to include either a trading cost (turnover) penalty, or no-trade bands around existing positions, and therefore </w:t>
      </w:r>
      <w:proofErr w:type="spellStart"/>
      <w:r w:rsidRPr="001A2890">
        <w:rPr>
          <w:color w:val="000000" w:themeColor="text1"/>
          <w:sz w:val="21"/>
          <w:szCs w:val="21"/>
        </w:rPr>
        <w:t>optimise</w:t>
      </w:r>
      <w:proofErr w:type="spellEnd"/>
      <w:r w:rsidRPr="001A2890">
        <w:rPr>
          <w:color w:val="000000" w:themeColor="text1"/>
          <w:sz w:val="21"/>
          <w:szCs w:val="21"/>
        </w:rPr>
        <w:t xml:space="preserve"> net-of-cost returns.</w:t>
      </w:r>
    </w:p>
    <w:tbl>
      <w:tblPr>
        <w:tblW w:w="0" w:type="auto"/>
        <w:jc w:val="center"/>
        <w:tblLayout w:type="fixed"/>
        <w:tblLook w:val="04A0" w:firstRow="1" w:lastRow="0" w:firstColumn="1" w:lastColumn="0" w:noHBand="0" w:noVBand="1"/>
      </w:tblPr>
      <w:tblGrid>
        <w:gridCol w:w="10166"/>
      </w:tblGrid>
      <w:tr w:rsidR="00354F64" w:rsidRPr="00C82C71" w14:paraId="360E4DAE" w14:textId="77777777">
        <w:trPr>
          <w:jc w:val="center"/>
        </w:trPr>
        <w:tc>
          <w:tcPr>
            <w:tcW w:w="10166" w:type="dxa"/>
            <w:shd w:val="clear" w:color="auto" w:fill="FFF8E8"/>
            <w:tcMar>
              <w:top w:w="90" w:type="dxa"/>
              <w:left w:w="120" w:type="dxa"/>
              <w:bottom w:w="90" w:type="dxa"/>
              <w:right w:w="120" w:type="dxa"/>
            </w:tcMar>
          </w:tcPr>
          <w:p w14:paraId="67891278" w14:textId="77777777" w:rsidR="008474F2" w:rsidRDefault="00000000" w:rsidP="008474F2">
            <w:pPr>
              <w:spacing w:after="40"/>
              <w:rPr>
                <w:rFonts w:cs="Arial"/>
                <w:b/>
                <w:color w:val="E3A82B"/>
                <w:sz w:val="18"/>
                <w:szCs w:val="18"/>
              </w:rPr>
            </w:pPr>
            <w:r w:rsidRPr="008474F2">
              <w:rPr>
                <w:rFonts w:cs="Arial"/>
                <w:b/>
                <w:color w:val="E3A82B"/>
                <w:sz w:val="18"/>
                <w:szCs w:val="18"/>
              </w:rPr>
              <w:t>FINAL FUNDX POSITION</w:t>
            </w:r>
          </w:p>
          <w:p w14:paraId="086537F4" w14:textId="77777777" w:rsidR="008474F2" w:rsidRDefault="00060247" w:rsidP="008474F2">
            <w:pPr>
              <w:spacing w:after="40"/>
              <w:rPr>
                <w:rFonts w:cs="Arial"/>
                <w:sz w:val="18"/>
                <w:szCs w:val="18"/>
              </w:rPr>
            </w:pPr>
            <w:r w:rsidRPr="008474F2">
              <w:rPr>
                <w:rFonts w:cs="Arial"/>
                <w:sz w:val="18"/>
                <w:szCs w:val="18"/>
              </w:rPr>
              <w:t>Balanced growth – Combined Risk Parity</w:t>
            </w:r>
          </w:p>
          <w:p w14:paraId="454EE015" w14:textId="4E7C0F56" w:rsidR="00060247" w:rsidRPr="008474F2" w:rsidRDefault="00060247" w:rsidP="008474F2">
            <w:pPr>
              <w:spacing w:after="40"/>
              <w:rPr>
                <w:rFonts w:cs="Arial"/>
                <w:sz w:val="18"/>
                <w:szCs w:val="18"/>
              </w:rPr>
            </w:pPr>
            <w:r w:rsidRPr="008474F2">
              <w:rPr>
                <w:rFonts w:cs="Arial"/>
                <w:sz w:val="18"/>
                <w:szCs w:val="18"/>
              </w:rPr>
              <w:t>Defensive users – Minimum Variance</w:t>
            </w:r>
          </w:p>
          <w:p w14:paraId="1E2CC1AA" w14:textId="0A41260F" w:rsidR="001A2890" w:rsidRPr="00060247" w:rsidRDefault="00060247" w:rsidP="00060247">
            <w:pPr>
              <w:pStyle w:val="NormalWeb"/>
              <w:rPr>
                <w:rFonts w:ascii="Arial" w:hAnsi="Arial" w:cs="Arial"/>
                <w:sz w:val="21"/>
                <w:szCs w:val="21"/>
              </w:rPr>
            </w:pPr>
            <w:r w:rsidRPr="008474F2">
              <w:rPr>
                <w:rFonts w:ascii="Arial" w:hAnsi="Arial" w:cs="Arial"/>
                <w:sz w:val="18"/>
                <w:szCs w:val="18"/>
              </w:rPr>
              <w:t>Equal Weight remains the benchmark. Crypto-only funds remain high-risk, and sentiment should be presented as an analytic until a stronger fusion test shows incremental value.</w:t>
            </w:r>
          </w:p>
        </w:tc>
      </w:tr>
    </w:tbl>
    <w:p w14:paraId="259DF81A" w14:textId="77777777" w:rsidR="00354F64" w:rsidRPr="00C82C71" w:rsidRDefault="00000000">
      <w:pPr>
        <w:pStyle w:val="Heading1"/>
        <w:pBdr>
          <w:bottom w:val="single" w:sz="8" w:space="2" w:color="1F8A8C"/>
        </w:pBdr>
        <w:rPr>
          <w:rFonts w:ascii="Arial" w:hAnsi="Arial" w:cs="Arial"/>
        </w:rPr>
      </w:pPr>
      <w:r w:rsidRPr="00C82C71">
        <w:rPr>
          <w:rFonts w:ascii="Arial" w:hAnsi="Arial" w:cs="Arial"/>
        </w:rPr>
        <w:lastRenderedPageBreak/>
        <w:t>References</w:t>
      </w:r>
    </w:p>
    <w:p w14:paraId="3843C0A8" w14:textId="77777777" w:rsidR="00354F64" w:rsidRPr="00C82C71" w:rsidRDefault="00000000">
      <w:pPr>
        <w:spacing w:after="100"/>
        <w:ind w:left="346" w:hanging="346"/>
        <w:rPr>
          <w:rFonts w:cs="Arial"/>
        </w:rPr>
      </w:pPr>
      <w:r w:rsidRPr="00C82C71">
        <w:rPr>
          <w:rFonts w:cs="Arial"/>
          <w:sz w:val="17"/>
        </w:rPr>
        <w:t>DeMiguel, V., Garlappi, L. and Uppal, R. (2009), 'Optimal versus naive diversification: How inefficient is the 1/N portfolio strategy?', The Review of Financial Studies, 22(5), 1915-1953. doi:10.1093/rfs/hhm075.</w:t>
      </w:r>
    </w:p>
    <w:p w14:paraId="1A42C440" w14:textId="77777777" w:rsidR="00354F64" w:rsidRPr="00C82C71" w:rsidRDefault="00000000">
      <w:pPr>
        <w:spacing w:after="100"/>
        <w:ind w:left="346" w:hanging="346"/>
        <w:rPr>
          <w:rFonts w:cs="Arial"/>
        </w:rPr>
      </w:pPr>
      <w:r w:rsidRPr="00C82C71">
        <w:rPr>
          <w:rFonts w:cs="Arial"/>
          <w:sz w:val="17"/>
        </w:rPr>
        <w:t>Hutto, C.J. and Gilbert, E. (2014), 'VADER: A parsimonious rule-based model for sentiment analysis of social media text', Proceedings of the International AAAI Conference on Web and Social Media, 8(1), 216-225. doi:10.1609/icwsm.v8i1.14550.</w:t>
      </w:r>
    </w:p>
    <w:p w14:paraId="0E6F8F37" w14:textId="77777777" w:rsidR="00354F64" w:rsidRPr="00C82C71" w:rsidRDefault="00000000">
      <w:pPr>
        <w:spacing w:after="100"/>
        <w:ind w:left="346" w:hanging="346"/>
        <w:rPr>
          <w:rFonts w:cs="Arial"/>
        </w:rPr>
      </w:pPr>
      <w:r w:rsidRPr="00C82C71">
        <w:rPr>
          <w:rFonts w:cs="Arial"/>
          <w:sz w:val="17"/>
        </w:rPr>
        <w:t>López de Prado, M. (2016), 'Building diversified portfolios that outperform out of sample', The Journal of Portfolio Management, 42(4), 59-69. doi:10.3905/jpm.2016.42.4.059.</w:t>
      </w:r>
    </w:p>
    <w:p w14:paraId="68D5DACA" w14:textId="77777777" w:rsidR="00354F64" w:rsidRPr="00C82C71" w:rsidRDefault="00000000">
      <w:pPr>
        <w:spacing w:after="100"/>
        <w:ind w:left="346" w:hanging="346"/>
        <w:rPr>
          <w:rFonts w:cs="Arial"/>
        </w:rPr>
      </w:pPr>
      <w:r w:rsidRPr="00C82C71">
        <w:rPr>
          <w:rFonts w:cs="Arial"/>
          <w:sz w:val="17"/>
        </w:rPr>
        <w:t>Spinu, F. (2013), 'An Algorithm for Computing Risk Parity Weights', SSRN Electronic Journal. doi:10.2139/ssrn.2297383.</w:t>
      </w:r>
    </w:p>
    <w:p w14:paraId="2FF25E9E" w14:textId="25533CE2" w:rsidR="00354F64" w:rsidRPr="00C82C71" w:rsidRDefault="00000000">
      <w:pPr>
        <w:pStyle w:val="Heading1"/>
        <w:pBdr>
          <w:bottom w:val="single" w:sz="8" w:space="2" w:color="1F8A8C"/>
        </w:pBdr>
        <w:rPr>
          <w:rFonts w:ascii="Arial" w:hAnsi="Arial" w:cs="Arial"/>
        </w:rPr>
      </w:pPr>
      <w:r w:rsidRPr="00C82C71">
        <w:rPr>
          <w:rFonts w:ascii="Arial" w:hAnsi="Arial" w:cs="Arial"/>
        </w:rPr>
        <w:t>Appendix A - Required Exhibits and Supporting Evidence</w:t>
      </w:r>
    </w:p>
    <w:p w14:paraId="0024AA65" w14:textId="77777777" w:rsidR="00354F64" w:rsidRPr="00C82C71" w:rsidRDefault="00000000">
      <w:pPr>
        <w:rPr>
          <w:rFonts w:cs="Arial"/>
        </w:rPr>
      </w:pPr>
      <w:r w:rsidRPr="00C82C71">
        <w:rPr>
          <w:rFonts w:cs="Arial"/>
        </w:rPr>
        <w:t>The appendix contains the required Part B exhibits plus the block-bootstrap robustness figure. Every exhibit is generated from the committed real-data results and is referenced and interpreted in the written narrative. The full performance table includes net Sharpe as an additional implementation metric.</w:t>
      </w:r>
    </w:p>
    <w:p w14:paraId="0D0BC660" w14:textId="77777777" w:rsidR="006B1AAF" w:rsidRPr="00C82C71" w:rsidRDefault="006B1AAF">
      <w:pPr>
        <w:rPr>
          <w:rFonts w:cs="Arial"/>
        </w:rPr>
      </w:pPr>
    </w:p>
    <w:tbl>
      <w:tblPr>
        <w:tblStyle w:val="TableGrid"/>
        <w:tblW w:w="10865" w:type="dxa"/>
        <w:jc w:val="center"/>
        <w:tblLayout w:type="fixed"/>
        <w:tblLook w:val="04A0" w:firstRow="1" w:lastRow="0" w:firstColumn="1" w:lastColumn="0" w:noHBand="0" w:noVBand="1"/>
      </w:tblPr>
      <w:tblGrid>
        <w:gridCol w:w="2661"/>
        <w:gridCol w:w="1025"/>
        <w:gridCol w:w="1276"/>
        <w:gridCol w:w="1225"/>
        <w:gridCol w:w="1276"/>
        <w:gridCol w:w="1134"/>
        <w:gridCol w:w="1134"/>
        <w:gridCol w:w="1134"/>
      </w:tblGrid>
      <w:tr w:rsidR="00354F64" w:rsidRPr="00C82C71" w14:paraId="1B14ECDB" w14:textId="77777777" w:rsidTr="006B1AAF">
        <w:trPr>
          <w:tblHeader/>
          <w:jc w:val="center"/>
        </w:trPr>
        <w:tc>
          <w:tcPr>
            <w:tcW w:w="2661" w:type="dxa"/>
            <w:shd w:val="clear" w:color="auto" w:fill="12283F"/>
            <w:tcMar>
              <w:top w:w="55" w:type="dxa"/>
              <w:left w:w="65" w:type="dxa"/>
              <w:bottom w:w="55" w:type="dxa"/>
              <w:right w:w="65" w:type="dxa"/>
            </w:tcMar>
            <w:vAlign w:val="center"/>
          </w:tcPr>
          <w:p w14:paraId="19A993C0" w14:textId="77777777" w:rsidR="00354F64" w:rsidRPr="00C82C71" w:rsidRDefault="00000000">
            <w:pPr>
              <w:spacing w:after="0"/>
              <w:jc w:val="center"/>
              <w:rPr>
                <w:rFonts w:cs="Arial"/>
              </w:rPr>
            </w:pPr>
            <w:r w:rsidRPr="00C82C71">
              <w:rPr>
                <w:rFonts w:cs="Arial"/>
                <w:b/>
                <w:color w:val="FFFFFF"/>
                <w:sz w:val="12"/>
              </w:rPr>
              <w:t>Fund</w:t>
            </w:r>
          </w:p>
        </w:tc>
        <w:tc>
          <w:tcPr>
            <w:tcW w:w="1025" w:type="dxa"/>
            <w:shd w:val="clear" w:color="auto" w:fill="12283F"/>
            <w:tcMar>
              <w:top w:w="55" w:type="dxa"/>
              <w:left w:w="65" w:type="dxa"/>
              <w:bottom w:w="55" w:type="dxa"/>
              <w:right w:w="65" w:type="dxa"/>
            </w:tcMar>
            <w:vAlign w:val="center"/>
          </w:tcPr>
          <w:p w14:paraId="1995E2ED" w14:textId="77777777" w:rsidR="00354F64" w:rsidRPr="00C82C71" w:rsidRDefault="00000000">
            <w:pPr>
              <w:spacing w:after="0"/>
              <w:jc w:val="center"/>
              <w:rPr>
                <w:rFonts w:cs="Arial"/>
              </w:rPr>
            </w:pPr>
            <w:r w:rsidRPr="00C82C71">
              <w:rPr>
                <w:rFonts w:cs="Arial"/>
                <w:b/>
                <w:color w:val="FFFFFF"/>
                <w:sz w:val="12"/>
              </w:rPr>
              <w:t>Ann. ret.</w:t>
            </w:r>
          </w:p>
        </w:tc>
        <w:tc>
          <w:tcPr>
            <w:tcW w:w="1276" w:type="dxa"/>
            <w:shd w:val="clear" w:color="auto" w:fill="12283F"/>
            <w:tcMar>
              <w:top w:w="55" w:type="dxa"/>
              <w:left w:w="65" w:type="dxa"/>
              <w:bottom w:w="55" w:type="dxa"/>
              <w:right w:w="65" w:type="dxa"/>
            </w:tcMar>
            <w:vAlign w:val="center"/>
          </w:tcPr>
          <w:p w14:paraId="262F6C75" w14:textId="77777777" w:rsidR="00354F64" w:rsidRPr="00C82C71" w:rsidRDefault="00000000">
            <w:pPr>
              <w:spacing w:after="0"/>
              <w:jc w:val="center"/>
              <w:rPr>
                <w:rFonts w:cs="Arial"/>
              </w:rPr>
            </w:pPr>
            <w:r w:rsidRPr="00C82C71">
              <w:rPr>
                <w:rFonts w:cs="Arial"/>
                <w:b/>
                <w:color w:val="FFFFFF"/>
                <w:sz w:val="12"/>
              </w:rPr>
              <w:t>Ann. vol.</w:t>
            </w:r>
          </w:p>
        </w:tc>
        <w:tc>
          <w:tcPr>
            <w:tcW w:w="1225" w:type="dxa"/>
            <w:shd w:val="clear" w:color="auto" w:fill="12283F"/>
            <w:tcMar>
              <w:top w:w="55" w:type="dxa"/>
              <w:left w:w="65" w:type="dxa"/>
              <w:bottom w:w="55" w:type="dxa"/>
              <w:right w:w="65" w:type="dxa"/>
            </w:tcMar>
            <w:vAlign w:val="center"/>
          </w:tcPr>
          <w:p w14:paraId="04607FAF" w14:textId="77777777" w:rsidR="00354F64" w:rsidRPr="00C82C71" w:rsidRDefault="00000000">
            <w:pPr>
              <w:spacing w:after="0"/>
              <w:jc w:val="center"/>
              <w:rPr>
                <w:rFonts w:cs="Arial"/>
              </w:rPr>
            </w:pPr>
            <w:r w:rsidRPr="00C82C71">
              <w:rPr>
                <w:rFonts w:cs="Arial"/>
                <w:b/>
                <w:color w:val="FFFFFF"/>
                <w:sz w:val="12"/>
              </w:rPr>
              <w:t>Sharpe</w:t>
            </w:r>
          </w:p>
        </w:tc>
        <w:tc>
          <w:tcPr>
            <w:tcW w:w="1276" w:type="dxa"/>
            <w:shd w:val="clear" w:color="auto" w:fill="12283F"/>
            <w:tcMar>
              <w:top w:w="55" w:type="dxa"/>
              <w:left w:w="65" w:type="dxa"/>
              <w:bottom w:w="55" w:type="dxa"/>
              <w:right w:w="65" w:type="dxa"/>
            </w:tcMar>
            <w:vAlign w:val="center"/>
          </w:tcPr>
          <w:p w14:paraId="050F0497" w14:textId="77777777" w:rsidR="00354F64" w:rsidRPr="00C82C71" w:rsidRDefault="00000000">
            <w:pPr>
              <w:spacing w:after="0"/>
              <w:jc w:val="center"/>
              <w:rPr>
                <w:rFonts w:cs="Arial"/>
              </w:rPr>
            </w:pPr>
            <w:r w:rsidRPr="00C82C71">
              <w:rPr>
                <w:rFonts w:cs="Arial"/>
                <w:b/>
                <w:color w:val="FFFFFF"/>
                <w:sz w:val="12"/>
              </w:rPr>
              <w:t>Max DD</w:t>
            </w:r>
          </w:p>
        </w:tc>
        <w:tc>
          <w:tcPr>
            <w:tcW w:w="1134" w:type="dxa"/>
            <w:shd w:val="clear" w:color="auto" w:fill="12283F"/>
            <w:tcMar>
              <w:top w:w="55" w:type="dxa"/>
              <w:left w:w="65" w:type="dxa"/>
              <w:bottom w:w="55" w:type="dxa"/>
              <w:right w:w="65" w:type="dxa"/>
            </w:tcMar>
            <w:vAlign w:val="center"/>
          </w:tcPr>
          <w:p w14:paraId="2C2FC82F" w14:textId="77777777" w:rsidR="00354F64" w:rsidRPr="00C82C71" w:rsidRDefault="00000000">
            <w:pPr>
              <w:spacing w:after="0"/>
              <w:jc w:val="center"/>
              <w:rPr>
                <w:rFonts w:cs="Arial"/>
              </w:rPr>
            </w:pPr>
            <w:r w:rsidRPr="00C82C71">
              <w:rPr>
                <w:rFonts w:cs="Arial"/>
                <w:b/>
                <w:color w:val="FFFFFF"/>
                <w:sz w:val="12"/>
              </w:rPr>
              <w:t>Growth $1</w:t>
            </w:r>
          </w:p>
        </w:tc>
        <w:tc>
          <w:tcPr>
            <w:tcW w:w="1134" w:type="dxa"/>
            <w:shd w:val="clear" w:color="auto" w:fill="12283F"/>
            <w:tcMar>
              <w:top w:w="55" w:type="dxa"/>
              <w:left w:w="65" w:type="dxa"/>
              <w:bottom w:w="55" w:type="dxa"/>
              <w:right w:w="65" w:type="dxa"/>
            </w:tcMar>
            <w:vAlign w:val="center"/>
          </w:tcPr>
          <w:p w14:paraId="401F76CF" w14:textId="77777777" w:rsidR="00354F64" w:rsidRPr="00C82C71" w:rsidRDefault="00000000">
            <w:pPr>
              <w:spacing w:after="0"/>
              <w:jc w:val="center"/>
              <w:rPr>
                <w:rFonts w:cs="Arial"/>
              </w:rPr>
            </w:pPr>
            <w:r w:rsidRPr="00C82C71">
              <w:rPr>
                <w:rFonts w:cs="Arial"/>
                <w:b/>
                <w:color w:val="FFFFFF"/>
                <w:sz w:val="12"/>
              </w:rPr>
              <w:t>Turnover</w:t>
            </w:r>
          </w:p>
        </w:tc>
        <w:tc>
          <w:tcPr>
            <w:tcW w:w="1134" w:type="dxa"/>
            <w:shd w:val="clear" w:color="auto" w:fill="12283F"/>
            <w:tcMar>
              <w:top w:w="55" w:type="dxa"/>
              <w:left w:w="65" w:type="dxa"/>
              <w:bottom w:w="55" w:type="dxa"/>
              <w:right w:w="65" w:type="dxa"/>
            </w:tcMar>
            <w:vAlign w:val="center"/>
          </w:tcPr>
          <w:p w14:paraId="121DC4D5" w14:textId="77777777" w:rsidR="00354F64" w:rsidRPr="00C82C71" w:rsidRDefault="00000000">
            <w:pPr>
              <w:spacing w:after="0"/>
              <w:jc w:val="center"/>
              <w:rPr>
                <w:rFonts w:cs="Arial"/>
              </w:rPr>
            </w:pPr>
            <w:r w:rsidRPr="00C82C71">
              <w:rPr>
                <w:rFonts w:cs="Arial"/>
                <w:b/>
                <w:color w:val="FFFFFF"/>
                <w:sz w:val="12"/>
              </w:rPr>
              <w:t>Net Sharpe</w:t>
            </w:r>
          </w:p>
        </w:tc>
      </w:tr>
      <w:tr w:rsidR="00354F64" w:rsidRPr="00C82C71" w14:paraId="56127A93" w14:textId="77777777" w:rsidTr="006B1AAF">
        <w:trPr>
          <w:jc w:val="center"/>
        </w:trPr>
        <w:tc>
          <w:tcPr>
            <w:tcW w:w="2661" w:type="dxa"/>
            <w:tcMar>
              <w:top w:w="50" w:type="dxa"/>
              <w:left w:w="65" w:type="dxa"/>
              <w:bottom w:w="50" w:type="dxa"/>
              <w:right w:w="65" w:type="dxa"/>
            </w:tcMar>
            <w:vAlign w:val="center"/>
          </w:tcPr>
          <w:p w14:paraId="0CCF605C" w14:textId="77777777" w:rsidR="00354F64" w:rsidRPr="00C82C71" w:rsidRDefault="00000000">
            <w:pPr>
              <w:spacing w:after="0"/>
              <w:rPr>
                <w:rFonts w:cs="Arial"/>
              </w:rPr>
            </w:pPr>
            <w:r w:rsidRPr="00C82C71">
              <w:rPr>
                <w:rFonts w:cs="Arial"/>
                <w:sz w:val="12"/>
              </w:rPr>
              <w:t>Combined Equal Weight</w:t>
            </w:r>
          </w:p>
        </w:tc>
        <w:tc>
          <w:tcPr>
            <w:tcW w:w="1025" w:type="dxa"/>
            <w:tcMar>
              <w:top w:w="50" w:type="dxa"/>
              <w:left w:w="65" w:type="dxa"/>
              <w:bottom w:w="50" w:type="dxa"/>
              <w:right w:w="65" w:type="dxa"/>
            </w:tcMar>
            <w:vAlign w:val="center"/>
          </w:tcPr>
          <w:p w14:paraId="0AB051E3" w14:textId="77777777" w:rsidR="00354F64" w:rsidRPr="00C82C71" w:rsidRDefault="00000000">
            <w:pPr>
              <w:spacing w:after="0"/>
              <w:jc w:val="center"/>
              <w:rPr>
                <w:rFonts w:cs="Arial"/>
              </w:rPr>
            </w:pPr>
            <w:r w:rsidRPr="00C82C71">
              <w:rPr>
                <w:rFonts w:cs="Arial"/>
                <w:sz w:val="12"/>
              </w:rPr>
              <w:t>15.1%</w:t>
            </w:r>
          </w:p>
        </w:tc>
        <w:tc>
          <w:tcPr>
            <w:tcW w:w="1276" w:type="dxa"/>
            <w:tcMar>
              <w:top w:w="50" w:type="dxa"/>
              <w:left w:w="65" w:type="dxa"/>
              <w:bottom w:w="50" w:type="dxa"/>
              <w:right w:w="65" w:type="dxa"/>
            </w:tcMar>
            <w:vAlign w:val="center"/>
          </w:tcPr>
          <w:p w14:paraId="2942283D" w14:textId="77777777" w:rsidR="00354F64" w:rsidRPr="00C82C71" w:rsidRDefault="00000000">
            <w:pPr>
              <w:spacing w:after="0"/>
              <w:jc w:val="center"/>
              <w:rPr>
                <w:rFonts w:cs="Arial"/>
              </w:rPr>
            </w:pPr>
            <w:r w:rsidRPr="00C82C71">
              <w:rPr>
                <w:rFonts w:cs="Arial"/>
                <w:sz w:val="12"/>
              </w:rPr>
              <w:t>21.6%</w:t>
            </w:r>
          </w:p>
        </w:tc>
        <w:tc>
          <w:tcPr>
            <w:tcW w:w="1225" w:type="dxa"/>
            <w:tcMar>
              <w:top w:w="50" w:type="dxa"/>
              <w:left w:w="65" w:type="dxa"/>
              <w:bottom w:w="50" w:type="dxa"/>
              <w:right w:w="65" w:type="dxa"/>
            </w:tcMar>
            <w:vAlign w:val="center"/>
          </w:tcPr>
          <w:p w14:paraId="6A0E7D88" w14:textId="77777777" w:rsidR="00354F64" w:rsidRPr="00C82C71" w:rsidRDefault="00000000">
            <w:pPr>
              <w:spacing w:after="0"/>
              <w:jc w:val="center"/>
              <w:rPr>
                <w:rFonts w:cs="Arial"/>
              </w:rPr>
            </w:pPr>
            <w:r w:rsidRPr="00C82C71">
              <w:rPr>
                <w:rFonts w:cs="Arial"/>
                <w:sz w:val="12"/>
              </w:rPr>
              <w:t>0.701</w:t>
            </w:r>
          </w:p>
        </w:tc>
        <w:tc>
          <w:tcPr>
            <w:tcW w:w="1276" w:type="dxa"/>
            <w:tcMar>
              <w:top w:w="50" w:type="dxa"/>
              <w:left w:w="65" w:type="dxa"/>
              <w:bottom w:w="50" w:type="dxa"/>
              <w:right w:w="65" w:type="dxa"/>
            </w:tcMar>
            <w:vAlign w:val="center"/>
          </w:tcPr>
          <w:p w14:paraId="48F2AE49" w14:textId="77777777" w:rsidR="00354F64" w:rsidRPr="00C82C71" w:rsidRDefault="00000000">
            <w:pPr>
              <w:spacing w:after="0"/>
              <w:jc w:val="center"/>
              <w:rPr>
                <w:rFonts w:cs="Arial"/>
              </w:rPr>
            </w:pPr>
            <w:r w:rsidRPr="00C82C71">
              <w:rPr>
                <w:rFonts w:cs="Arial"/>
                <w:sz w:val="12"/>
              </w:rPr>
              <w:t>-27.9%</w:t>
            </w:r>
          </w:p>
        </w:tc>
        <w:tc>
          <w:tcPr>
            <w:tcW w:w="1134" w:type="dxa"/>
            <w:tcMar>
              <w:top w:w="50" w:type="dxa"/>
              <w:left w:w="65" w:type="dxa"/>
              <w:bottom w:w="50" w:type="dxa"/>
              <w:right w:w="65" w:type="dxa"/>
            </w:tcMar>
            <w:vAlign w:val="center"/>
          </w:tcPr>
          <w:p w14:paraId="2115053B" w14:textId="77777777" w:rsidR="00354F64" w:rsidRPr="00C82C71" w:rsidRDefault="00000000">
            <w:pPr>
              <w:spacing w:after="0"/>
              <w:jc w:val="center"/>
              <w:rPr>
                <w:rFonts w:cs="Arial"/>
              </w:rPr>
            </w:pPr>
            <w:r w:rsidRPr="00C82C71">
              <w:rPr>
                <w:rFonts w:cs="Arial"/>
                <w:sz w:val="12"/>
              </w:rPr>
              <w:t>$1.52</w:t>
            </w:r>
          </w:p>
        </w:tc>
        <w:tc>
          <w:tcPr>
            <w:tcW w:w="1134" w:type="dxa"/>
            <w:tcMar>
              <w:top w:w="50" w:type="dxa"/>
              <w:left w:w="65" w:type="dxa"/>
              <w:bottom w:w="50" w:type="dxa"/>
              <w:right w:w="65" w:type="dxa"/>
            </w:tcMar>
            <w:vAlign w:val="center"/>
          </w:tcPr>
          <w:p w14:paraId="3E7672B0" w14:textId="77777777" w:rsidR="00354F64" w:rsidRPr="00C82C71" w:rsidRDefault="00000000">
            <w:pPr>
              <w:spacing w:after="0"/>
              <w:jc w:val="center"/>
              <w:rPr>
                <w:rFonts w:cs="Arial"/>
              </w:rPr>
            </w:pPr>
            <w:r w:rsidRPr="00C82C71">
              <w:rPr>
                <w:rFonts w:cs="Arial"/>
                <w:sz w:val="12"/>
              </w:rPr>
              <w:t>3.8%</w:t>
            </w:r>
          </w:p>
        </w:tc>
        <w:tc>
          <w:tcPr>
            <w:tcW w:w="1134" w:type="dxa"/>
            <w:tcMar>
              <w:top w:w="50" w:type="dxa"/>
              <w:left w:w="65" w:type="dxa"/>
              <w:bottom w:w="50" w:type="dxa"/>
              <w:right w:w="65" w:type="dxa"/>
            </w:tcMar>
            <w:vAlign w:val="center"/>
          </w:tcPr>
          <w:p w14:paraId="611AA400" w14:textId="77777777" w:rsidR="00354F64" w:rsidRPr="00C82C71" w:rsidRDefault="00000000">
            <w:pPr>
              <w:spacing w:after="0"/>
              <w:jc w:val="center"/>
              <w:rPr>
                <w:rFonts w:cs="Arial"/>
              </w:rPr>
            </w:pPr>
            <w:r w:rsidRPr="00C82C71">
              <w:rPr>
                <w:rFonts w:cs="Arial"/>
                <w:sz w:val="12"/>
              </w:rPr>
              <w:t>0.698</w:t>
            </w:r>
          </w:p>
        </w:tc>
      </w:tr>
      <w:tr w:rsidR="00354F64" w:rsidRPr="00C82C71" w14:paraId="6EC86779" w14:textId="77777777" w:rsidTr="006B1AAF">
        <w:trPr>
          <w:jc w:val="center"/>
        </w:trPr>
        <w:tc>
          <w:tcPr>
            <w:tcW w:w="2661" w:type="dxa"/>
            <w:shd w:val="clear" w:color="auto" w:fill="F7F8F8"/>
            <w:tcMar>
              <w:top w:w="50" w:type="dxa"/>
              <w:left w:w="65" w:type="dxa"/>
              <w:bottom w:w="50" w:type="dxa"/>
              <w:right w:w="65" w:type="dxa"/>
            </w:tcMar>
            <w:vAlign w:val="center"/>
          </w:tcPr>
          <w:p w14:paraId="1DF54CCB" w14:textId="77777777" w:rsidR="00354F64" w:rsidRPr="00C82C71" w:rsidRDefault="00000000">
            <w:pPr>
              <w:spacing w:after="0"/>
              <w:rPr>
                <w:rFonts w:cs="Arial"/>
              </w:rPr>
            </w:pPr>
            <w:r w:rsidRPr="00C82C71">
              <w:rPr>
                <w:rFonts w:cs="Arial"/>
                <w:sz w:val="12"/>
              </w:rPr>
              <w:t>Combined Minimum Variance</w:t>
            </w:r>
          </w:p>
        </w:tc>
        <w:tc>
          <w:tcPr>
            <w:tcW w:w="1025" w:type="dxa"/>
            <w:shd w:val="clear" w:color="auto" w:fill="F7F8F8"/>
            <w:tcMar>
              <w:top w:w="50" w:type="dxa"/>
              <w:left w:w="65" w:type="dxa"/>
              <w:bottom w:w="50" w:type="dxa"/>
              <w:right w:w="65" w:type="dxa"/>
            </w:tcMar>
            <w:vAlign w:val="center"/>
          </w:tcPr>
          <w:p w14:paraId="668FD718" w14:textId="77777777" w:rsidR="00354F64" w:rsidRPr="00C82C71" w:rsidRDefault="00000000">
            <w:pPr>
              <w:spacing w:after="0"/>
              <w:jc w:val="center"/>
              <w:rPr>
                <w:rFonts w:cs="Arial"/>
              </w:rPr>
            </w:pPr>
            <w:r w:rsidRPr="00C82C71">
              <w:rPr>
                <w:rFonts w:cs="Arial"/>
                <w:sz w:val="12"/>
              </w:rPr>
              <w:t>5.5%</w:t>
            </w:r>
          </w:p>
        </w:tc>
        <w:tc>
          <w:tcPr>
            <w:tcW w:w="1276" w:type="dxa"/>
            <w:shd w:val="clear" w:color="auto" w:fill="F7F8F8"/>
            <w:tcMar>
              <w:top w:w="50" w:type="dxa"/>
              <w:left w:w="65" w:type="dxa"/>
              <w:bottom w:w="50" w:type="dxa"/>
              <w:right w:w="65" w:type="dxa"/>
            </w:tcMar>
            <w:vAlign w:val="center"/>
          </w:tcPr>
          <w:p w14:paraId="373B9B45" w14:textId="77777777" w:rsidR="00354F64" w:rsidRPr="00C82C71" w:rsidRDefault="00000000">
            <w:pPr>
              <w:spacing w:after="0"/>
              <w:jc w:val="center"/>
              <w:rPr>
                <w:rFonts w:cs="Arial"/>
              </w:rPr>
            </w:pPr>
            <w:r w:rsidRPr="00C82C71">
              <w:rPr>
                <w:rFonts w:cs="Arial"/>
                <w:sz w:val="12"/>
              </w:rPr>
              <w:t>12.6%</w:t>
            </w:r>
          </w:p>
        </w:tc>
        <w:tc>
          <w:tcPr>
            <w:tcW w:w="1225" w:type="dxa"/>
            <w:shd w:val="clear" w:color="auto" w:fill="F7F8F8"/>
            <w:tcMar>
              <w:top w:w="50" w:type="dxa"/>
              <w:left w:w="65" w:type="dxa"/>
              <w:bottom w:w="50" w:type="dxa"/>
              <w:right w:w="65" w:type="dxa"/>
            </w:tcMar>
            <w:vAlign w:val="center"/>
          </w:tcPr>
          <w:p w14:paraId="04C080F5" w14:textId="77777777" w:rsidR="00354F64" w:rsidRPr="00C82C71" w:rsidRDefault="00000000">
            <w:pPr>
              <w:spacing w:after="0"/>
              <w:jc w:val="center"/>
              <w:rPr>
                <w:rFonts w:cs="Arial"/>
              </w:rPr>
            </w:pPr>
            <w:r w:rsidRPr="00C82C71">
              <w:rPr>
                <w:rFonts w:cs="Arial"/>
                <w:sz w:val="12"/>
              </w:rPr>
              <w:t>0.434</w:t>
            </w:r>
          </w:p>
        </w:tc>
        <w:tc>
          <w:tcPr>
            <w:tcW w:w="1276" w:type="dxa"/>
            <w:shd w:val="clear" w:color="auto" w:fill="F7F8F8"/>
            <w:tcMar>
              <w:top w:w="50" w:type="dxa"/>
              <w:left w:w="65" w:type="dxa"/>
              <w:bottom w:w="50" w:type="dxa"/>
              <w:right w:w="65" w:type="dxa"/>
            </w:tcMar>
            <w:vAlign w:val="center"/>
          </w:tcPr>
          <w:p w14:paraId="681FF724" w14:textId="77777777" w:rsidR="00354F64" w:rsidRPr="00C82C71" w:rsidRDefault="00000000">
            <w:pPr>
              <w:spacing w:after="0"/>
              <w:jc w:val="center"/>
              <w:rPr>
                <w:rFonts w:cs="Arial"/>
              </w:rPr>
            </w:pPr>
            <w:r w:rsidRPr="00C82C71">
              <w:rPr>
                <w:rFonts w:cs="Arial"/>
                <w:sz w:val="12"/>
              </w:rPr>
              <w:t>-15.5%</w:t>
            </w:r>
          </w:p>
        </w:tc>
        <w:tc>
          <w:tcPr>
            <w:tcW w:w="1134" w:type="dxa"/>
            <w:shd w:val="clear" w:color="auto" w:fill="F7F8F8"/>
            <w:tcMar>
              <w:top w:w="50" w:type="dxa"/>
              <w:left w:w="65" w:type="dxa"/>
              <w:bottom w:w="50" w:type="dxa"/>
              <w:right w:w="65" w:type="dxa"/>
            </w:tcMar>
            <w:vAlign w:val="center"/>
          </w:tcPr>
          <w:p w14:paraId="2D590C80" w14:textId="77777777" w:rsidR="00354F64" w:rsidRPr="00C82C71" w:rsidRDefault="00000000">
            <w:pPr>
              <w:spacing w:after="0"/>
              <w:jc w:val="center"/>
              <w:rPr>
                <w:rFonts w:cs="Arial"/>
              </w:rPr>
            </w:pPr>
            <w:r w:rsidRPr="00C82C71">
              <w:rPr>
                <w:rFonts w:cs="Arial"/>
                <w:sz w:val="12"/>
              </w:rPr>
              <w:t>$1.17</w:t>
            </w:r>
          </w:p>
        </w:tc>
        <w:tc>
          <w:tcPr>
            <w:tcW w:w="1134" w:type="dxa"/>
            <w:shd w:val="clear" w:color="auto" w:fill="F7F8F8"/>
            <w:tcMar>
              <w:top w:w="50" w:type="dxa"/>
              <w:left w:w="65" w:type="dxa"/>
              <w:bottom w:w="50" w:type="dxa"/>
              <w:right w:w="65" w:type="dxa"/>
            </w:tcMar>
            <w:vAlign w:val="center"/>
          </w:tcPr>
          <w:p w14:paraId="4C415DF8" w14:textId="77777777" w:rsidR="00354F64" w:rsidRPr="00C82C71" w:rsidRDefault="00000000">
            <w:pPr>
              <w:spacing w:after="0"/>
              <w:jc w:val="center"/>
              <w:rPr>
                <w:rFonts w:cs="Arial"/>
              </w:rPr>
            </w:pPr>
            <w:r w:rsidRPr="00C82C71">
              <w:rPr>
                <w:rFonts w:cs="Arial"/>
                <w:sz w:val="12"/>
              </w:rPr>
              <w:t>13.0%</w:t>
            </w:r>
          </w:p>
        </w:tc>
        <w:tc>
          <w:tcPr>
            <w:tcW w:w="1134" w:type="dxa"/>
            <w:shd w:val="clear" w:color="auto" w:fill="F7F8F8"/>
            <w:tcMar>
              <w:top w:w="50" w:type="dxa"/>
              <w:left w:w="65" w:type="dxa"/>
              <w:bottom w:w="50" w:type="dxa"/>
              <w:right w:w="65" w:type="dxa"/>
            </w:tcMar>
            <w:vAlign w:val="center"/>
          </w:tcPr>
          <w:p w14:paraId="02BEDA46" w14:textId="77777777" w:rsidR="00354F64" w:rsidRPr="00C82C71" w:rsidRDefault="00000000">
            <w:pPr>
              <w:spacing w:after="0"/>
              <w:jc w:val="center"/>
              <w:rPr>
                <w:rFonts w:cs="Arial"/>
              </w:rPr>
            </w:pPr>
            <w:r w:rsidRPr="00C82C71">
              <w:rPr>
                <w:rFonts w:cs="Arial"/>
                <w:sz w:val="12"/>
              </w:rPr>
              <w:t>0.421</w:t>
            </w:r>
          </w:p>
        </w:tc>
      </w:tr>
      <w:tr w:rsidR="00354F64" w:rsidRPr="00C82C71" w14:paraId="541AE23D" w14:textId="77777777" w:rsidTr="006B1AAF">
        <w:trPr>
          <w:jc w:val="center"/>
        </w:trPr>
        <w:tc>
          <w:tcPr>
            <w:tcW w:w="2661" w:type="dxa"/>
            <w:tcMar>
              <w:top w:w="50" w:type="dxa"/>
              <w:left w:w="65" w:type="dxa"/>
              <w:bottom w:w="50" w:type="dxa"/>
              <w:right w:w="65" w:type="dxa"/>
            </w:tcMar>
            <w:vAlign w:val="center"/>
          </w:tcPr>
          <w:p w14:paraId="19368812" w14:textId="77777777" w:rsidR="00354F64" w:rsidRPr="00C82C71" w:rsidRDefault="00000000">
            <w:pPr>
              <w:spacing w:after="0"/>
              <w:rPr>
                <w:rFonts w:cs="Arial"/>
              </w:rPr>
            </w:pPr>
            <w:r w:rsidRPr="00C82C71">
              <w:rPr>
                <w:rFonts w:cs="Arial"/>
                <w:sz w:val="12"/>
              </w:rPr>
              <w:t>Combined Maximum Sharpe</w:t>
            </w:r>
          </w:p>
        </w:tc>
        <w:tc>
          <w:tcPr>
            <w:tcW w:w="1025" w:type="dxa"/>
            <w:tcMar>
              <w:top w:w="50" w:type="dxa"/>
              <w:left w:w="65" w:type="dxa"/>
              <w:bottom w:w="50" w:type="dxa"/>
              <w:right w:w="65" w:type="dxa"/>
            </w:tcMar>
            <w:vAlign w:val="center"/>
          </w:tcPr>
          <w:p w14:paraId="5C0ECF5D" w14:textId="77777777" w:rsidR="00354F64" w:rsidRPr="00C82C71" w:rsidRDefault="00000000">
            <w:pPr>
              <w:spacing w:after="0"/>
              <w:jc w:val="center"/>
              <w:rPr>
                <w:rFonts w:cs="Arial"/>
              </w:rPr>
            </w:pPr>
            <w:r w:rsidRPr="00C82C71">
              <w:rPr>
                <w:rFonts w:cs="Arial"/>
                <w:sz w:val="12"/>
              </w:rPr>
              <w:t>17.3%</w:t>
            </w:r>
          </w:p>
        </w:tc>
        <w:tc>
          <w:tcPr>
            <w:tcW w:w="1276" w:type="dxa"/>
            <w:tcMar>
              <w:top w:w="50" w:type="dxa"/>
              <w:left w:w="65" w:type="dxa"/>
              <w:bottom w:w="50" w:type="dxa"/>
              <w:right w:w="65" w:type="dxa"/>
            </w:tcMar>
            <w:vAlign w:val="center"/>
          </w:tcPr>
          <w:p w14:paraId="3F35FECC" w14:textId="77777777" w:rsidR="00354F64" w:rsidRPr="00C82C71" w:rsidRDefault="00000000">
            <w:pPr>
              <w:spacing w:after="0"/>
              <w:jc w:val="center"/>
              <w:rPr>
                <w:rFonts w:cs="Arial"/>
              </w:rPr>
            </w:pPr>
            <w:r w:rsidRPr="00C82C71">
              <w:rPr>
                <w:rFonts w:cs="Arial"/>
                <w:sz w:val="12"/>
              </w:rPr>
              <w:t>23.2%</w:t>
            </w:r>
          </w:p>
        </w:tc>
        <w:tc>
          <w:tcPr>
            <w:tcW w:w="1225" w:type="dxa"/>
            <w:tcMar>
              <w:top w:w="50" w:type="dxa"/>
              <w:left w:w="65" w:type="dxa"/>
              <w:bottom w:w="50" w:type="dxa"/>
              <w:right w:w="65" w:type="dxa"/>
            </w:tcMar>
            <w:vAlign w:val="center"/>
          </w:tcPr>
          <w:p w14:paraId="157CB40D" w14:textId="77777777" w:rsidR="00354F64" w:rsidRPr="00C82C71" w:rsidRDefault="00000000">
            <w:pPr>
              <w:spacing w:after="0"/>
              <w:jc w:val="center"/>
              <w:rPr>
                <w:rFonts w:cs="Arial"/>
              </w:rPr>
            </w:pPr>
            <w:r w:rsidRPr="00C82C71">
              <w:rPr>
                <w:rFonts w:cs="Arial"/>
                <w:sz w:val="12"/>
              </w:rPr>
              <w:t>0.744</w:t>
            </w:r>
          </w:p>
        </w:tc>
        <w:tc>
          <w:tcPr>
            <w:tcW w:w="1276" w:type="dxa"/>
            <w:tcMar>
              <w:top w:w="50" w:type="dxa"/>
              <w:left w:w="65" w:type="dxa"/>
              <w:bottom w:w="50" w:type="dxa"/>
              <w:right w:w="65" w:type="dxa"/>
            </w:tcMar>
            <w:vAlign w:val="center"/>
          </w:tcPr>
          <w:p w14:paraId="6C140553" w14:textId="77777777" w:rsidR="00354F64" w:rsidRPr="00C82C71" w:rsidRDefault="00000000">
            <w:pPr>
              <w:spacing w:after="0"/>
              <w:jc w:val="center"/>
              <w:rPr>
                <w:rFonts w:cs="Arial"/>
              </w:rPr>
            </w:pPr>
            <w:r w:rsidRPr="00C82C71">
              <w:rPr>
                <w:rFonts w:cs="Arial"/>
                <w:sz w:val="12"/>
              </w:rPr>
              <w:t>-22.7%</w:t>
            </w:r>
          </w:p>
        </w:tc>
        <w:tc>
          <w:tcPr>
            <w:tcW w:w="1134" w:type="dxa"/>
            <w:tcMar>
              <w:top w:w="50" w:type="dxa"/>
              <w:left w:w="65" w:type="dxa"/>
              <w:bottom w:w="50" w:type="dxa"/>
              <w:right w:w="65" w:type="dxa"/>
            </w:tcMar>
            <w:vAlign w:val="center"/>
          </w:tcPr>
          <w:p w14:paraId="571D409B" w14:textId="77777777" w:rsidR="00354F64" w:rsidRPr="00C82C71" w:rsidRDefault="00000000">
            <w:pPr>
              <w:spacing w:after="0"/>
              <w:jc w:val="center"/>
              <w:rPr>
                <w:rFonts w:cs="Arial"/>
              </w:rPr>
            </w:pPr>
            <w:r w:rsidRPr="00C82C71">
              <w:rPr>
                <w:rFonts w:cs="Arial"/>
                <w:sz w:val="12"/>
              </w:rPr>
              <w:t>$1.61</w:t>
            </w:r>
          </w:p>
        </w:tc>
        <w:tc>
          <w:tcPr>
            <w:tcW w:w="1134" w:type="dxa"/>
            <w:tcMar>
              <w:top w:w="50" w:type="dxa"/>
              <w:left w:w="65" w:type="dxa"/>
              <w:bottom w:w="50" w:type="dxa"/>
              <w:right w:w="65" w:type="dxa"/>
            </w:tcMar>
            <w:vAlign w:val="center"/>
          </w:tcPr>
          <w:p w14:paraId="1844531A" w14:textId="77777777" w:rsidR="00354F64" w:rsidRPr="00C82C71" w:rsidRDefault="00000000">
            <w:pPr>
              <w:spacing w:after="0"/>
              <w:jc w:val="center"/>
              <w:rPr>
                <w:rFonts w:cs="Arial"/>
              </w:rPr>
            </w:pPr>
            <w:r w:rsidRPr="00C82C71">
              <w:rPr>
                <w:rFonts w:cs="Arial"/>
                <w:sz w:val="12"/>
              </w:rPr>
              <w:t>28.5%</w:t>
            </w:r>
          </w:p>
        </w:tc>
        <w:tc>
          <w:tcPr>
            <w:tcW w:w="1134" w:type="dxa"/>
            <w:tcMar>
              <w:top w:w="50" w:type="dxa"/>
              <w:left w:w="65" w:type="dxa"/>
              <w:bottom w:w="50" w:type="dxa"/>
              <w:right w:w="65" w:type="dxa"/>
            </w:tcMar>
            <w:vAlign w:val="center"/>
          </w:tcPr>
          <w:p w14:paraId="1034C94A" w14:textId="77777777" w:rsidR="00354F64" w:rsidRPr="00C82C71" w:rsidRDefault="00000000">
            <w:pPr>
              <w:spacing w:after="0"/>
              <w:jc w:val="center"/>
              <w:rPr>
                <w:rFonts w:cs="Arial"/>
              </w:rPr>
            </w:pPr>
            <w:r w:rsidRPr="00C82C71">
              <w:rPr>
                <w:rFonts w:cs="Arial"/>
                <w:sz w:val="12"/>
              </w:rPr>
              <w:t>0.727</w:t>
            </w:r>
          </w:p>
        </w:tc>
      </w:tr>
      <w:tr w:rsidR="00354F64" w:rsidRPr="00C82C71" w14:paraId="4EEBE64B" w14:textId="77777777" w:rsidTr="006B1AAF">
        <w:trPr>
          <w:jc w:val="center"/>
        </w:trPr>
        <w:tc>
          <w:tcPr>
            <w:tcW w:w="2661" w:type="dxa"/>
            <w:shd w:val="clear" w:color="auto" w:fill="F7F8F8"/>
            <w:tcMar>
              <w:top w:w="50" w:type="dxa"/>
              <w:left w:w="65" w:type="dxa"/>
              <w:bottom w:w="50" w:type="dxa"/>
              <w:right w:w="65" w:type="dxa"/>
            </w:tcMar>
            <w:vAlign w:val="center"/>
          </w:tcPr>
          <w:p w14:paraId="26662D81" w14:textId="77777777" w:rsidR="00354F64" w:rsidRPr="00C82C71" w:rsidRDefault="00000000">
            <w:pPr>
              <w:spacing w:after="0"/>
              <w:rPr>
                <w:rFonts w:cs="Arial"/>
              </w:rPr>
            </w:pPr>
            <w:r w:rsidRPr="00C82C71">
              <w:rPr>
                <w:rFonts w:cs="Arial"/>
                <w:sz w:val="12"/>
              </w:rPr>
              <w:t>Combined Risk Parity (ERC)</w:t>
            </w:r>
          </w:p>
        </w:tc>
        <w:tc>
          <w:tcPr>
            <w:tcW w:w="1025" w:type="dxa"/>
            <w:shd w:val="clear" w:color="auto" w:fill="F7F8F8"/>
            <w:tcMar>
              <w:top w:w="50" w:type="dxa"/>
              <w:left w:w="65" w:type="dxa"/>
              <w:bottom w:w="50" w:type="dxa"/>
              <w:right w:w="65" w:type="dxa"/>
            </w:tcMar>
            <w:vAlign w:val="center"/>
          </w:tcPr>
          <w:p w14:paraId="38EC848E" w14:textId="77777777" w:rsidR="00354F64" w:rsidRPr="00C82C71" w:rsidRDefault="00000000">
            <w:pPr>
              <w:spacing w:after="0"/>
              <w:jc w:val="center"/>
              <w:rPr>
                <w:rFonts w:cs="Arial"/>
              </w:rPr>
            </w:pPr>
            <w:r w:rsidRPr="00C82C71">
              <w:rPr>
                <w:rFonts w:cs="Arial"/>
                <w:sz w:val="12"/>
              </w:rPr>
              <w:t>14.0%</w:t>
            </w:r>
          </w:p>
        </w:tc>
        <w:tc>
          <w:tcPr>
            <w:tcW w:w="1276" w:type="dxa"/>
            <w:shd w:val="clear" w:color="auto" w:fill="F7F8F8"/>
            <w:tcMar>
              <w:top w:w="50" w:type="dxa"/>
              <w:left w:w="65" w:type="dxa"/>
              <w:bottom w:w="50" w:type="dxa"/>
              <w:right w:w="65" w:type="dxa"/>
            </w:tcMar>
            <w:vAlign w:val="center"/>
          </w:tcPr>
          <w:p w14:paraId="64A61B7E" w14:textId="77777777" w:rsidR="00354F64" w:rsidRPr="00C82C71" w:rsidRDefault="00000000">
            <w:pPr>
              <w:spacing w:after="0"/>
              <w:jc w:val="center"/>
              <w:rPr>
                <w:rFonts w:cs="Arial"/>
              </w:rPr>
            </w:pPr>
            <w:r w:rsidRPr="00C82C71">
              <w:rPr>
                <w:rFonts w:cs="Arial"/>
                <w:sz w:val="12"/>
              </w:rPr>
              <w:t>16.2%</w:t>
            </w:r>
          </w:p>
        </w:tc>
        <w:tc>
          <w:tcPr>
            <w:tcW w:w="1225" w:type="dxa"/>
            <w:shd w:val="clear" w:color="auto" w:fill="F7F8F8"/>
            <w:tcMar>
              <w:top w:w="50" w:type="dxa"/>
              <w:left w:w="65" w:type="dxa"/>
              <w:bottom w:w="50" w:type="dxa"/>
              <w:right w:w="65" w:type="dxa"/>
            </w:tcMar>
            <w:vAlign w:val="center"/>
          </w:tcPr>
          <w:p w14:paraId="53799DCB" w14:textId="77777777" w:rsidR="00354F64" w:rsidRPr="00C82C71" w:rsidRDefault="00000000">
            <w:pPr>
              <w:spacing w:after="0"/>
              <w:jc w:val="center"/>
              <w:rPr>
                <w:rFonts w:cs="Arial"/>
              </w:rPr>
            </w:pPr>
            <w:r w:rsidRPr="00C82C71">
              <w:rPr>
                <w:rFonts w:cs="Arial"/>
                <w:sz w:val="12"/>
              </w:rPr>
              <w:t>0.862</w:t>
            </w:r>
          </w:p>
        </w:tc>
        <w:tc>
          <w:tcPr>
            <w:tcW w:w="1276" w:type="dxa"/>
            <w:shd w:val="clear" w:color="auto" w:fill="F7F8F8"/>
            <w:tcMar>
              <w:top w:w="50" w:type="dxa"/>
              <w:left w:w="65" w:type="dxa"/>
              <w:bottom w:w="50" w:type="dxa"/>
              <w:right w:w="65" w:type="dxa"/>
            </w:tcMar>
            <w:vAlign w:val="center"/>
          </w:tcPr>
          <w:p w14:paraId="7BA75999" w14:textId="77777777" w:rsidR="00354F64" w:rsidRPr="00C82C71" w:rsidRDefault="00000000">
            <w:pPr>
              <w:spacing w:after="0"/>
              <w:jc w:val="center"/>
              <w:rPr>
                <w:rFonts w:cs="Arial"/>
              </w:rPr>
            </w:pPr>
            <w:r w:rsidRPr="00C82C71">
              <w:rPr>
                <w:rFonts w:cs="Arial"/>
                <w:sz w:val="12"/>
              </w:rPr>
              <w:t>-19.5%</w:t>
            </w:r>
          </w:p>
        </w:tc>
        <w:tc>
          <w:tcPr>
            <w:tcW w:w="1134" w:type="dxa"/>
            <w:shd w:val="clear" w:color="auto" w:fill="F7F8F8"/>
            <w:tcMar>
              <w:top w:w="50" w:type="dxa"/>
              <w:left w:w="65" w:type="dxa"/>
              <w:bottom w:w="50" w:type="dxa"/>
              <w:right w:w="65" w:type="dxa"/>
            </w:tcMar>
            <w:vAlign w:val="center"/>
          </w:tcPr>
          <w:p w14:paraId="5E252F27" w14:textId="77777777" w:rsidR="00354F64" w:rsidRPr="00C82C71" w:rsidRDefault="00000000">
            <w:pPr>
              <w:spacing w:after="0"/>
              <w:jc w:val="center"/>
              <w:rPr>
                <w:rFonts w:cs="Arial"/>
              </w:rPr>
            </w:pPr>
            <w:r w:rsidRPr="00C82C71">
              <w:rPr>
                <w:rFonts w:cs="Arial"/>
                <w:sz w:val="12"/>
              </w:rPr>
              <w:t>$1.48</w:t>
            </w:r>
          </w:p>
        </w:tc>
        <w:tc>
          <w:tcPr>
            <w:tcW w:w="1134" w:type="dxa"/>
            <w:shd w:val="clear" w:color="auto" w:fill="F7F8F8"/>
            <w:tcMar>
              <w:top w:w="50" w:type="dxa"/>
              <w:left w:w="65" w:type="dxa"/>
              <w:bottom w:w="50" w:type="dxa"/>
              <w:right w:w="65" w:type="dxa"/>
            </w:tcMar>
            <w:vAlign w:val="center"/>
          </w:tcPr>
          <w:p w14:paraId="538ECCA6" w14:textId="77777777" w:rsidR="00354F64" w:rsidRPr="00C82C71" w:rsidRDefault="00000000">
            <w:pPr>
              <w:spacing w:after="0"/>
              <w:jc w:val="center"/>
              <w:rPr>
                <w:rFonts w:cs="Arial"/>
              </w:rPr>
            </w:pPr>
            <w:r w:rsidRPr="00C82C71">
              <w:rPr>
                <w:rFonts w:cs="Arial"/>
                <w:sz w:val="12"/>
              </w:rPr>
              <w:t>3.7%</w:t>
            </w:r>
          </w:p>
        </w:tc>
        <w:tc>
          <w:tcPr>
            <w:tcW w:w="1134" w:type="dxa"/>
            <w:shd w:val="clear" w:color="auto" w:fill="F7F8F8"/>
            <w:tcMar>
              <w:top w:w="50" w:type="dxa"/>
              <w:left w:w="65" w:type="dxa"/>
              <w:bottom w:w="50" w:type="dxa"/>
              <w:right w:w="65" w:type="dxa"/>
            </w:tcMar>
            <w:vAlign w:val="center"/>
          </w:tcPr>
          <w:p w14:paraId="284DE235" w14:textId="77777777" w:rsidR="00354F64" w:rsidRPr="00C82C71" w:rsidRDefault="00000000">
            <w:pPr>
              <w:spacing w:after="0"/>
              <w:jc w:val="center"/>
              <w:rPr>
                <w:rFonts w:cs="Arial"/>
              </w:rPr>
            </w:pPr>
            <w:r w:rsidRPr="00C82C71">
              <w:rPr>
                <w:rFonts w:cs="Arial"/>
                <w:sz w:val="12"/>
              </w:rPr>
              <w:t>0.859</w:t>
            </w:r>
          </w:p>
        </w:tc>
      </w:tr>
      <w:tr w:rsidR="00354F64" w:rsidRPr="00C82C71" w14:paraId="755EA2E4" w14:textId="77777777" w:rsidTr="006B1AAF">
        <w:trPr>
          <w:jc w:val="center"/>
        </w:trPr>
        <w:tc>
          <w:tcPr>
            <w:tcW w:w="2661" w:type="dxa"/>
            <w:tcMar>
              <w:top w:w="50" w:type="dxa"/>
              <w:left w:w="65" w:type="dxa"/>
              <w:bottom w:w="50" w:type="dxa"/>
              <w:right w:w="65" w:type="dxa"/>
            </w:tcMar>
            <w:vAlign w:val="center"/>
          </w:tcPr>
          <w:p w14:paraId="4AEE9952" w14:textId="77777777" w:rsidR="00354F64" w:rsidRPr="00C82C71" w:rsidRDefault="00000000">
            <w:pPr>
              <w:spacing w:after="0"/>
              <w:rPr>
                <w:rFonts w:cs="Arial"/>
              </w:rPr>
            </w:pPr>
            <w:r w:rsidRPr="00C82C71">
              <w:rPr>
                <w:rFonts w:cs="Arial"/>
                <w:sz w:val="12"/>
              </w:rPr>
              <w:t>Combined Hierarchical Risk Parity</w:t>
            </w:r>
          </w:p>
        </w:tc>
        <w:tc>
          <w:tcPr>
            <w:tcW w:w="1025" w:type="dxa"/>
            <w:tcMar>
              <w:top w:w="50" w:type="dxa"/>
              <w:left w:w="65" w:type="dxa"/>
              <w:bottom w:w="50" w:type="dxa"/>
              <w:right w:w="65" w:type="dxa"/>
            </w:tcMar>
            <w:vAlign w:val="center"/>
          </w:tcPr>
          <w:p w14:paraId="3E7CC2F8" w14:textId="77777777" w:rsidR="00354F64" w:rsidRPr="00C82C71" w:rsidRDefault="00000000">
            <w:pPr>
              <w:spacing w:after="0"/>
              <w:jc w:val="center"/>
              <w:rPr>
                <w:rFonts w:cs="Arial"/>
              </w:rPr>
            </w:pPr>
            <w:r w:rsidRPr="00C82C71">
              <w:rPr>
                <w:rFonts w:cs="Arial"/>
                <w:sz w:val="12"/>
              </w:rPr>
              <w:t>9.8%</w:t>
            </w:r>
          </w:p>
        </w:tc>
        <w:tc>
          <w:tcPr>
            <w:tcW w:w="1276" w:type="dxa"/>
            <w:tcMar>
              <w:top w:w="50" w:type="dxa"/>
              <w:left w:w="65" w:type="dxa"/>
              <w:bottom w:w="50" w:type="dxa"/>
              <w:right w:w="65" w:type="dxa"/>
            </w:tcMar>
            <w:vAlign w:val="center"/>
          </w:tcPr>
          <w:p w14:paraId="53507850" w14:textId="77777777" w:rsidR="00354F64" w:rsidRPr="00C82C71" w:rsidRDefault="00000000">
            <w:pPr>
              <w:spacing w:after="0"/>
              <w:jc w:val="center"/>
              <w:rPr>
                <w:rFonts w:cs="Arial"/>
              </w:rPr>
            </w:pPr>
            <w:r w:rsidRPr="00C82C71">
              <w:rPr>
                <w:rFonts w:cs="Arial"/>
                <w:sz w:val="12"/>
              </w:rPr>
              <w:t>14.0%</w:t>
            </w:r>
          </w:p>
        </w:tc>
        <w:tc>
          <w:tcPr>
            <w:tcW w:w="1225" w:type="dxa"/>
            <w:tcMar>
              <w:top w:w="50" w:type="dxa"/>
              <w:left w:w="65" w:type="dxa"/>
              <w:bottom w:w="50" w:type="dxa"/>
              <w:right w:w="65" w:type="dxa"/>
            </w:tcMar>
            <w:vAlign w:val="center"/>
          </w:tcPr>
          <w:p w14:paraId="51247532" w14:textId="77777777" w:rsidR="00354F64" w:rsidRPr="00C82C71" w:rsidRDefault="00000000">
            <w:pPr>
              <w:spacing w:after="0"/>
              <w:jc w:val="center"/>
              <w:rPr>
                <w:rFonts w:cs="Arial"/>
              </w:rPr>
            </w:pPr>
            <w:r w:rsidRPr="00C82C71">
              <w:rPr>
                <w:rFonts w:cs="Arial"/>
                <w:sz w:val="12"/>
              </w:rPr>
              <w:t>0.701</w:t>
            </w:r>
          </w:p>
        </w:tc>
        <w:tc>
          <w:tcPr>
            <w:tcW w:w="1276" w:type="dxa"/>
            <w:tcMar>
              <w:top w:w="50" w:type="dxa"/>
              <w:left w:w="65" w:type="dxa"/>
              <w:bottom w:w="50" w:type="dxa"/>
              <w:right w:w="65" w:type="dxa"/>
            </w:tcMar>
            <w:vAlign w:val="center"/>
          </w:tcPr>
          <w:p w14:paraId="7EB0DAB9" w14:textId="77777777" w:rsidR="00354F64" w:rsidRPr="00C82C71" w:rsidRDefault="00000000">
            <w:pPr>
              <w:spacing w:after="0"/>
              <w:jc w:val="center"/>
              <w:rPr>
                <w:rFonts w:cs="Arial"/>
              </w:rPr>
            </w:pPr>
            <w:r w:rsidRPr="00C82C71">
              <w:rPr>
                <w:rFonts w:cs="Arial"/>
                <w:sz w:val="12"/>
              </w:rPr>
              <w:t>-17.9%</w:t>
            </w:r>
          </w:p>
        </w:tc>
        <w:tc>
          <w:tcPr>
            <w:tcW w:w="1134" w:type="dxa"/>
            <w:tcMar>
              <w:top w:w="50" w:type="dxa"/>
              <w:left w:w="65" w:type="dxa"/>
              <w:bottom w:w="50" w:type="dxa"/>
              <w:right w:w="65" w:type="dxa"/>
            </w:tcMar>
            <w:vAlign w:val="center"/>
          </w:tcPr>
          <w:p w14:paraId="61C3EA0F" w14:textId="77777777" w:rsidR="00354F64" w:rsidRPr="00C82C71" w:rsidRDefault="00000000">
            <w:pPr>
              <w:spacing w:after="0"/>
              <w:jc w:val="center"/>
              <w:rPr>
                <w:rFonts w:cs="Arial"/>
              </w:rPr>
            </w:pPr>
            <w:r w:rsidRPr="00C82C71">
              <w:rPr>
                <w:rFonts w:cs="Arial"/>
                <w:sz w:val="12"/>
              </w:rPr>
              <w:t>$1.32</w:t>
            </w:r>
          </w:p>
        </w:tc>
        <w:tc>
          <w:tcPr>
            <w:tcW w:w="1134" w:type="dxa"/>
            <w:tcMar>
              <w:top w:w="50" w:type="dxa"/>
              <w:left w:w="65" w:type="dxa"/>
              <w:bottom w:w="50" w:type="dxa"/>
              <w:right w:w="65" w:type="dxa"/>
            </w:tcMar>
            <w:vAlign w:val="center"/>
          </w:tcPr>
          <w:p w14:paraId="33F72F38" w14:textId="77777777" w:rsidR="00354F64" w:rsidRPr="00C82C71" w:rsidRDefault="00000000">
            <w:pPr>
              <w:spacing w:after="0"/>
              <w:jc w:val="center"/>
              <w:rPr>
                <w:rFonts w:cs="Arial"/>
              </w:rPr>
            </w:pPr>
            <w:r w:rsidRPr="00C82C71">
              <w:rPr>
                <w:rFonts w:cs="Arial"/>
                <w:sz w:val="12"/>
              </w:rPr>
              <w:t>10.3%</w:t>
            </w:r>
          </w:p>
        </w:tc>
        <w:tc>
          <w:tcPr>
            <w:tcW w:w="1134" w:type="dxa"/>
            <w:tcMar>
              <w:top w:w="50" w:type="dxa"/>
              <w:left w:w="65" w:type="dxa"/>
              <w:bottom w:w="50" w:type="dxa"/>
              <w:right w:w="65" w:type="dxa"/>
            </w:tcMar>
            <w:vAlign w:val="center"/>
          </w:tcPr>
          <w:p w14:paraId="2CDB5528" w14:textId="77777777" w:rsidR="00354F64" w:rsidRPr="00C82C71" w:rsidRDefault="00000000">
            <w:pPr>
              <w:spacing w:after="0"/>
              <w:jc w:val="center"/>
              <w:rPr>
                <w:rFonts w:cs="Arial"/>
              </w:rPr>
            </w:pPr>
            <w:r w:rsidRPr="00C82C71">
              <w:rPr>
                <w:rFonts w:cs="Arial"/>
                <w:sz w:val="12"/>
              </w:rPr>
              <w:t>0.691</w:t>
            </w:r>
          </w:p>
        </w:tc>
      </w:tr>
      <w:tr w:rsidR="00354F64" w:rsidRPr="00C82C71" w14:paraId="4FB4CFB0" w14:textId="77777777" w:rsidTr="006B1AAF">
        <w:trPr>
          <w:jc w:val="center"/>
        </w:trPr>
        <w:tc>
          <w:tcPr>
            <w:tcW w:w="2661" w:type="dxa"/>
            <w:shd w:val="clear" w:color="auto" w:fill="F7F8F8"/>
            <w:tcMar>
              <w:top w:w="50" w:type="dxa"/>
              <w:left w:w="65" w:type="dxa"/>
              <w:bottom w:w="50" w:type="dxa"/>
              <w:right w:w="65" w:type="dxa"/>
            </w:tcMar>
            <w:vAlign w:val="center"/>
          </w:tcPr>
          <w:p w14:paraId="4A9BE9FB" w14:textId="77777777" w:rsidR="00354F64" w:rsidRPr="00C82C71" w:rsidRDefault="00000000">
            <w:pPr>
              <w:spacing w:after="0"/>
              <w:rPr>
                <w:rFonts w:cs="Arial"/>
              </w:rPr>
            </w:pPr>
            <w:r w:rsidRPr="00C82C71">
              <w:rPr>
                <w:rFonts w:cs="Arial"/>
                <w:sz w:val="12"/>
              </w:rPr>
              <w:t>Equity-only Equal Weight</w:t>
            </w:r>
          </w:p>
        </w:tc>
        <w:tc>
          <w:tcPr>
            <w:tcW w:w="1025" w:type="dxa"/>
            <w:shd w:val="clear" w:color="auto" w:fill="F7F8F8"/>
            <w:tcMar>
              <w:top w:w="50" w:type="dxa"/>
              <w:left w:w="65" w:type="dxa"/>
              <w:bottom w:w="50" w:type="dxa"/>
              <w:right w:w="65" w:type="dxa"/>
            </w:tcMar>
            <w:vAlign w:val="center"/>
          </w:tcPr>
          <w:p w14:paraId="5A6C2443" w14:textId="77777777" w:rsidR="00354F64" w:rsidRPr="00C82C71" w:rsidRDefault="00000000">
            <w:pPr>
              <w:spacing w:after="0"/>
              <w:jc w:val="center"/>
              <w:rPr>
                <w:rFonts w:cs="Arial"/>
              </w:rPr>
            </w:pPr>
            <w:r w:rsidRPr="00C82C71">
              <w:rPr>
                <w:rFonts w:cs="Arial"/>
                <w:sz w:val="12"/>
              </w:rPr>
              <w:t>12.6%</w:t>
            </w:r>
          </w:p>
        </w:tc>
        <w:tc>
          <w:tcPr>
            <w:tcW w:w="1276" w:type="dxa"/>
            <w:shd w:val="clear" w:color="auto" w:fill="F7F8F8"/>
            <w:tcMar>
              <w:top w:w="50" w:type="dxa"/>
              <w:left w:w="65" w:type="dxa"/>
              <w:bottom w:w="50" w:type="dxa"/>
              <w:right w:w="65" w:type="dxa"/>
            </w:tcMar>
            <w:vAlign w:val="center"/>
          </w:tcPr>
          <w:p w14:paraId="01B815A1" w14:textId="77777777" w:rsidR="00354F64" w:rsidRPr="00C82C71" w:rsidRDefault="00000000">
            <w:pPr>
              <w:spacing w:after="0"/>
              <w:jc w:val="center"/>
              <w:rPr>
                <w:rFonts w:cs="Arial"/>
              </w:rPr>
            </w:pPr>
            <w:r w:rsidRPr="00C82C71">
              <w:rPr>
                <w:rFonts w:cs="Arial"/>
                <w:sz w:val="12"/>
              </w:rPr>
              <w:t>16.1%</w:t>
            </w:r>
          </w:p>
        </w:tc>
        <w:tc>
          <w:tcPr>
            <w:tcW w:w="1225" w:type="dxa"/>
            <w:shd w:val="clear" w:color="auto" w:fill="F7F8F8"/>
            <w:tcMar>
              <w:top w:w="50" w:type="dxa"/>
              <w:left w:w="65" w:type="dxa"/>
              <w:bottom w:w="50" w:type="dxa"/>
              <w:right w:w="65" w:type="dxa"/>
            </w:tcMar>
            <w:vAlign w:val="center"/>
          </w:tcPr>
          <w:p w14:paraId="0E227B90" w14:textId="77777777" w:rsidR="00354F64" w:rsidRPr="00C82C71" w:rsidRDefault="00000000">
            <w:pPr>
              <w:spacing w:after="0"/>
              <w:jc w:val="center"/>
              <w:rPr>
                <w:rFonts w:cs="Arial"/>
              </w:rPr>
            </w:pPr>
            <w:r w:rsidRPr="00C82C71">
              <w:rPr>
                <w:rFonts w:cs="Arial"/>
                <w:sz w:val="12"/>
              </w:rPr>
              <w:t>0.784</w:t>
            </w:r>
          </w:p>
        </w:tc>
        <w:tc>
          <w:tcPr>
            <w:tcW w:w="1276" w:type="dxa"/>
            <w:shd w:val="clear" w:color="auto" w:fill="F7F8F8"/>
            <w:tcMar>
              <w:top w:w="50" w:type="dxa"/>
              <w:left w:w="65" w:type="dxa"/>
              <w:bottom w:w="50" w:type="dxa"/>
              <w:right w:w="65" w:type="dxa"/>
            </w:tcMar>
            <w:vAlign w:val="center"/>
          </w:tcPr>
          <w:p w14:paraId="5BEAEE06" w14:textId="77777777" w:rsidR="00354F64" w:rsidRPr="00C82C71" w:rsidRDefault="00000000">
            <w:pPr>
              <w:spacing w:after="0"/>
              <w:jc w:val="center"/>
              <w:rPr>
                <w:rFonts w:cs="Arial"/>
              </w:rPr>
            </w:pPr>
            <w:r w:rsidRPr="00C82C71">
              <w:rPr>
                <w:rFonts w:cs="Arial"/>
                <w:sz w:val="12"/>
              </w:rPr>
              <w:t>-20.2%</w:t>
            </w:r>
          </w:p>
        </w:tc>
        <w:tc>
          <w:tcPr>
            <w:tcW w:w="1134" w:type="dxa"/>
            <w:shd w:val="clear" w:color="auto" w:fill="F7F8F8"/>
            <w:tcMar>
              <w:top w:w="50" w:type="dxa"/>
              <w:left w:w="65" w:type="dxa"/>
              <w:bottom w:w="50" w:type="dxa"/>
              <w:right w:w="65" w:type="dxa"/>
            </w:tcMar>
            <w:vAlign w:val="center"/>
          </w:tcPr>
          <w:p w14:paraId="5EBA3B30" w14:textId="77777777" w:rsidR="00354F64" w:rsidRPr="00C82C71" w:rsidRDefault="00000000">
            <w:pPr>
              <w:spacing w:after="0"/>
              <w:jc w:val="center"/>
              <w:rPr>
                <w:rFonts w:cs="Arial"/>
              </w:rPr>
            </w:pPr>
            <w:r w:rsidRPr="00C82C71">
              <w:rPr>
                <w:rFonts w:cs="Arial"/>
                <w:sz w:val="12"/>
              </w:rPr>
              <w:t>$1.43</w:t>
            </w:r>
          </w:p>
        </w:tc>
        <w:tc>
          <w:tcPr>
            <w:tcW w:w="1134" w:type="dxa"/>
            <w:shd w:val="clear" w:color="auto" w:fill="F7F8F8"/>
            <w:tcMar>
              <w:top w:w="50" w:type="dxa"/>
              <w:left w:w="65" w:type="dxa"/>
              <w:bottom w:w="50" w:type="dxa"/>
              <w:right w:w="65" w:type="dxa"/>
            </w:tcMar>
            <w:vAlign w:val="center"/>
          </w:tcPr>
          <w:p w14:paraId="297D8691" w14:textId="77777777" w:rsidR="00354F64" w:rsidRPr="00C82C71" w:rsidRDefault="00000000">
            <w:pPr>
              <w:spacing w:after="0"/>
              <w:jc w:val="center"/>
              <w:rPr>
                <w:rFonts w:cs="Arial"/>
              </w:rPr>
            </w:pPr>
            <w:r w:rsidRPr="00C82C71">
              <w:rPr>
                <w:rFonts w:cs="Arial"/>
                <w:sz w:val="12"/>
              </w:rPr>
              <w:t>2.6%</w:t>
            </w:r>
          </w:p>
        </w:tc>
        <w:tc>
          <w:tcPr>
            <w:tcW w:w="1134" w:type="dxa"/>
            <w:shd w:val="clear" w:color="auto" w:fill="F7F8F8"/>
            <w:tcMar>
              <w:top w:w="50" w:type="dxa"/>
              <w:left w:w="65" w:type="dxa"/>
              <w:bottom w:w="50" w:type="dxa"/>
              <w:right w:w="65" w:type="dxa"/>
            </w:tcMar>
            <w:vAlign w:val="center"/>
          </w:tcPr>
          <w:p w14:paraId="4FA03241" w14:textId="77777777" w:rsidR="00354F64" w:rsidRPr="00C82C71" w:rsidRDefault="00000000">
            <w:pPr>
              <w:spacing w:after="0"/>
              <w:jc w:val="center"/>
              <w:rPr>
                <w:rFonts w:cs="Arial"/>
              </w:rPr>
            </w:pPr>
            <w:r w:rsidRPr="00C82C71">
              <w:rPr>
                <w:rFonts w:cs="Arial"/>
                <w:sz w:val="12"/>
              </w:rPr>
              <w:t>0.782</w:t>
            </w:r>
          </w:p>
        </w:tc>
      </w:tr>
      <w:tr w:rsidR="00354F64" w:rsidRPr="00C82C71" w14:paraId="4AFC4403" w14:textId="77777777" w:rsidTr="006B1AAF">
        <w:trPr>
          <w:jc w:val="center"/>
        </w:trPr>
        <w:tc>
          <w:tcPr>
            <w:tcW w:w="2661" w:type="dxa"/>
            <w:tcMar>
              <w:top w:w="50" w:type="dxa"/>
              <w:left w:w="65" w:type="dxa"/>
              <w:bottom w:w="50" w:type="dxa"/>
              <w:right w:w="65" w:type="dxa"/>
            </w:tcMar>
            <w:vAlign w:val="center"/>
          </w:tcPr>
          <w:p w14:paraId="6690783D" w14:textId="77777777" w:rsidR="00354F64" w:rsidRPr="00C82C71" w:rsidRDefault="00000000">
            <w:pPr>
              <w:spacing w:after="0"/>
              <w:rPr>
                <w:rFonts w:cs="Arial"/>
              </w:rPr>
            </w:pPr>
            <w:r w:rsidRPr="00C82C71">
              <w:rPr>
                <w:rFonts w:cs="Arial"/>
                <w:sz w:val="12"/>
              </w:rPr>
              <w:t>Equity-only Minimum Variance</w:t>
            </w:r>
          </w:p>
        </w:tc>
        <w:tc>
          <w:tcPr>
            <w:tcW w:w="1025" w:type="dxa"/>
            <w:tcMar>
              <w:top w:w="50" w:type="dxa"/>
              <w:left w:w="65" w:type="dxa"/>
              <w:bottom w:w="50" w:type="dxa"/>
              <w:right w:w="65" w:type="dxa"/>
            </w:tcMar>
            <w:vAlign w:val="center"/>
          </w:tcPr>
          <w:p w14:paraId="4F61AC2D" w14:textId="77777777" w:rsidR="00354F64" w:rsidRPr="00C82C71" w:rsidRDefault="00000000">
            <w:pPr>
              <w:spacing w:after="0"/>
              <w:jc w:val="center"/>
              <w:rPr>
                <w:rFonts w:cs="Arial"/>
              </w:rPr>
            </w:pPr>
            <w:r w:rsidRPr="00C82C71">
              <w:rPr>
                <w:rFonts w:cs="Arial"/>
                <w:sz w:val="12"/>
              </w:rPr>
              <w:t>5.5%</w:t>
            </w:r>
          </w:p>
        </w:tc>
        <w:tc>
          <w:tcPr>
            <w:tcW w:w="1276" w:type="dxa"/>
            <w:tcMar>
              <w:top w:w="50" w:type="dxa"/>
              <w:left w:w="65" w:type="dxa"/>
              <w:bottom w:w="50" w:type="dxa"/>
              <w:right w:w="65" w:type="dxa"/>
            </w:tcMar>
            <w:vAlign w:val="center"/>
          </w:tcPr>
          <w:p w14:paraId="71172964" w14:textId="77777777" w:rsidR="00354F64" w:rsidRPr="00C82C71" w:rsidRDefault="00000000">
            <w:pPr>
              <w:spacing w:after="0"/>
              <w:jc w:val="center"/>
              <w:rPr>
                <w:rFonts w:cs="Arial"/>
              </w:rPr>
            </w:pPr>
            <w:r w:rsidRPr="00C82C71">
              <w:rPr>
                <w:rFonts w:cs="Arial"/>
                <w:sz w:val="12"/>
              </w:rPr>
              <w:t>12.6%</w:t>
            </w:r>
          </w:p>
        </w:tc>
        <w:tc>
          <w:tcPr>
            <w:tcW w:w="1225" w:type="dxa"/>
            <w:tcMar>
              <w:top w:w="50" w:type="dxa"/>
              <w:left w:w="65" w:type="dxa"/>
              <w:bottom w:w="50" w:type="dxa"/>
              <w:right w:w="65" w:type="dxa"/>
            </w:tcMar>
            <w:vAlign w:val="center"/>
          </w:tcPr>
          <w:p w14:paraId="209BC283" w14:textId="77777777" w:rsidR="00354F64" w:rsidRPr="00C82C71" w:rsidRDefault="00000000">
            <w:pPr>
              <w:spacing w:after="0"/>
              <w:jc w:val="center"/>
              <w:rPr>
                <w:rFonts w:cs="Arial"/>
              </w:rPr>
            </w:pPr>
            <w:r w:rsidRPr="00C82C71">
              <w:rPr>
                <w:rFonts w:cs="Arial"/>
                <w:sz w:val="12"/>
              </w:rPr>
              <w:t>0.436</w:t>
            </w:r>
          </w:p>
        </w:tc>
        <w:tc>
          <w:tcPr>
            <w:tcW w:w="1276" w:type="dxa"/>
            <w:tcMar>
              <w:top w:w="50" w:type="dxa"/>
              <w:left w:w="65" w:type="dxa"/>
              <w:bottom w:w="50" w:type="dxa"/>
              <w:right w:w="65" w:type="dxa"/>
            </w:tcMar>
            <w:vAlign w:val="center"/>
          </w:tcPr>
          <w:p w14:paraId="1281E5B2" w14:textId="77777777" w:rsidR="00354F64" w:rsidRPr="00C82C71" w:rsidRDefault="00000000">
            <w:pPr>
              <w:spacing w:after="0"/>
              <w:jc w:val="center"/>
              <w:rPr>
                <w:rFonts w:cs="Arial"/>
              </w:rPr>
            </w:pPr>
            <w:r w:rsidRPr="00C82C71">
              <w:rPr>
                <w:rFonts w:cs="Arial"/>
                <w:sz w:val="12"/>
              </w:rPr>
              <w:t>-15.3%</w:t>
            </w:r>
          </w:p>
        </w:tc>
        <w:tc>
          <w:tcPr>
            <w:tcW w:w="1134" w:type="dxa"/>
            <w:tcMar>
              <w:top w:w="50" w:type="dxa"/>
              <w:left w:w="65" w:type="dxa"/>
              <w:bottom w:w="50" w:type="dxa"/>
              <w:right w:w="65" w:type="dxa"/>
            </w:tcMar>
            <w:vAlign w:val="center"/>
          </w:tcPr>
          <w:p w14:paraId="1C55A9CB" w14:textId="77777777" w:rsidR="00354F64" w:rsidRPr="00C82C71" w:rsidRDefault="00000000">
            <w:pPr>
              <w:spacing w:after="0"/>
              <w:jc w:val="center"/>
              <w:rPr>
                <w:rFonts w:cs="Arial"/>
              </w:rPr>
            </w:pPr>
            <w:r w:rsidRPr="00C82C71">
              <w:rPr>
                <w:rFonts w:cs="Arial"/>
                <w:sz w:val="12"/>
              </w:rPr>
              <w:t>$1.17</w:t>
            </w:r>
          </w:p>
        </w:tc>
        <w:tc>
          <w:tcPr>
            <w:tcW w:w="1134" w:type="dxa"/>
            <w:tcMar>
              <w:top w:w="50" w:type="dxa"/>
              <w:left w:w="65" w:type="dxa"/>
              <w:bottom w:w="50" w:type="dxa"/>
              <w:right w:w="65" w:type="dxa"/>
            </w:tcMar>
            <w:vAlign w:val="center"/>
          </w:tcPr>
          <w:p w14:paraId="1D5F9934" w14:textId="77777777" w:rsidR="00354F64" w:rsidRPr="00C82C71" w:rsidRDefault="00000000">
            <w:pPr>
              <w:spacing w:after="0"/>
              <w:jc w:val="center"/>
              <w:rPr>
                <w:rFonts w:cs="Arial"/>
              </w:rPr>
            </w:pPr>
            <w:r w:rsidRPr="00C82C71">
              <w:rPr>
                <w:rFonts w:cs="Arial"/>
                <w:sz w:val="12"/>
              </w:rPr>
              <w:t>12.8%</w:t>
            </w:r>
          </w:p>
        </w:tc>
        <w:tc>
          <w:tcPr>
            <w:tcW w:w="1134" w:type="dxa"/>
            <w:tcMar>
              <w:top w:w="50" w:type="dxa"/>
              <w:left w:w="65" w:type="dxa"/>
              <w:bottom w:w="50" w:type="dxa"/>
              <w:right w:w="65" w:type="dxa"/>
            </w:tcMar>
            <w:vAlign w:val="center"/>
          </w:tcPr>
          <w:p w14:paraId="77852C2A" w14:textId="77777777" w:rsidR="00354F64" w:rsidRPr="00C82C71" w:rsidRDefault="00000000">
            <w:pPr>
              <w:spacing w:after="0"/>
              <w:jc w:val="center"/>
              <w:rPr>
                <w:rFonts w:cs="Arial"/>
              </w:rPr>
            </w:pPr>
            <w:r w:rsidRPr="00C82C71">
              <w:rPr>
                <w:rFonts w:cs="Arial"/>
                <w:sz w:val="12"/>
              </w:rPr>
              <w:t>0.423</w:t>
            </w:r>
          </w:p>
        </w:tc>
      </w:tr>
      <w:tr w:rsidR="00354F64" w:rsidRPr="00C82C71" w14:paraId="2D2B7139" w14:textId="77777777" w:rsidTr="006B1AAF">
        <w:trPr>
          <w:jc w:val="center"/>
        </w:trPr>
        <w:tc>
          <w:tcPr>
            <w:tcW w:w="2661" w:type="dxa"/>
            <w:shd w:val="clear" w:color="auto" w:fill="F7F8F8"/>
            <w:tcMar>
              <w:top w:w="50" w:type="dxa"/>
              <w:left w:w="65" w:type="dxa"/>
              <w:bottom w:w="50" w:type="dxa"/>
              <w:right w:w="65" w:type="dxa"/>
            </w:tcMar>
            <w:vAlign w:val="center"/>
          </w:tcPr>
          <w:p w14:paraId="4ACA1190" w14:textId="77777777" w:rsidR="00354F64" w:rsidRPr="00C82C71" w:rsidRDefault="00000000">
            <w:pPr>
              <w:spacing w:after="0"/>
              <w:rPr>
                <w:rFonts w:cs="Arial"/>
              </w:rPr>
            </w:pPr>
            <w:r w:rsidRPr="00C82C71">
              <w:rPr>
                <w:rFonts w:cs="Arial"/>
                <w:sz w:val="12"/>
              </w:rPr>
              <w:t>Equity-only Maximum Sharpe</w:t>
            </w:r>
          </w:p>
        </w:tc>
        <w:tc>
          <w:tcPr>
            <w:tcW w:w="1025" w:type="dxa"/>
            <w:shd w:val="clear" w:color="auto" w:fill="F7F8F8"/>
            <w:tcMar>
              <w:top w:w="50" w:type="dxa"/>
              <w:left w:w="65" w:type="dxa"/>
              <w:bottom w:w="50" w:type="dxa"/>
              <w:right w:w="65" w:type="dxa"/>
            </w:tcMar>
            <w:vAlign w:val="center"/>
          </w:tcPr>
          <w:p w14:paraId="45109F6C" w14:textId="77777777" w:rsidR="00354F64" w:rsidRPr="00C82C71" w:rsidRDefault="00000000">
            <w:pPr>
              <w:spacing w:after="0"/>
              <w:jc w:val="center"/>
              <w:rPr>
                <w:rFonts w:cs="Arial"/>
              </w:rPr>
            </w:pPr>
            <w:r w:rsidRPr="00C82C71">
              <w:rPr>
                <w:rFonts w:cs="Arial"/>
                <w:sz w:val="12"/>
              </w:rPr>
              <w:t>6.6%</w:t>
            </w:r>
          </w:p>
        </w:tc>
        <w:tc>
          <w:tcPr>
            <w:tcW w:w="1276" w:type="dxa"/>
            <w:shd w:val="clear" w:color="auto" w:fill="F7F8F8"/>
            <w:tcMar>
              <w:top w:w="50" w:type="dxa"/>
              <w:left w:w="65" w:type="dxa"/>
              <w:bottom w:w="50" w:type="dxa"/>
              <w:right w:w="65" w:type="dxa"/>
            </w:tcMar>
            <w:vAlign w:val="center"/>
          </w:tcPr>
          <w:p w14:paraId="29C0D178" w14:textId="77777777" w:rsidR="00354F64" w:rsidRPr="00C82C71" w:rsidRDefault="00000000">
            <w:pPr>
              <w:spacing w:after="0"/>
              <w:jc w:val="center"/>
              <w:rPr>
                <w:rFonts w:cs="Arial"/>
              </w:rPr>
            </w:pPr>
            <w:r w:rsidRPr="00C82C71">
              <w:rPr>
                <w:rFonts w:cs="Arial"/>
                <w:sz w:val="12"/>
              </w:rPr>
              <w:t>17.3%</w:t>
            </w:r>
          </w:p>
        </w:tc>
        <w:tc>
          <w:tcPr>
            <w:tcW w:w="1225" w:type="dxa"/>
            <w:shd w:val="clear" w:color="auto" w:fill="F7F8F8"/>
            <w:tcMar>
              <w:top w:w="50" w:type="dxa"/>
              <w:left w:w="65" w:type="dxa"/>
              <w:bottom w:w="50" w:type="dxa"/>
              <w:right w:w="65" w:type="dxa"/>
            </w:tcMar>
            <w:vAlign w:val="center"/>
          </w:tcPr>
          <w:p w14:paraId="6530BD43" w14:textId="77777777" w:rsidR="00354F64" w:rsidRPr="00C82C71" w:rsidRDefault="00000000">
            <w:pPr>
              <w:spacing w:after="0"/>
              <w:jc w:val="center"/>
              <w:rPr>
                <w:rFonts w:cs="Arial"/>
              </w:rPr>
            </w:pPr>
            <w:r w:rsidRPr="00C82C71">
              <w:rPr>
                <w:rFonts w:cs="Arial"/>
                <w:sz w:val="12"/>
              </w:rPr>
              <w:t>0.380</w:t>
            </w:r>
          </w:p>
        </w:tc>
        <w:tc>
          <w:tcPr>
            <w:tcW w:w="1276" w:type="dxa"/>
            <w:shd w:val="clear" w:color="auto" w:fill="F7F8F8"/>
            <w:tcMar>
              <w:top w:w="50" w:type="dxa"/>
              <w:left w:w="65" w:type="dxa"/>
              <w:bottom w:w="50" w:type="dxa"/>
              <w:right w:w="65" w:type="dxa"/>
            </w:tcMar>
            <w:vAlign w:val="center"/>
          </w:tcPr>
          <w:p w14:paraId="19D996EC" w14:textId="77777777" w:rsidR="00354F64" w:rsidRPr="00C82C71" w:rsidRDefault="00000000">
            <w:pPr>
              <w:spacing w:after="0"/>
              <w:jc w:val="center"/>
              <w:rPr>
                <w:rFonts w:cs="Arial"/>
              </w:rPr>
            </w:pPr>
            <w:r w:rsidRPr="00C82C71">
              <w:rPr>
                <w:rFonts w:cs="Arial"/>
                <w:sz w:val="12"/>
              </w:rPr>
              <w:t>-22.6%</w:t>
            </w:r>
          </w:p>
        </w:tc>
        <w:tc>
          <w:tcPr>
            <w:tcW w:w="1134" w:type="dxa"/>
            <w:shd w:val="clear" w:color="auto" w:fill="F7F8F8"/>
            <w:tcMar>
              <w:top w:w="50" w:type="dxa"/>
              <w:left w:w="65" w:type="dxa"/>
              <w:bottom w:w="50" w:type="dxa"/>
              <w:right w:w="65" w:type="dxa"/>
            </w:tcMar>
            <w:vAlign w:val="center"/>
          </w:tcPr>
          <w:p w14:paraId="4B7F9E92" w14:textId="77777777" w:rsidR="00354F64" w:rsidRPr="00C82C71" w:rsidRDefault="00000000">
            <w:pPr>
              <w:spacing w:after="0"/>
              <w:jc w:val="center"/>
              <w:rPr>
                <w:rFonts w:cs="Arial"/>
              </w:rPr>
            </w:pPr>
            <w:r w:rsidRPr="00C82C71">
              <w:rPr>
                <w:rFonts w:cs="Arial"/>
                <w:sz w:val="12"/>
              </w:rPr>
              <w:t>$1.21</w:t>
            </w:r>
          </w:p>
        </w:tc>
        <w:tc>
          <w:tcPr>
            <w:tcW w:w="1134" w:type="dxa"/>
            <w:shd w:val="clear" w:color="auto" w:fill="F7F8F8"/>
            <w:tcMar>
              <w:top w:w="50" w:type="dxa"/>
              <w:left w:w="65" w:type="dxa"/>
              <w:bottom w:w="50" w:type="dxa"/>
              <w:right w:w="65" w:type="dxa"/>
            </w:tcMar>
            <w:vAlign w:val="center"/>
          </w:tcPr>
          <w:p w14:paraId="79F321C6" w14:textId="77777777" w:rsidR="00354F64" w:rsidRPr="00C82C71" w:rsidRDefault="00000000">
            <w:pPr>
              <w:spacing w:after="0"/>
              <w:jc w:val="center"/>
              <w:rPr>
                <w:rFonts w:cs="Arial"/>
              </w:rPr>
            </w:pPr>
            <w:r w:rsidRPr="00C82C71">
              <w:rPr>
                <w:rFonts w:cs="Arial"/>
                <w:sz w:val="12"/>
              </w:rPr>
              <w:t>28.1%</w:t>
            </w:r>
          </w:p>
        </w:tc>
        <w:tc>
          <w:tcPr>
            <w:tcW w:w="1134" w:type="dxa"/>
            <w:shd w:val="clear" w:color="auto" w:fill="F7F8F8"/>
            <w:tcMar>
              <w:top w:w="50" w:type="dxa"/>
              <w:left w:w="65" w:type="dxa"/>
              <w:bottom w:w="50" w:type="dxa"/>
              <w:right w:w="65" w:type="dxa"/>
            </w:tcMar>
            <w:vAlign w:val="center"/>
          </w:tcPr>
          <w:p w14:paraId="7F63A7DB" w14:textId="77777777" w:rsidR="00354F64" w:rsidRPr="00C82C71" w:rsidRDefault="00000000">
            <w:pPr>
              <w:spacing w:after="0"/>
              <w:jc w:val="center"/>
              <w:rPr>
                <w:rFonts w:cs="Arial"/>
              </w:rPr>
            </w:pPr>
            <w:r w:rsidRPr="00C82C71">
              <w:rPr>
                <w:rFonts w:cs="Arial"/>
                <w:sz w:val="12"/>
              </w:rPr>
              <w:t>0.359</w:t>
            </w:r>
          </w:p>
        </w:tc>
      </w:tr>
      <w:tr w:rsidR="00354F64" w:rsidRPr="00C82C71" w14:paraId="36992F75" w14:textId="77777777" w:rsidTr="006B1AAF">
        <w:trPr>
          <w:jc w:val="center"/>
        </w:trPr>
        <w:tc>
          <w:tcPr>
            <w:tcW w:w="2661" w:type="dxa"/>
            <w:tcMar>
              <w:top w:w="50" w:type="dxa"/>
              <w:left w:w="65" w:type="dxa"/>
              <w:bottom w:w="50" w:type="dxa"/>
              <w:right w:w="65" w:type="dxa"/>
            </w:tcMar>
            <w:vAlign w:val="center"/>
          </w:tcPr>
          <w:p w14:paraId="76A36A80" w14:textId="77777777" w:rsidR="00354F64" w:rsidRPr="00C82C71" w:rsidRDefault="00000000">
            <w:pPr>
              <w:spacing w:after="0"/>
              <w:rPr>
                <w:rFonts w:cs="Arial"/>
              </w:rPr>
            </w:pPr>
            <w:r w:rsidRPr="00C82C71">
              <w:rPr>
                <w:rFonts w:cs="Arial"/>
                <w:sz w:val="12"/>
              </w:rPr>
              <w:t>Equity-only Risk Parity (ERC)</w:t>
            </w:r>
          </w:p>
        </w:tc>
        <w:tc>
          <w:tcPr>
            <w:tcW w:w="1025" w:type="dxa"/>
            <w:tcMar>
              <w:top w:w="50" w:type="dxa"/>
              <w:left w:w="65" w:type="dxa"/>
              <w:bottom w:w="50" w:type="dxa"/>
              <w:right w:w="65" w:type="dxa"/>
            </w:tcMar>
            <w:vAlign w:val="center"/>
          </w:tcPr>
          <w:p w14:paraId="7639A5AF" w14:textId="77777777" w:rsidR="00354F64" w:rsidRPr="00C82C71" w:rsidRDefault="00000000">
            <w:pPr>
              <w:spacing w:after="0"/>
              <w:jc w:val="center"/>
              <w:rPr>
                <w:rFonts w:cs="Arial"/>
              </w:rPr>
            </w:pPr>
            <w:r w:rsidRPr="00C82C71">
              <w:rPr>
                <w:rFonts w:cs="Arial"/>
                <w:sz w:val="12"/>
              </w:rPr>
              <w:t>9.9%</w:t>
            </w:r>
          </w:p>
        </w:tc>
        <w:tc>
          <w:tcPr>
            <w:tcW w:w="1276" w:type="dxa"/>
            <w:tcMar>
              <w:top w:w="50" w:type="dxa"/>
              <w:left w:w="65" w:type="dxa"/>
              <w:bottom w:w="50" w:type="dxa"/>
              <w:right w:w="65" w:type="dxa"/>
            </w:tcMar>
            <w:vAlign w:val="center"/>
          </w:tcPr>
          <w:p w14:paraId="1C962E13" w14:textId="77777777" w:rsidR="00354F64" w:rsidRPr="00C82C71" w:rsidRDefault="00000000">
            <w:pPr>
              <w:spacing w:after="0"/>
              <w:jc w:val="center"/>
              <w:rPr>
                <w:rFonts w:cs="Arial"/>
              </w:rPr>
            </w:pPr>
            <w:r w:rsidRPr="00C82C71">
              <w:rPr>
                <w:rFonts w:cs="Arial"/>
                <w:sz w:val="12"/>
              </w:rPr>
              <w:t>14.5%</w:t>
            </w:r>
          </w:p>
        </w:tc>
        <w:tc>
          <w:tcPr>
            <w:tcW w:w="1225" w:type="dxa"/>
            <w:tcMar>
              <w:top w:w="50" w:type="dxa"/>
              <w:left w:w="65" w:type="dxa"/>
              <w:bottom w:w="50" w:type="dxa"/>
              <w:right w:w="65" w:type="dxa"/>
            </w:tcMar>
            <w:vAlign w:val="center"/>
          </w:tcPr>
          <w:p w14:paraId="48726059" w14:textId="77777777" w:rsidR="00354F64" w:rsidRPr="00C82C71" w:rsidRDefault="00000000">
            <w:pPr>
              <w:spacing w:after="0"/>
              <w:jc w:val="center"/>
              <w:rPr>
                <w:rFonts w:cs="Arial"/>
              </w:rPr>
            </w:pPr>
            <w:r w:rsidRPr="00C82C71">
              <w:rPr>
                <w:rFonts w:cs="Arial"/>
                <w:sz w:val="12"/>
              </w:rPr>
              <w:t>0.682</w:t>
            </w:r>
          </w:p>
        </w:tc>
        <w:tc>
          <w:tcPr>
            <w:tcW w:w="1276" w:type="dxa"/>
            <w:tcMar>
              <w:top w:w="50" w:type="dxa"/>
              <w:left w:w="65" w:type="dxa"/>
              <w:bottom w:w="50" w:type="dxa"/>
              <w:right w:w="65" w:type="dxa"/>
            </w:tcMar>
            <w:vAlign w:val="center"/>
          </w:tcPr>
          <w:p w14:paraId="66E7212D" w14:textId="77777777" w:rsidR="00354F64" w:rsidRPr="00C82C71" w:rsidRDefault="00000000">
            <w:pPr>
              <w:spacing w:after="0"/>
              <w:jc w:val="center"/>
              <w:rPr>
                <w:rFonts w:cs="Arial"/>
              </w:rPr>
            </w:pPr>
            <w:r w:rsidRPr="00C82C71">
              <w:rPr>
                <w:rFonts w:cs="Arial"/>
                <w:sz w:val="12"/>
              </w:rPr>
              <w:t>-18.5%</w:t>
            </w:r>
          </w:p>
        </w:tc>
        <w:tc>
          <w:tcPr>
            <w:tcW w:w="1134" w:type="dxa"/>
            <w:tcMar>
              <w:top w:w="50" w:type="dxa"/>
              <w:left w:w="65" w:type="dxa"/>
              <w:bottom w:w="50" w:type="dxa"/>
              <w:right w:w="65" w:type="dxa"/>
            </w:tcMar>
            <w:vAlign w:val="center"/>
          </w:tcPr>
          <w:p w14:paraId="4BF0BC4D" w14:textId="77777777" w:rsidR="00354F64" w:rsidRPr="00C82C71" w:rsidRDefault="00000000">
            <w:pPr>
              <w:spacing w:after="0"/>
              <w:jc w:val="center"/>
              <w:rPr>
                <w:rFonts w:cs="Arial"/>
              </w:rPr>
            </w:pPr>
            <w:r w:rsidRPr="00C82C71">
              <w:rPr>
                <w:rFonts w:cs="Arial"/>
                <w:sz w:val="12"/>
              </w:rPr>
              <w:t>$1.33</w:t>
            </w:r>
          </w:p>
        </w:tc>
        <w:tc>
          <w:tcPr>
            <w:tcW w:w="1134" w:type="dxa"/>
            <w:tcMar>
              <w:top w:w="50" w:type="dxa"/>
              <w:left w:w="65" w:type="dxa"/>
              <w:bottom w:w="50" w:type="dxa"/>
              <w:right w:w="65" w:type="dxa"/>
            </w:tcMar>
            <w:vAlign w:val="center"/>
          </w:tcPr>
          <w:p w14:paraId="6D74A099" w14:textId="77777777" w:rsidR="00354F64" w:rsidRPr="00C82C71" w:rsidRDefault="00000000">
            <w:pPr>
              <w:spacing w:after="0"/>
              <w:jc w:val="center"/>
              <w:rPr>
                <w:rFonts w:cs="Arial"/>
              </w:rPr>
            </w:pPr>
            <w:r w:rsidRPr="00C82C71">
              <w:rPr>
                <w:rFonts w:cs="Arial"/>
                <w:sz w:val="12"/>
              </w:rPr>
              <w:t>3.1%</w:t>
            </w:r>
          </w:p>
        </w:tc>
        <w:tc>
          <w:tcPr>
            <w:tcW w:w="1134" w:type="dxa"/>
            <w:tcMar>
              <w:top w:w="50" w:type="dxa"/>
              <w:left w:w="65" w:type="dxa"/>
              <w:bottom w:w="50" w:type="dxa"/>
              <w:right w:w="65" w:type="dxa"/>
            </w:tcMar>
            <w:vAlign w:val="center"/>
          </w:tcPr>
          <w:p w14:paraId="2E420A7D" w14:textId="77777777" w:rsidR="00354F64" w:rsidRPr="00C82C71" w:rsidRDefault="00000000">
            <w:pPr>
              <w:spacing w:after="0"/>
              <w:jc w:val="center"/>
              <w:rPr>
                <w:rFonts w:cs="Arial"/>
              </w:rPr>
            </w:pPr>
            <w:r w:rsidRPr="00C82C71">
              <w:rPr>
                <w:rFonts w:cs="Arial"/>
                <w:sz w:val="12"/>
              </w:rPr>
              <w:t>0.679</w:t>
            </w:r>
          </w:p>
        </w:tc>
      </w:tr>
      <w:tr w:rsidR="00354F64" w:rsidRPr="00C82C71" w14:paraId="4E313D8F" w14:textId="77777777" w:rsidTr="006B1AAF">
        <w:trPr>
          <w:jc w:val="center"/>
        </w:trPr>
        <w:tc>
          <w:tcPr>
            <w:tcW w:w="2661" w:type="dxa"/>
            <w:shd w:val="clear" w:color="auto" w:fill="F7F8F8"/>
            <w:tcMar>
              <w:top w:w="50" w:type="dxa"/>
              <w:left w:w="65" w:type="dxa"/>
              <w:bottom w:w="50" w:type="dxa"/>
              <w:right w:w="65" w:type="dxa"/>
            </w:tcMar>
            <w:vAlign w:val="center"/>
          </w:tcPr>
          <w:p w14:paraId="2DBE7160" w14:textId="77777777" w:rsidR="00354F64" w:rsidRPr="00C82C71" w:rsidRDefault="00000000">
            <w:pPr>
              <w:spacing w:after="0"/>
              <w:rPr>
                <w:rFonts w:cs="Arial"/>
              </w:rPr>
            </w:pPr>
            <w:r w:rsidRPr="00C82C71">
              <w:rPr>
                <w:rFonts w:cs="Arial"/>
                <w:sz w:val="12"/>
              </w:rPr>
              <w:t>Equity-only Hierarchical Risk Parity</w:t>
            </w:r>
          </w:p>
        </w:tc>
        <w:tc>
          <w:tcPr>
            <w:tcW w:w="1025" w:type="dxa"/>
            <w:shd w:val="clear" w:color="auto" w:fill="F7F8F8"/>
            <w:tcMar>
              <w:top w:w="50" w:type="dxa"/>
              <w:left w:w="65" w:type="dxa"/>
              <w:bottom w:w="50" w:type="dxa"/>
              <w:right w:w="65" w:type="dxa"/>
            </w:tcMar>
            <w:vAlign w:val="center"/>
          </w:tcPr>
          <w:p w14:paraId="7E10297E" w14:textId="77777777" w:rsidR="00354F64" w:rsidRPr="00C82C71" w:rsidRDefault="00000000">
            <w:pPr>
              <w:spacing w:after="0"/>
              <w:jc w:val="center"/>
              <w:rPr>
                <w:rFonts w:cs="Arial"/>
              </w:rPr>
            </w:pPr>
            <w:r w:rsidRPr="00C82C71">
              <w:rPr>
                <w:rFonts w:cs="Arial"/>
                <w:sz w:val="12"/>
              </w:rPr>
              <w:t>8.4%</w:t>
            </w:r>
          </w:p>
        </w:tc>
        <w:tc>
          <w:tcPr>
            <w:tcW w:w="1276" w:type="dxa"/>
            <w:shd w:val="clear" w:color="auto" w:fill="F7F8F8"/>
            <w:tcMar>
              <w:top w:w="50" w:type="dxa"/>
              <w:left w:w="65" w:type="dxa"/>
              <w:bottom w:w="50" w:type="dxa"/>
              <w:right w:w="65" w:type="dxa"/>
            </w:tcMar>
            <w:vAlign w:val="center"/>
          </w:tcPr>
          <w:p w14:paraId="4D14BAC3" w14:textId="77777777" w:rsidR="00354F64" w:rsidRPr="00C82C71" w:rsidRDefault="00000000">
            <w:pPr>
              <w:spacing w:after="0"/>
              <w:jc w:val="center"/>
              <w:rPr>
                <w:rFonts w:cs="Arial"/>
              </w:rPr>
            </w:pPr>
            <w:r w:rsidRPr="00C82C71">
              <w:rPr>
                <w:rFonts w:cs="Arial"/>
                <w:sz w:val="12"/>
              </w:rPr>
              <w:t>13.7%</w:t>
            </w:r>
          </w:p>
        </w:tc>
        <w:tc>
          <w:tcPr>
            <w:tcW w:w="1225" w:type="dxa"/>
            <w:shd w:val="clear" w:color="auto" w:fill="F7F8F8"/>
            <w:tcMar>
              <w:top w:w="50" w:type="dxa"/>
              <w:left w:w="65" w:type="dxa"/>
              <w:bottom w:w="50" w:type="dxa"/>
              <w:right w:w="65" w:type="dxa"/>
            </w:tcMar>
            <w:vAlign w:val="center"/>
          </w:tcPr>
          <w:p w14:paraId="2F4DAB93" w14:textId="77777777" w:rsidR="00354F64" w:rsidRPr="00C82C71" w:rsidRDefault="00000000">
            <w:pPr>
              <w:spacing w:after="0"/>
              <w:jc w:val="center"/>
              <w:rPr>
                <w:rFonts w:cs="Arial"/>
              </w:rPr>
            </w:pPr>
            <w:r w:rsidRPr="00C82C71">
              <w:rPr>
                <w:rFonts w:cs="Arial"/>
                <w:sz w:val="12"/>
              </w:rPr>
              <w:t>0.611</w:t>
            </w:r>
          </w:p>
        </w:tc>
        <w:tc>
          <w:tcPr>
            <w:tcW w:w="1276" w:type="dxa"/>
            <w:shd w:val="clear" w:color="auto" w:fill="F7F8F8"/>
            <w:tcMar>
              <w:top w:w="50" w:type="dxa"/>
              <w:left w:w="65" w:type="dxa"/>
              <w:bottom w:w="50" w:type="dxa"/>
              <w:right w:w="65" w:type="dxa"/>
            </w:tcMar>
            <w:vAlign w:val="center"/>
          </w:tcPr>
          <w:p w14:paraId="51BBECFC" w14:textId="77777777" w:rsidR="00354F64" w:rsidRPr="00C82C71" w:rsidRDefault="00000000">
            <w:pPr>
              <w:spacing w:after="0"/>
              <w:jc w:val="center"/>
              <w:rPr>
                <w:rFonts w:cs="Arial"/>
              </w:rPr>
            </w:pPr>
            <w:r w:rsidRPr="00C82C71">
              <w:rPr>
                <w:rFonts w:cs="Arial"/>
                <w:sz w:val="12"/>
              </w:rPr>
              <w:t>-17.4%</w:t>
            </w:r>
          </w:p>
        </w:tc>
        <w:tc>
          <w:tcPr>
            <w:tcW w:w="1134" w:type="dxa"/>
            <w:shd w:val="clear" w:color="auto" w:fill="F7F8F8"/>
            <w:tcMar>
              <w:top w:w="50" w:type="dxa"/>
              <w:left w:w="65" w:type="dxa"/>
              <w:bottom w:w="50" w:type="dxa"/>
              <w:right w:w="65" w:type="dxa"/>
            </w:tcMar>
            <w:vAlign w:val="center"/>
          </w:tcPr>
          <w:p w14:paraId="317F5D6F" w14:textId="77777777" w:rsidR="00354F64" w:rsidRPr="00C82C71" w:rsidRDefault="00000000">
            <w:pPr>
              <w:spacing w:after="0"/>
              <w:jc w:val="center"/>
              <w:rPr>
                <w:rFonts w:cs="Arial"/>
              </w:rPr>
            </w:pPr>
            <w:r w:rsidRPr="00C82C71">
              <w:rPr>
                <w:rFonts w:cs="Arial"/>
                <w:sz w:val="12"/>
              </w:rPr>
              <w:t>$1.27</w:t>
            </w:r>
          </w:p>
        </w:tc>
        <w:tc>
          <w:tcPr>
            <w:tcW w:w="1134" w:type="dxa"/>
            <w:shd w:val="clear" w:color="auto" w:fill="F7F8F8"/>
            <w:tcMar>
              <w:top w:w="50" w:type="dxa"/>
              <w:left w:w="65" w:type="dxa"/>
              <w:bottom w:w="50" w:type="dxa"/>
              <w:right w:w="65" w:type="dxa"/>
            </w:tcMar>
            <w:vAlign w:val="center"/>
          </w:tcPr>
          <w:p w14:paraId="7E3035A6" w14:textId="77777777" w:rsidR="00354F64" w:rsidRPr="00C82C71" w:rsidRDefault="00000000">
            <w:pPr>
              <w:spacing w:after="0"/>
              <w:jc w:val="center"/>
              <w:rPr>
                <w:rFonts w:cs="Arial"/>
              </w:rPr>
            </w:pPr>
            <w:r w:rsidRPr="00C82C71">
              <w:rPr>
                <w:rFonts w:cs="Arial"/>
                <w:sz w:val="12"/>
              </w:rPr>
              <w:t>11.9%</w:t>
            </w:r>
          </w:p>
        </w:tc>
        <w:tc>
          <w:tcPr>
            <w:tcW w:w="1134" w:type="dxa"/>
            <w:shd w:val="clear" w:color="auto" w:fill="F7F8F8"/>
            <w:tcMar>
              <w:top w:w="50" w:type="dxa"/>
              <w:left w:w="65" w:type="dxa"/>
              <w:bottom w:w="50" w:type="dxa"/>
              <w:right w:w="65" w:type="dxa"/>
            </w:tcMar>
            <w:vAlign w:val="center"/>
          </w:tcPr>
          <w:p w14:paraId="1A8728B4" w14:textId="77777777" w:rsidR="00354F64" w:rsidRPr="00C82C71" w:rsidRDefault="00000000">
            <w:pPr>
              <w:spacing w:after="0"/>
              <w:jc w:val="center"/>
              <w:rPr>
                <w:rFonts w:cs="Arial"/>
              </w:rPr>
            </w:pPr>
            <w:r w:rsidRPr="00C82C71">
              <w:rPr>
                <w:rFonts w:cs="Arial"/>
                <w:sz w:val="12"/>
              </w:rPr>
              <w:t>0.600</w:t>
            </w:r>
          </w:p>
        </w:tc>
      </w:tr>
      <w:tr w:rsidR="00354F64" w:rsidRPr="00C82C71" w14:paraId="1B74E610" w14:textId="77777777" w:rsidTr="006B1AAF">
        <w:trPr>
          <w:jc w:val="center"/>
        </w:trPr>
        <w:tc>
          <w:tcPr>
            <w:tcW w:w="2661" w:type="dxa"/>
            <w:tcMar>
              <w:top w:w="50" w:type="dxa"/>
              <w:left w:w="65" w:type="dxa"/>
              <w:bottom w:w="50" w:type="dxa"/>
              <w:right w:w="65" w:type="dxa"/>
            </w:tcMar>
            <w:vAlign w:val="center"/>
          </w:tcPr>
          <w:p w14:paraId="52136B51" w14:textId="77777777" w:rsidR="00354F64" w:rsidRPr="00C82C71" w:rsidRDefault="00000000">
            <w:pPr>
              <w:spacing w:after="0"/>
              <w:rPr>
                <w:rFonts w:cs="Arial"/>
              </w:rPr>
            </w:pPr>
            <w:r w:rsidRPr="00C82C71">
              <w:rPr>
                <w:rFonts w:cs="Arial"/>
                <w:sz w:val="12"/>
              </w:rPr>
              <w:t>Crypto-only Equal Weight</w:t>
            </w:r>
          </w:p>
        </w:tc>
        <w:tc>
          <w:tcPr>
            <w:tcW w:w="1025" w:type="dxa"/>
            <w:tcMar>
              <w:top w:w="50" w:type="dxa"/>
              <w:left w:w="65" w:type="dxa"/>
              <w:bottom w:w="50" w:type="dxa"/>
              <w:right w:w="65" w:type="dxa"/>
            </w:tcMar>
            <w:vAlign w:val="center"/>
          </w:tcPr>
          <w:p w14:paraId="4E08F07F" w14:textId="77777777" w:rsidR="00354F64" w:rsidRPr="00C82C71" w:rsidRDefault="00000000">
            <w:pPr>
              <w:spacing w:after="0"/>
              <w:jc w:val="center"/>
              <w:rPr>
                <w:rFonts w:cs="Arial"/>
              </w:rPr>
            </w:pPr>
            <w:r w:rsidRPr="00C82C71">
              <w:rPr>
                <w:rFonts w:cs="Arial"/>
                <w:sz w:val="12"/>
              </w:rPr>
              <w:t>40.5%</w:t>
            </w:r>
          </w:p>
        </w:tc>
        <w:tc>
          <w:tcPr>
            <w:tcW w:w="1276" w:type="dxa"/>
            <w:tcMar>
              <w:top w:w="50" w:type="dxa"/>
              <w:left w:w="65" w:type="dxa"/>
              <w:bottom w:w="50" w:type="dxa"/>
              <w:right w:w="65" w:type="dxa"/>
            </w:tcMar>
            <w:vAlign w:val="center"/>
          </w:tcPr>
          <w:p w14:paraId="47FF0B75" w14:textId="77777777" w:rsidR="00354F64" w:rsidRPr="00C82C71" w:rsidRDefault="00000000">
            <w:pPr>
              <w:spacing w:after="0"/>
              <w:jc w:val="center"/>
              <w:rPr>
                <w:rFonts w:cs="Arial"/>
              </w:rPr>
            </w:pPr>
            <w:r w:rsidRPr="00C82C71">
              <w:rPr>
                <w:rFonts w:cs="Arial"/>
                <w:sz w:val="12"/>
              </w:rPr>
              <w:t>81.9%</w:t>
            </w:r>
          </w:p>
        </w:tc>
        <w:tc>
          <w:tcPr>
            <w:tcW w:w="1225" w:type="dxa"/>
            <w:tcMar>
              <w:top w:w="50" w:type="dxa"/>
              <w:left w:w="65" w:type="dxa"/>
              <w:bottom w:w="50" w:type="dxa"/>
              <w:right w:w="65" w:type="dxa"/>
            </w:tcMar>
            <w:vAlign w:val="center"/>
          </w:tcPr>
          <w:p w14:paraId="1E6760BF" w14:textId="77777777" w:rsidR="00354F64" w:rsidRPr="00C82C71" w:rsidRDefault="00000000">
            <w:pPr>
              <w:spacing w:after="0"/>
              <w:jc w:val="center"/>
              <w:rPr>
                <w:rFonts w:cs="Arial"/>
              </w:rPr>
            </w:pPr>
            <w:r w:rsidRPr="00C82C71">
              <w:rPr>
                <w:rFonts w:cs="Arial"/>
                <w:sz w:val="12"/>
              </w:rPr>
              <w:t>0.495</w:t>
            </w:r>
          </w:p>
        </w:tc>
        <w:tc>
          <w:tcPr>
            <w:tcW w:w="1276" w:type="dxa"/>
            <w:tcMar>
              <w:top w:w="50" w:type="dxa"/>
              <w:left w:w="65" w:type="dxa"/>
              <w:bottom w:w="50" w:type="dxa"/>
              <w:right w:w="65" w:type="dxa"/>
            </w:tcMar>
            <w:vAlign w:val="center"/>
          </w:tcPr>
          <w:p w14:paraId="7EF73FAC" w14:textId="77777777" w:rsidR="00354F64" w:rsidRPr="00C82C71" w:rsidRDefault="00000000">
            <w:pPr>
              <w:spacing w:after="0"/>
              <w:jc w:val="center"/>
              <w:rPr>
                <w:rFonts w:cs="Arial"/>
              </w:rPr>
            </w:pPr>
            <w:r w:rsidRPr="00C82C71">
              <w:rPr>
                <w:rFonts w:cs="Arial"/>
                <w:sz w:val="12"/>
              </w:rPr>
              <w:t>-81.6%</w:t>
            </w:r>
          </w:p>
        </w:tc>
        <w:tc>
          <w:tcPr>
            <w:tcW w:w="1134" w:type="dxa"/>
            <w:tcMar>
              <w:top w:w="50" w:type="dxa"/>
              <w:left w:w="65" w:type="dxa"/>
              <w:bottom w:w="50" w:type="dxa"/>
              <w:right w:w="65" w:type="dxa"/>
            </w:tcMar>
            <w:vAlign w:val="center"/>
          </w:tcPr>
          <w:p w14:paraId="6E52A3D7" w14:textId="77777777" w:rsidR="00354F64" w:rsidRPr="00C82C71" w:rsidRDefault="00000000">
            <w:pPr>
              <w:spacing w:after="0"/>
              <w:jc w:val="center"/>
              <w:rPr>
                <w:rFonts w:cs="Arial"/>
              </w:rPr>
            </w:pPr>
            <w:r w:rsidRPr="00C82C71">
              <w:rPr>
                <w:rFonts w:cs="Arial"/>
                <w:sz w:val="12"/>
              </w:rPr>
              <w:t>$2.77</w:t>
            </w:r>
          </w:p>
        </w:tc>
        <w:tc>
          <w:tcPr>
            <w:tcW w:w="1134" w:type="dxa"/>
            <w:tcMar>
              <w:top w:w="50" w:type="dxa"/>
              <w:left w:w="65" w:type="dxa"/>
              <w:bottom w:w="50" w:type="dxa"/>
              <w:right w:w="65" w:type="dxa"/>
            </w:tcMar>
            <w:vAlign w:val="center"/>
          </w:tcPr>
          <w:p w14:paraId="736460C5" w14:textId="77777777" w:rsidR="00354F64" w:rsidRPr="00C82C71" w:rsidRDefault="00000000">
            <w:pPr>
              <w:spacing w:after="0"/>
              <w:jc w:val="center"/>
              <w:rPr>
                <w:rFonts w:cs="Arial"/>
              </w:rPr>
            </w:pPr>
            <w:r w:rsidRPr="00C82C71">
              <w:rPr>
                <w:rFonts w:cs="Arial"/>
                <w:sz w:val="12"/>
              </w:rPr>
              <w:t>5.8%</w:t>
            </w:r>
          </w:p>
        </w:tc>
        <w:tc>
          <w:tcPr>
            <w:tcW w:w="1134" w:type="dxa"/>
            <w:tcMar>
              <w:top w:w="50" w:type="dxa"/>
              <w:left w:w="65" w:type="dxa"/>
              <w:bottom w:w="50" w:type="dxa"/>
              <w:right w:w="65" w:type="dxa"/>
            </w:tcMar>
            <w:vAlign w:val="center"/>
          </w:tcPr>
          <w:p w14:paraId="6CE15488" w14:textId="77777777" w:rsidR="00354F64" w:rsidRPr="00C82C71" w:rsidRDefault="00000000">
            <w:pPr>
              <w:spacing w:after="0"/>
              <w:jc w:val="center"/>
              <w:rPr>
                <w:rFonts w:cs="Arial"/>
              </w:rPr>
            </w:pPr>
            <w:r w:rsidRPr="00C82C71">
              <w:rPr>
                <w:rFonts w:cs="Arial"/>
                <w:sz w:val="12"/>
              </w:rPr>
              <w:t>0.493</w:t>
            </w:r>
          </w:p>
        </w:tc>
      </w:tr>
      <w:tr w:rsidR="00354F64" w:rsidRPr="00C82C71" w14:paraId="3CBEC280" w14:textId="77777777" w:rsidTr="006B1AAF">
        <w:trPr>
          <w:jc w:val="center"/>
        </w:trPr>
        <w:tc>
          <w:tcPr>
            <w:tcW w:w="2661" w:type="dxa"/>
            <w:shd w:val="clear" w:color="auto" w:fill="F7F8F8"/>
            <w:tcMar>
              <w:top w:w="50" w:type="dxa"/>
              <w:left w:w="65" w:type="dxa"/>
              <w:bottom w:w="50" w:type="dxa"/>
              <w:right w:w="65" w:type="dxa"/>
            </w:tcMar>
            <w:vAlign w:val="center"/>
          </w:tcPr>
          <w:p w14:paraId="6EAAA2A4" w14:textId="77777777" w:rsidR="00354F64" w:rsidRPr="00C82C71" w:rsidRDefault="00000000">
            <w:pPr>
              <w:spacing w:after="0"/>
              <w:rPr>
                <w:rFonts w:cs="Arial"/>
              </w:rPr>
            </w:pPr>
            <w:r w:rsidRPr="00C82C71">
              <w:rPr>
                <w:rFonts w:cs="Arial"/>
                <w:sz w:val="12"/>
              </w:rPr>
              <w:t>Crypto-only Minimum Variance</w:t>
            </w:r>
          </w:p>
        </w:tc>
        <w:tc>
          <w:tcPr>
            <w:tcW w:w="1025" w:type="dxa"/>
            <w:shd w:val="clear" w:color="auto" w:fill="F7F8F8"/>
            <w:tcMar>
              <w:top w:w="50" w:type="dxa"/>
              <w:left w:w="65" w:type="dxa"/>
              <w:bottom w:w="50" w:type="dxa"/>
              <w:right w:w="65" w:type="dxa"/>
            </w:tcMar>
            <w:vAlign w:val="center"/>
          </w:tcPr>
          <w:p w14:paraId="232E5B93" w14:textId="77777777" w:rsidR="00354F64" w:rsidRPr="00C82C71" w:rsidRDefault="00000000">
            <w:pPr>
              <w:spacing w:after="0"/>
              <w:jc w:val="center"/>
              <w:rPr>
                <w:rFonts w:cs="Arial"/>
              </w:rPr>
            </w:pPr>
            <w:r w:rsidRPr="00C82C71">
              <w:rPr>
                <w:rFonts w:cs="Arial"/>
                <w:sz w:val="12"/>
              </w:rPr>
              <w:t>59.8%</w:t>
            </w:r>
          </w:p>
        </w:tc>
        <w:tc>
          <w:tcPr>
            <w:tcW w:w="1276" w:type="dxa"/>
            <w:shd w:val="clear" w:color="auto" w:fill="F7F8F8"/>
            <w:tcMar>
              <w:top w:w="50" w:type="dxa"/>
              <w:left w:w="65" w:type="dxa"/>
              <w:bottom w:w="50" w:type="dxa"/>
              <w:right w:w="65" w:type="dxa"/>
            </w:tcMar>
            <w:vAlign w:val="center"/>
          </w:tcPr>
          <w:p w14:paraId="447BE2C1" w14:textId="77777777" w:rsidR="00354F64" w:rsidRPr="00C82C71" w:rsidRDefault="00000000">
            <w:pPr>
              <w:spacing w:after="0"/>
              <w:jc w:val="center"/>
              <w:rPr>
                <w:rFonts w:cs="Arial"/>
              </w:rPr>
            </w:pPr>
            <w:r w:rsidRPr="00C82C71">
              <w:rPr>
                <w:rFonts w:cs="Arial"/>
                <w:sz w:val="12"/>
              </w:rPr>
              <w:t>71.6%</w:t>
            </w:r>
          </w:p>
        </w:tc>
        <w:tc>
          <w:tcPr>
            <w:tcW w:w="1225" w:type="dxa"/>
            <w:shd w:val="clear" w:color="auto" w:fill="F7F8F8"/>
            <w:tcMar>
              <w:top w:w="50" w:type="dxa"/>
              <w:left w:w="65" w:type="dxa"/>
              <w:bottom w:w="50" w:type="dxa"/>
              <w:right w:w="65" w:type="dxa"/>
            </w:tcMar>
            <w:vAlign w:val="center"/>
          </w:tcPr>
          <w:p w14:paraId="5FB6E379" w14:textId="77777777" w:rsidR="00354F64" w:rsidRPr="00C82C71" w:rsidRDefault="00000000">
            <w:pPr>
              <w:spacing w:after="0"/>
              <w:jc w:val="center"/>
              <w:rPr>
                <w:rFonts w:cs="Arial"/>
              </w:rPr>
            </w:pPr>
            <w:r w:rsidRPr="00C82C71">
              <w:rPr>
                <w:rFonts w:cs="Arial"/>
                <w:sz w:val="12"/>
              </w:rPr>
              <w:t>0.836</w:t>
            </w:r>
          </w:p>
        </w:tc>
        <w:tc>
          <w:tcPr>
            <w:tcW w:w="1276" w:type="dxa"/>
            <w:shd w:val="clear" w:color="auto" w:fill="F7F8F8"/>
            <w:tcMar>
              <w:top w:w="50" w:type="dxa"/>
              <w:left w:w="65" w:type="dxa"/>
              <w:bottom w:w="50" w:type="dxa"/>
              <w:right w:w="65" w:type="dxa"/>
            </w:tcMar>
            <w:vAlign w:val="center"/>
          </w:tcPr>
          <w:p w14:paraId="06417F3D" w14:textId="77777777" w:rsidR="00354F64" w:rsidRPr="00C82C71" w:rsidRDefault="00000000">
            <w:pPr>
              <w:spacing w:after="0"/>
              <w:jc w:val="center"/>
              <w:rPr>
                <w:rFonts w:cs="Arial"/>
              </w:rPr>
            </w:pPr>
            <w:r w:rsidRPr="00C82C71">
              <w:rPr>
                <w:rFonts w:cs="Arial"/>
                <w:sz w:val="12"/>
              </w:rPr>
              <w:t>-72.0%</w:t>
            </w:r>
          </w:p>
        </w:tc>
        <w:tc>
          <w:tcPr>
            <w:tcW w:w="1134" w:type="dxa"/>
            <w:shd w:val="clear" w:color="auto" w:fill="F7F8F8"/>
            <w:tcMar>
              <w:top w:w="50" w:type="dxa"/>
              <w:left w:w="65" w:type="dxa"/>
              <w:bottom w:w="50" w:type="dxa"/>
              <w:right w:w="65" w:type="dxa"/>
            </w:tcMar>
            <w:vAlign w:val="center"/>
          </w:tcPr>
          <w:p w14:paraId="19BAF851" w14:textId="77777777" w:rsidR="00354F64" w:rsidRPr="00C82C71" w:rsidRDefault="00000000">
            <w:pPr>
              <w:spacing w:after="0"/>
              <w:jc w:val="center"/>
              <w:rPr>
                <w:rFonts w:cs="Arial"/>
              </w:rPr>
            </w:pPr>
            <w:r w:rsidRPr="00C82C71">
              <w:rPr>
                <w:rFonts w:cs="Arial"/>
                <w:sz w:val="12"/>
              </w:rPr>
              <w:t>$4.08</w:t>
            </w:r>
          </w:p>
        </w:tc>
        <w:tc>
          <w:tcPr>
            <w:tcW w:w="1134" w:type="dxa"/>
            <w:shd w:val="clear" w:color="auto" w:fill="F7F8F8"/>
            <w:tcMar>
              <w:top w:w="50" w:type="dxa"/>
              <w:left w:w="65" w:type="dxa"/>
              <w:bottom w:w="50" w:type="dxa"/>
              <w:right w:w="65" w:type="dxa"/>
            </w:tcMar>
            <w:vAlign w:val="center"/>
          </w:tcPr>
          <w:p w14:paraId="34D4F4E6" w14:textId="77777777" w:rsidR="00354F64" w:rsidRPr="00C82C71" w:rsidRDefault="00000000">
            <w:pPr>
              <w:spacing w:after="0"/>
              <w:jc w:val="center"/>
              <w:rPr>
                <w:rFonts w:cs="Arial"/>
              </w:rPr>
            </w:pPr>
            <w:r w:rsidRPr="00C82C71">
              <w:rPr>
                <w:rFonts w:cs="Arial"/>
                <w:sz w:val="12"/>
              </w:rPr>
              <w:t>10.2%</w:t>
            </w:r>
          </w:p>
        </w:tc>
        <w:tc>
          <w:tcPr>
            <w:tcW w:w="1134" w:type="dxa"/>
            <w:shd w:val="clear" w:color="auto" w:fill="F7F8F8"/>
            <w:tcMar>
              <w:top w:w="50" w:type="dxa"/>
              <w:left w:w="65" w:type="dxa"/>
              <w:bottom w:w="50" w:type="dxa"/>
              <w:right w:w="65" w:type="dxa"/>
            </w:tcMar>
            <w:vAlign w:val="center"/>
          </w:tcPr>
          <w:p w14:paraId="68C3DB3E" w14:textId="77777777" w:rsidR="00354F64" w:rsidRPr="00C82C71" w:rsidRDefault="00000000">
            <w:pPr>
              <w:spacing w:after="0"/>
              <w:jc w:val="center"/>
              <w:rPr>
                <w:rFonts w:cs="Arial"/>
              </w:rPr>
            </w:pPr>
            <w:r w:rsidRPr="00C82C71">
              <w:rPr>
                <w:rFonts w:cs="Arial"/>
                <w:sz w:val="12"/>
              </w:rPr>
              <w:t>0.833</w:t>
            </w:r>
          </w:p>
        </w:tc>
      </w:tr>
      <w:tr w:rsidR="00354F64" w:rsidRPr="00C82C71" w14:paraId="10647C2F" w14:textId="77777777" w:rsidTr="006B1AAF">
        <w:trPr>
          <w:jc w:val="center"/>
        </w:trPr>
        <w:tc>
          <w:tcPr>
            <w:tcW w:w="2661" w:type="dxa"/>
            <w:tcMar>
              <w:top w:w="50" w:type="dxa"/>
              <w:left w:w="65" w:type="dxa"/>
              <w:bottom w:w="50" w:type="dxa"/>
              <w:right w:w="65" w:type="dxa"/>
            </w:tcMar>
            <w:vAlign w:val="center"/>
          </w:tcPr>
          <w:p w14:paraId="7D386E54" w14:textId="77777777" w:rsidR="00354F64" w:rsidRPr="00C82C71" w:rsidRDefault="00000000">
            <w:pPr>
              <w:spacing w:after="0"/>
              <w:rPr>
                <w:rFonts w:cs="Arial"/>
              </w:rPr>
            </w:pPr>
            <w:r w:rsidRPr="00C82C71">
              <w:rPr>
                <w:rFonts w:cs="Arial"/>
                <w:sz w:val="12"/>
              </w:rPr>
              <w:t>Crypto-only Maximum Sharpe</w:t>
            </w:r>
          </w:p>
        </w:tc>
        <w:tc>
          <w:tcPr>
            <w:tcW w:w="1025" w:type="dxa"/>
            <w:tcMar>
              <w:top w:w="50" w:type="dxa"/>
              <w:left w:w="65" w:type="dxa"/>
              <w:bottom w:w="50" w:type="dxa"/>
              <w:right w:w="65" w:type="dxa"/>
            </w:tcMar>
            <w:vAlign w:val="center"/>
          </w:tcPr>
          <w:p w14:paraId="78ED97CE" w14:textId="77777777" w:rsidR="00354F64" w:rsidRPr="00C82C71" w:rsidRDefault="00000000">
            <w:pPr>
              <w:spacing w:after="0"/>
              <w:jc w:val="center"/>
              <w:rPr>
                <w:rFonts w:cs="Arial"/>
              </w:rPr>
            </w:pPr>
            <w:r w:rsidRPr="00C82C71">
              <w:rPr>
                <w:rFonts w:cs="Arial"/>
                <w:sz w:val="12"/>
              </w:rPr>
              <w:t>-3.0%</w:t>
            </w:r>
          </w:p>
        </w:tc>
        <w:tc>
          <w:tcPr>
            <w:tcW w:w="1276" w:type="dxa"/>
            <w:tcMar>
              <w:top w:w="50" w:type="dxa"/>
              <w:left w:w="65" w:type="dxa"/>
              <w:bottom w:w="50" w:type="dxa"/>
              <w:right w:w="65" w:type="dxa"/>
            </w:tcMar>
            <w:vAlign w:val="center"/>
          </w:tcPr>
          <w:p w14:paraId="4DE5AD73" w14:textId="77777777" w:rsidR="00354F64" w:rsidRPr="00C82C71" w:rsidRDefault="00000000">
            <w:pPr>
              <w:spacing w:after="0"/>
              <w:jc w:val="center"/>
              <w:rPr>
                <w:rFonts w:cs="Arial"/>
              </w:rPr>
            </w:pPr>
            <w:r w:rsidRPr="00C82C71">
              <w:rPr>
                <w:rFonts w:cs="Arial"/>
                <w:sz w:val="12"/>
              </w:rPr>
              <w:t>76.0%</w:t>
            </w:r>
          </w:p>
        </w:tc>
        <w:tc>
          <w:tcPr>
            <w:tcW w:w="1225" w:type="dxa"/>
            <w:tcMar>
              <w:top w:w="50" w:type="dxa"/>
              <w:left w:w="65" w:type="dxa"/>
              <w:bottom w:w="50" w:type="dxa"/>
              <w:right w:w="65" w:type="dxa"/>
            </w:tcMar>
            <w:vAlign w:val="center"/>
          </w:tcPr>
          <w:p w14:paraId="7F3BF91A" w14:textId="77777777" w:rsidR="00354F64" w:rsidRPr="00C82C71" w:rsidRDefault="00000000">
            <w:pPr>
              <w:spacing w:after="0"/>
              <w:jc w:val="center"/>
              <w:rPr>
                <w:rFonts w:cs="Arial"/>
              </w:rPr>
            </w:pPr>
            <w:r w:rsidRPr="00C82C71">
              <w:rPr>
                <w:rFonts w:cs="Arial"/>
                <w:sz w:val="12"/>
              </w:rPr>
              <w:t>-0.040</w:t>
            </w:r>
          </w:p>
        </w:tc>
        <w:tc>
          <w:tcPr>
            <w:tcW w:w="1276" w:type="dxa"/>
            <w:tcMar>
              <w:top w:w="50" w:type="dxa"/>
              <w:left w:w="65" w:type="dxa"/>
              <w:bottom w:w="50" w:type="dxa"/>
              <w:right w:w="65" w:type="dxa"/>
            </w:tcMar>
            <w:vAlign w:val="center"/>
          </w:tcPr>
          <w:p w14:paraId="3AD062F7" w14:textId="77777777" w:rsidR="00354F64" w:rsidRPr="00C82C71" w:rsidRDefault="00000000">
            <w:pPr>
              <w:spacing w:after="0"/>
              <w:jc w:val="center"/>
              <w:rPr>
                <w:rFonts w:cs="Arial"/>
              </w:rPr>
            </w:pPr>
            <w:r w:rsidRPr="00C82C71">
              <w:rPr>
                <w:rFonts w:cs="Arial"/>
                <w:sz w:val="12"/>
              </w:rPr>
              <w:t>-85.6%</w:t>
            </w:r>
          </w:p>
        </w:tc>
        <w:tc>
          <w:tcPr>
            <w:tcW w:w="1134" w:type="dxa"/>
            <w:tcMar>
              <w:top w:w="50" w:type="dxa"/>
              <w:left w:w="65" w:type="dxa"/>
              <w:bottom w:w="50" w:type="dxa"/>
              <w:right w:w="65" w:type="dxa"/>
            </w:tcMar>
            <w:vAlign w:val="center"/>
          </w:tcPr>
          <w:p w14:paraId="6771759F" w14:textId="77777777" w:rsidR="00354F64" w:rsidRPr="00C82C71" w:rsidRDefault="00000000">
            <w:pPr>
              <w:spacing w:after="0"/>
              <w:jc w:val="center"/>
              <w:rPr>
                <w:rFonts w:cs="Arial"/>
              </w:rPr>
            </w:pPr>
            <w:r w:rsidRPr="00C82C71">
              <w:rPr>
                <w:rFonts w:cs="Arial"/>
                <w:sz w:val="12"/>
              </w:rPr>
              <w:t>$0.91</w:t>
            </w:r>
          </w:p>
        </w:tc>
        <w:tc>
          <w:tcPr>
            <w:tcW w:w="1134" w:type="dxa"/>
            <w:tcMar>
              <w:top w:w="50" w:type="dxa"/>
              <w:left w:w="65" w:type="dxa"/>
              <w:bottom w:w="50" w:type="dxa"/>
              <w:right w:w="65" w:type="dxa"/>
            </w:tcMar>
            <w:vAlign w:val="center"/>
          </w:tcPr>
          <w:p w14:paraId="06BA3114" w14:textId="77777777" w:rsidR="00354F64" w:rsidRPr="00C82C71" w:rsidRDefault="00000000">
            <w:pPr>
              <w:spacing w:after="0"/>
              <w:jc w:val="center"/>
              <w:rPr>
                <w:rFonts w:cs="Arial"/>
              </w:rPr>
            </w:pPr>
            <w:r w:rsidRPr="00C82C71">
              <w:rPr>
                <w:rFonts w:cs="Arial"/>
                <w:sz w:val="12"/>
              </w:rPr>
              <w:t>21.8%</w:t>
            </w:r>
          </w:p>
        </w:tc>
        <w:tc>
          <w:tcPr>
            <w:tcW w:w="1134" w:type="dxa"/>
            <w:tcMar>
              <w:top w:w="50" w:type="dxa"/>
              <w:left w:w="65" w:type="dxa"/>
              <w:bottom w:w="50" w:type="dxa"/>
              <w:right w:w="65" w:type="dxa"/>
            </w:tcMar>
            <w:vAlign w:val="center"/>
          </w:tcPr>
          <w:p w14:paraId="2FF9775A" w14:textId="77777777" w:rsidR="00354F64" w:rsidRPr="00C82C71" w:rsidRDefault="00000000">
            <w:pPr>
              <w:spacing w:after="0"/>
              <w:jc w:val="center"/>
              <w:rPr>
                <w:rFonts w:cs="Arial"/>
              </w:rPr>
            </w:pPr>
            <w:r w:rsidRPr="00C82C71">
              <w:rPr>
                <w:rFonts w:cs="Arial"/>
                <w:sz w:val="12"/>
              </w:rPr>
              <w:t>-0.043</w:t>
            </w:r>
          </w:p>
        </w:tc>
      </w:tr>
      <w:tr w:rsidR="00354F64" w:rsidRPr="00C82C71" w14:paraId="319A335B" w14:textId="77777777" w:rsidTr="006B1AAF">
        <w:trPr>
          <w:jc w:val="center"/>
        </w:trPr>
        <w:tc>
          <w:tcPr>
            <w:tcW w:w="2661" w:type="dxa"/>
            <w:shd w:val="clear" w:color="auto" w:fill="F7F8F8"/>
            <w:tcMar>
              <w:top w:w="50" w:type="dxa"/>
              <w:left w:w="65" w:type="dxa"/>
              <w:bottom w:w="50" w:type="dxa"/>
              <w:right w:w="65" w:type="dxa"/>
            </w:tcMar>
            <w:vAlign w:val="center"/>
          </w:tcPr>
          <w:p w14:paraId="79FCCB4C" w14:textId="77777777" w:rsidR="00354F64" w:rsidRPr="00C82C71" w:rsidRDefault="00000000">
            <w:pPr>
              <w:spacing w:after="0"/>
              <w:rPr>
                <w:rFonts w:cs="Arial"/>
              </w:rPr>
            </w:pPr>
            <w:r w:rsidRPr="00C82C71">
              <w:rPr>
                <w:rFonts w:cs="Arial"/>
                <w:sz w:val="12"/>
              </w:rPr>
              <w:t>Crypto-only Risk Parity (ERC)</w:t>
            </w:r>
          </w:p>
        </w:tc>
        <w:tc>
          <w:tcPr>
            <w:tcW w:w="1025" w:type="dxa"/>
            <w:shd w:val="clear" w:color="auto" w:fill="F7F8F8"/>
            <w:tcMar>
              <w:top w:w="50" w:type="dxa"/>
              <w:left w:w="65" w:type="dxa"/>
              <w:bottom w:w="50" w:type="dxa"/>
              <w:right w:w="65" w:type="dxa"/>
            </w:tcMar>
            <w:vAlign w:val="center"/>
          </w:tcPr>
          <w:p w14:paraId="72101399" w14:textId="77777777" w:rsidR="00354F64" w:rsidRPr="00C82C71" w:rsidRDefault="00000000">
            <w:pPr>
              <w:spacing w:after="0"/>
              <w:jc w:val="center"/>
              <w:rPr>
                <w:rFonts w:cs="Arial"/>
              </w:rPr>
            </w:pPr>
            <w:r w:rsidRPr="00C82C71">
              <w:rPr>
                <w:rFonts w:cs="Arial"/>
                <w:sz w:val="12"/>
              </w:rPr>
              <w:t>44.3%</w:t>
            </w:r>
          </w:p>
        </w:tc>
        <w:tc>
          <w:tcPr>
            <w:tcW w:w="1276" w:type="dxa"/>
            <w:shd w:val="clear" w:color="auto" w:fill="F7F8F8"/>
            <w:tcMar>
              <w:top w:w="50" w:type="dxa"/>
              <w:left w:w="65" w:type="dxa"/>
              <w:bottom w:w="50" w:type="dxa"/>
              <w:right w:w="65" w:type="dxa"/>
            </w:tcMar>
            <w:vAlign w:val="center"/>
          </w:tcPr>
          <w:p w14:paraId="6DCCD17C" w14:textId="77777777" w:rsidR="00354F64" w:rsidRPr="00C82C71" w:rsidRDefault="00000000">
            <w:pPr>
              <w:spacing w:after="0"/>
              <w:jc w:val="center"/>
              <w:rPr>
                <w:rFonts w:cs="Arial"/>
              </w:rPr>
            </w:pPr>
            <w:r w:rsidRPr="00C82C71">
              <w:rPr>
                <w:rFonts w:cs="Arial"/>
                <w:sz w:val="12"/>
              </w:rPr>
              <w:t>79.9%</w:t>
            </w:r>
          </w:p>
        </w:tc>
        <w:tc>
          <w:tcPr>
            <w:tcW w:w="1225" w:type="dxa"/>
            <w:shd w:val="clear" w:color="auto" w:fill="F7F8F8"/>
            <w:tcMar>
              <w:top w:w="50" w:type="dxa"/>
              <w:left w:w="65" w:type="dxa"/>
              <w:bottom w:w="50" w:type="dxa"/>
              <w:right w:w="65" w:type="dxa"/>
            </w:tcMar>
            <w:vAlign w:val="center"/>
          </w:tcPr>
          <w:p w14:paraId="658D7A74" w14:textId="77777777" w:rsidR="00354F64" w:rsidRPr="00C82C71" w:rsidRDefault="00000000">
            <w:pPr>
              <w:spacing w:after="0"/>
              <w:jc w:val="center"/>
              <w:rPr>
                <w:rFonts w:cs="Arial"/>
              </w:rPr>
            </w:pPr>
            <w:r w:rsidRPr="00C82C71">
              <w:rPr>
                <w:rFonts w:cs="Arial"/>
                <w:sz w:val="12"/>
              </w:rPr>
              <w:t>0.555</w:t>
            </w:r>
          </w:p>
        </w:tc>
        <w:tc>
          <w:tcPr>
            <w:tcW w:w="1276" w:type="dxa"/>
            <w:shd w:val="clear" w:color="auto" w:fill="F7F8F8"/>
            <w:tcMar>
              <w:top w:w="50" w:type="dxa"/>
              <w:left w:w="65" w:type="dxa"/>
              <w:bottom w:w="50" w:type="dxa"/>
              <w:right w:w="65" w:type="dxa"/>
            </w:tcMar>
            <w:vAlign w:val="center"/>
          </w:tcPr>
          <w:p w14:paraId="7F9FB071" w14:textId="77777777" w:rsidR="00354F64" w:rsidRPr="00C82C71" w:rsidRDefault="00000000">
            <w:pPr>
              <w:spacing w:after="0"/>
              <w:jc w:val="center"/>
              <w:rPr>
                <w:rFonts w:cs="Arial"/>
              </w:rPr>
            </w:pPr>
            <w:r w:rsidRPr="00C82C71">
              <w:rPr>
                <w:rFonts w:cs="Arial"/>
                <w:sz w:val="12"/>
              </w:rPr>
              <w:t>-79.9%</w:t>
            </w:r>
          </w:p>
        </w:tc>
        <w:tc>
          <w:tcPr>
            <w:tcW w:w="1134" w:type="dxa"/>
            <w:shd w:val="clear" w:color="auto" w:fill="F7F8F8"/>
            <w:tcMar>
              <w:top w:w="50" w:type="dxa"/>
              <w:left w:w="65" w:type="dxa"/>
              <w:bottom w:w="50" w:type="dxa"/>
              <w:right w:w="65" w:type="dxa"/>
            </w:tcMar>
            <w:vAlign w:val="center"/>
          </w:tcPr>
          <w:p w14:paraId="2C40EC5E" w14:textId="77777777" w:rsidR="00354F64" w:rsidRPr="00C82C71" w:rsidRDefault="00000000">
            <w:pPr>
              <w:spacing w:after="0"/>
              <w:jc w:val="center"/>
              <w:rPr>
                <w:rFonts w:cs="Arial"/>
              </w:rPr>
            </w:pPr>
            <w:r w:rsidRPr="00C82C71">
              <w:rPr>
                <w:rFonts w:cs="Arial"/>
                <w:sz w:val="12"/>
              </w:rPr>
              <w:t>$3.01</w:t>
            </w:r>
          </w:p>
        </w:tc>
        <w:tc>
          <w:tcPr>
            <w:tcW w:w="1134" w:type="dxa"/>
            <w:shd w:val="clear" w:color="auto" w:fill="F7F8F8"/>
            <w:tcMar>
              <w:top w:w="50" w:type="dxa"/>
              <w:left w:w="65" w:type="dxa"/>
              <w:bottom w:w="50" w:type="dxa"/>
              <w:right w:w="65" w:type="dxa"/>
            </w:tcMar>
            <w:vAlign w:val="center"/>
          </w:tcPr>
          <w:p w14:paraId="51B89BA7" w14:textId="77777777" w:rsidR="00354F64" w:rsidRPr="00C82C71" w:rsidRDefault="00000000">
            <w:pPr>
              <w:spacing w:after="0"/>
              <w:jc w:val="center"/>
              <w:rPr>
                <w:rFonts w:cs="Arial"/>
              </w:rPr>
            </w:pPr>
            <w:r w:rsidRPr="00C82C71">
              <w:rPr>
                <w:rFonts w:cs="Arial"/>
                <w:sz w:val="12"/>
              </w:rPr>
              <w:t>6.3%</w:t>
            </w:r>
          </w:p>
        </w:tc>
        <w:tc>
          <w:tcPr>
            <w:tcW w:w="1134" w:type="dxa"/>
            <w:shd w:val="clear" w:color="auto" w:fill="F7F8F8"/>
            <w:tcMar>
              <w:top w:w="50" w:type="dxa"/>
              <w:left w:w="65" w:type="dxa"/>
              <w:bottom w:w="50" w:type="dxa"/>
              <w:right w:w="65" w:type="dxa"/>
            </w:tcMar>
            <w:vAlign w:val="center"/>
          </w:tcPr>
          <w:p w14:paraId="323836C7" w14:textId="77777777" w:rsidR="00354F64" w:rsidRPr="00C82C71" w:rsidRDefault="00000000">
            <w:pPr>
              <w:spacing w:after="0"/>
              <w:jc w:val="center"/>
              <w:rPr>
                <w:rFonts w:cs="Arial"/>
              </w:rPr>
            </w:pPr>
            <w:r w:rsidRPr="00C82C71">
              <w:rPr>
                <w:rFonts w:cs="Arial"/>
                <w:sz w:val="12"/>
              </w:rPr>
              <w:t>0.553</w:t>
            </w:r>
          </w:p>
        </w:tc>
      </w:tr>
      <w:tr w:rsidR="00354F64" w:rsidRPr="00C82C71" w14:paraId="486BE6C1" w14:textId="77777777" w:rsidTr="006B1AAF">
        <w:trPr>
          <w:jc w:val="center"/>
        </w:trPr>
        <w:tc>
          <w:tcPr>
            <w:tcW w:w="2661" w:type="dxa"/>
            <w:tcMar>
              <w:top w:w="50" w:type="dxa"/>
              <w:left w:w="65" w:type="dxa"/>
              <w:bottom w:w="50" w:type="dxa"/>
              <w:right w:w="65" w:type="dxa"/>
            </w:tcMar>
            <w:vAlign w:val="center"/>
          </w:tcPr>
          <w:p w14:paraId="03B0F358" w14:textId="77777777" w:rsidR="00354F64" w:rsidRPr="00C82C71" w:rsidRDefault="00000000">
            <w:pPr>
              <w:spacing w:after="0"/>
              <w:rPr>
                <w:rFonts w:cs="Arial"/>
              </w:rPr>
            </w:pPr>
            <w:r w:rsidRPr="00C82C71">
              <w:rPr>
                <w:rFonts w:cs="Arial"/>
                <w:sz w:val="12"/>
              </w:rPr>
              <w:t>Crypto-only Hierarchical Risk Parity</w:t>
            </w:r>
          </w:p>
        </w:tc>
        <w:tc>
          <w:tcPr>
            <w:tcW w:w="1025" w:type="dxa"/>
            <w:tcMar>
              <w:top w:w="50" w:type="dxa"/>
              <w:left w:w="65" w:type="dxa"/>
              <w:bottom w:w="50" w:type="dxa"/>
              <w:right w:w="65" w:type="dxa"/>
            </w:tcMar>
            <w:vAlign w:val="center"/>
          </w:tcPr>
          <w:p w14:paraId="36741CCF" w14:textId="77777777" w:rsidR="00354F64" w:rsidRPr="00C82C71" w:rsidRDefault="00000000">
            <w:pPr>
              <w:spacing w:after="0"/>
              <w:jc w:val="center"/>
              <w:rPr>
                <w:rFonts w:cs="Arial"/>
              </w:rPr>
            </w:pPr>
            <w:r w:rsidRPr="00C82C71">
              <w:rPr>
                <w:rFonts w:cs="Arial"/>
                <w:sz w:val="12"/>
              </w:rPr>
              <w:t>43.2%</w:t>
            </w:r>
          </w:p>
        </w:tc>
        <w:tc>
          <w:tcPr>
            <w:tcW w:w="1276" w:type="dxa"/>
            <w:tcMar>
              <w:top w:w="50" w:type="dxa"/>
              <w:left w:w="65" w:type="dxa"/>
              <w:bottom w:w="50" w:type="dxa"/>
              <w:right w:w="65" w:type="dxa"/>
            </w:tcMar>
            <w:vAlign w:val="center"/>
          </w:tcPr>
          <w:p w14:paraId="1F8200A0" w14:textId="77777777" w:rsidR="00354F64" w:rsidRPr="00C82C71" w:rsidRDefault="00000000">
            <w:pPr>
              <w:spacing w:after="0"/>
              <w:jc w:val="center"/>
              <w:rPr>
                <w:rFonts w:cs="Arial"/>
              </w:rPr>
            </w:pPr>
            <w:r w:rsidRPr="00C82C71">
              <w:rPr>
                <w:rFonts w:cs="Arial"/>
                <w:sz w:val="12"/>
              </w:rPr>
              <w:t>76.9%</w:t>
            </w:r>
          </w:p>
        </w:tc>
        <w:tc>
          <w:tcPr>
            <w:tcW w:w="1225" w:type="dxa"/>
            <w:tcMar>
              <w:top w:w="50" w:type="dxa"/>
              <w:left w:w="65" w:type="dxa"/>
              <w:bottom w:w="50" w:type="dxa"/>
              <w:right w:w="65" w:type="dxa"/>
            </w:tcMar>
            <w:vAlign w:val="center"/>
          </w:tcPr>
          <w:p w14:paraId="595EC248" w14:textId="77777777" w:rsidR="00354F64" w:rsidRPr="00C82C71" w:rsidRDefault="00000000">
            <w:pPr>
              <w:spacing w:after="0"/>
              <w:jc w:val="center"/>
              <w:rPr>
                <w:rFonts w:cs="Arial"/>
              </w:rPr>
            </w:pPr>
            <w:r w:rsidRPr="00C82C71">
              <w:rPr>
                <w:rFonts w:cs="Arial"/>
                <w:sz w:val="12"/>
              </w:rPr>
              <w:t>0.562</w:t>
            </w:r>
          </w:p>
        </w:tc>
        <w:tc>
          <w:tcPr>
            <w:tcW w:w="1276" w:type="dxa"/>
            <w:tcMar>
              <w:top w:w="50" w:type="dxa"/>
              <w:left w:w="65" w:type="dxa"/>
              <w:bottom w:w="50" w:type="dxa"/>
              <w:right w:w="65" w:type="dxa"/>
            </w:tcMar>
            <w:vAlign w:val="center"/>
          </w:tcPr>
          <w:p w14:paraId="23501AED" w14:textId="77777777" w:rsidR="00354F64" w:rsidRPr="00C82C71" w:rsidRDefault="00000000">
            <w:pPr>
              <w:spacing w:after="0"/>
              <w:jc w:val="center"/>
              <w:rPr>
                <w:rFonts w:cs="Arial"/>
              </w:rPr>
            </w:pPr>
            <w:r w:rsidRPr="00C82C71">
              <w:rPr>
                <w:rFonts w:cs="Arial"/>
                <w:sz w:val="12"/>
              </w:rPr>
              <w:t>-78.1%</w:t>
            </w:r>
          </w:p>
        </w:tc>
        <w:tc>
          <w:tcPr>
            <w:tcW w:w="1134" w:type="dxa"/>
            <w:tcMar>
              <w:top w:w="50" w:type="dxa"/>
              <w:left w:w="65" w:type="dxa"/>
              <w:bottom w:w="50" w:type="dxa"/>
              <w:right w:w="65" w:type="dxa"/>
            </w:tcMar>
            <w:vAlign w:val="center"/>
          </w:tcPr>
          <w:p w14:paraId="5325B69C" w14:textId="77777777" w:rsidR="00354F64" w:rsidRPr="00C82C71" w:rsidRDefault="00000000">
            <w:pPr>
              <w:spacing w:after="0"/>
              <w:jc w:val="center"/>
              <w:rPr>
                <w:rFonts w:cs="Arial"/>
              </w:rPr>
            </w:pPr>
            <w:r w:rsidRPr="00C82C71">
              <w:rPr>
                <w:rFonts w:cs="Arial"/>
                <w:sz w:val="12"/>
              </w:rPr>
              <w:t>$2.94</w:t>
            </w:r>
          </w:p>
        </w:tc>
        <w:tc>
          <w:tcPr>
            <w:tcW w:w="1134" w:type="dxa"/>
            <w:tcMar>
              <w:top w:w="50" w:type="dxa"/>
              <w:left w:w="65" w:type="dxa"/>
              <w:bottom w:w="50" w:type="dxa"/>
              <w:right w:w="65" w:type="dxa"/>
            </w:tcMar>
            <w:vAlign w:val="center"/>
          </w:tcPr>
          <w:p w14:paraId="68DB6792" w14:textId="77777777" w:rsidR="00354F64" w:rsidRPr="00C82C71" w:rsidRDefault="00000000">
            <w:pPr>
              <w:spacing w:after="0"/>
              <w:jc w:val="center"/>
              <w:rPr>
                <w:rFonts w:cs="Arial"/>
              </w:rPr>
            </w:pPr>
            <w:r w:rsidRPr="00C82C71">
              <w:rPr>
                <w:rFonts w:cs="Arial"/>
                <w:sz w:val="12"/>
              </w:rPr>
              <w:t>10.4%</w:t>
            </w:r>
          </w:p>
        </w:tc>
        <w:tc>
          <w:tcPr>
            <w:tcW w:w="1134" w:type="dxa"/>
            <w:tcMar>
              <w:top w:w="50" w:type="dxa"/>
              <w:left w:w="65" w:type="dxa"/>
              <w:bottom w:w="50" w:type="dxa"/>
              <w:right w:w="65" w:type="dxa"/>
            </w:tcMar>
            <w:vAlign w:val="center"/>
          </w:tcPr>
          <w:p w14:paraId="44213144" w14:textId="77777777" w:rsidR="00354F64" w:rsidRPr="00C82C71" w:rsidRDefault="00000000">
            <w:pPr>
              <w:spacing w:after="0"/>
              <w:jc w:val="center"/>
              <w:rPr>
                <w:rFonts w:cs="Arial"/>
              </w:rPr>
            </w:pPr>
            <w:r w:rsidRPr="00C82C71">
              <w:rPr>
                <w:rFonts w:cs="Arial"/>
                <w:sz w:val="12"/>
              </w:rPr>
              <w:t>0.559</w:t>
            </w:r>
          </w:p>
        </w:tc>
      </w:tr>
      <w:tr w:rsidR="00354F64" w:rsidRPr="00C82C71" w14:paraId="6045400E" w14:textId="77777777" w:rsidTr="006B1AAF">
        <w:trPr>
          <w:jc w:val="center"/>
        </w:trPr>
        <w:tc>
          <w:tcPr>
            <w:tcW w:w="2661" w:type="dxa"/>
            <w:shd w:val="clear" w:color="auto" w:fill="F7F8F8"/>
            <w:tcMar>
              <w:top w:w="50" w:type="dxa"/>
              <w:left w:w="65" w:type="dxa"/>
              <w:bottom w:w="50" w:type="dxa"/>
              <w:right w:w="65" w:type="dxa"/>
            </w:tcMar>
            <w:vAlign w:val="center"/>
          </w:tcPr>
          <w:p w14:paraId="6E8046EA" w14:textId="77777777" w:rsidR="00354F64" w:rsidRPr="00C82C71" w:rsidRDefault="00000000">
            <w:pPr>
              <w:spacing w:after="0"/>
              <w:rPr>
                <w:rFonts w:cs="Arial"/>
              </w:rPr>
            </w:pPr>
            <w:r w:rsidRPr="00C82C71">
              <w:rPr>
                <w:rFonts w:cs="Arial"/>
                <w:sz w:val="12"/>
              </w:rPr>
              <w:t>Equity Max Sharpe + Sentiment Tilt (VADER)</w:t>
            </w:r>
          </w:p>
        </w:tc>
        <w:tc>
          <w:tcPr>
            <w:tcW w:w="1025" w:type="dxa"/>
            <w:shd w:val="clear" w:color="auto" w:fill="F7F8F8"/>
            <w:tcMar>
              <w:top w:w="50" w:type="dxa"/>
              <w:left w:w="65" w:type="dxa"/>
              <w:bottom w:w="50" w:type="dxa"/>
              <w:right w:w="65" w:type="dxa"/>
            </w:tcMar>
            <w:vAlign w:val="center"/>
          </w:tcPr>
          <w:p w14:paraId="4A2D5FD1" w14:textId="77777777" w:rsidR="00354F64" w:rsidRPr="00C82C71" w:rsidRDefault="00000000">
            <w:pPr>
              <w:spacing w:after="0"/>
              <w:jc w:val="center"/>
              <w:rPr>
                <w:rFonts w:cs="Arial"/>
              </w:rPr>
            </w:pPr>
            <w:r w:rsidRPr="00C82C71">
              <w:rPr>
                <w:rFonts w:cs="Arial"/>
                <w:sz w:val="12"/>
              </w:rPr>
              <w:t>6.2%</w:t>
            </w:r>
          </w:p>
        </w:tc>
        <w:tc>
          <w:tcPr>
            <w:tcW w:w="1276" w:type="dxa"/>
            <w:shd w:val="clear" w:color="auto" w:fill="F7F8F8"/>
            <w:tcMar>
              <w:top w:w="50" w:type="dxa"/>
              <w:left w:w="65" w:type="dxa"/>
              <w:bottom w:w="50" w:type="dxa"/>
              <w:right w:w="65" w:type="dxa"/>
            </w:tcMar>
            <w:vAlign w:val="center"/>
          </w:tcPr>
          <w:p w14:paraId="49C1A27A" w14:textId="77777777" w:rsidR="00354F64" w:rsidRPr="00C82C71" w:rsidRDefault="00000000">
            <w:pPr>
              <w:spacing w:after="0"/>
              <w:jc w:val="center"/>
              <w:rPr>
                <w:rFonts w:cs="Arial"/>
              </w:rPr>
            </w:pPr>
            <w:r w:rsidRPr="00C82C71">
              <w:rPr>
                <w:rFonts w:cs="Arial"/>
                <w:sz w:val="12"/>
              </w:rPr>
              <w:t>17.9%</w:t>
            </w:r>
          </w:p>
        </w:tc>
        <w:tc>
          <w:tcPr>
            <w:tcW w:w="1225" w:type="dxa"/>
            <w:shd w:val="clear" w:color="auto" w:fill="F7F8F8"/>
            <w:tcMar>
              <w:top w:w="50" w:type="dxa"/>
              <w:left w:w="65" w:type="dxa"/>
              <w:bottom w:w="50" w:type="dxa"/>
              <w:right w:w="65" w:type="dxa"/>
            </w:tcMar>
            <w:vAlign w:val="center"/>
          </w:tcPr>
          <w:p w14:paraId="2482FC16" w14:textId="77777777" w:rsidR="00354F64" w:rsidRPr="00C82C71" w:rsidRDefault="00000000">
            <w:pPr>
              <w:spacing w:after="0"/>
              <w:jc w:val="center"/>
              <w:rPr>
                <w:rFonts w:cs="Arial"/>
              </w:rPr>
            </w:pPr>
            <w:r w:rsidRPr="00C82C71">
              <w:rPr>
                <w:rFonts w:cs="Arial"/>
                <w:sz w:val="12"/>
              </w:rPr>
              <w:t>0.344</w:t>
            </w:r>
          </w:p>
        </w:tc>
        <w:tc>
          <w:tcPr>
            <w:tcW w:w="1276" w:type="dxa"/>
            <w:shd w:val="clear" w:color="auto" w:fill="F7F8F8"/>
            <w:tcMar>
              <w:top w:w="50" w:type="dxa"/>
              <w:left w:w="65" w:type="dxa"/>
              <w:bottom w:w="50" w:type="dxa"/>
              <w:right w:w="65" w:type="dxa"/>
            </w:tcMar>
            <w:vAlign w:val="center"/>
          </w:tcPr>
          <w:p w14:paraId="500DA2B2" w14:textId="77777777" w:rsidR="00354F64" w:rsidRPr="00C82C71" w:rsidRDefault="00000000">
            <w:pPr>
              <w:spacing w:after="0"/>
              <w:jc w:val="center"/>
              <w:rPr>
                <w:rFonts w:cs="Arial"/>
              </w:rPr>
            </w:pPr>
            <w:r w:rsidRPr="00C82C71">
              <w:rPr>
                <w:rFonts w:cs="Arial"/>
                <w:sz w:val="12"/>
              </w:rPr>
              <w:t>-22.0%</w:t>
            </w:r>
          </w:p>
        </w:tc>
        <w:tc>
          <w:tcPr>
            <w:tcW w:w="1134" w:type="dxa"/>
            <w:shd w:val="clear" w:color="auto" w:fill="F7F8F8"/>
            <w:tcMar>
              <w:top w:w="50" w:type="dxa"/>
              <w:left w:w="65" w:type="dxa"/>
              <w:bottom w:w="50" w:type="dxa"/>
              <w:right w:w="65" w:type="dxa"/>
            </w:tcMar>
            <w:vAlign w:val="center"/>
          </w:tcPr>
          <w:p w14:paraId="3627642D" w14:textId="77777777" w:rsidR="00354F64" w:rsidRPr="00C82C71" w:rsidRDefault="00000000">
            <w:pPr>
              <w:spacing w:after="0"/>
              <w:jc w:val="center"/>
              <w:rPr>
                <w:rFonts w:cs="Arial"/>
              </w:rPr>
            </w:pPr>
            <w:r w:rsidRPr="00C82C71">
              <w:rPr>
                <w:rFonts w:cs="Arial"/>
                <w:sz w:val="12"/>
              </w:rPr>
              <w:t>$1.20</w:t>
            </w:r>
          </w:p>
        </w:tc>
        <w:tc>
          <w:tcPr>
            <w:tcW w:w="1134" w:type="dxa"/>
            <w:shd w:val="clear" w:color="auto" w:fill="F7F8F8"/>
            <w:tcMar>
              <w:top w:w="50" w:type="dxa"/>
              <w:left w:w="65" w:type="dxa"/>
              <w:bottom w:w="50" w:type="dxa"/>
              <w:right w:w="65" w:type="dxa"/>
            </w:tcMar>
            <w:vAlign w:val="center"/>
          </w:tcPr>
          <w:p w14:paraId="203AE033" w14:textId="77777777" w:rsidR="00354F64" w:rsidRPr="00C82C71" w:rsidRDefault="00000000">
            <w:pPr>
              <w:spacing w:after="0"/>
              <w:jc w:val="center"/>
              <w:rPr>
                <w:rFonts w:cs="Arial"/>
              </w:rPr>
            </w:pPr>
            <w:r w:rsidRPr="00C82C71">
              <w:rPr>
                <w:rFonts w:cs="Arial"/>
                <w:sz w:val="12"/>
              </w:rPr>
              <w:t>29.9%</w:t>
            </w:r>
          </w:p>
        </w:tc>
        <w:tc>
          <w:tcPr>
            <w:tcW w:w="1134" w:type="dxa"/>
            <w:shd w:val="clear" w:color="auto" w:fill="F7F8F8"/>
            <w:tcMar>
              <w:top w:w="50" w:type="dxa"/>
              <w:left w:w="65" w:type="dxa"/>
              <w:bottom w:w="50" w:type="dxa"/>
              <w:right w:w="65" w:type="dxa"/>
            </w:tcMar>
            <w:vAlign w:val="center"/>
          </w:tcPr>
          <w:p w14:paraId="0DB7D3CE" w14:textId="77777777" w:rsidR="00354F64" w:rsidRPr="00C82C71" w:rsidRDefault="00000000">
            <w:pPr>
              <w:spacing w:after="0"/>
              <w:jc w:val="center"/>
              <w:rPr>
                <w:rFonts w:cs="Arial"/>
              </w:rPr>
            </w:pPr>
            <w:r w:rsidRPr="00C82C71">
              <w:rPr>
                <w:rFonts w:cs="Arial"/>
                <w:sz w:val="12"/>
              </w:rPr>
              <w:t>0.323</w:t>
            </w:r>
          </w:p>
        </w:tc>
      </w:tr>
      <w:tr w:rsidR="00354F64" w:rsidRPr="00C82C71" w14:paraId="2E498AE5" w14:textId="77777777" w:rsidTr="006B1AAF">
        <w:trPr>
          <w:jc w:val="center"/>
        </w:trPr>
        <w:tc>
          <w:tcPr>
            <w:tcW w:w="2661" w:type="dxa"/>
            <w:tcMar>
              <w:top w:w="50" w:type="dxa"/>
              <w:left w:w="65" w:type="dxa"/>
              <w:bottom w:w="50" w:type="dxa"/>
              <w:right w:w="65" w:type="dxa"/>
            </w:tcMar>
            <w:vAlign w:val="center"/>
          </w:tcPr>
          <w:p w14:paraId="5BB73818" w14:textId="77777777" w:rsidR="00354F64" w:rsidRPr="00C82C71" w:rsidRDefault="00000000">
            <w:pPr>
              <w:spacing w:after="0"/>
              <w:rPr>
                <w:rFonts w:cs="Arial"/>
              </w:rPr>
            </w:pPr>
            <w:r w:rsidRPr="00C82C71">
              <w:rPr>
                <w:rFonts w:cs="Arial"/>
                <w:sz w:val="12"/>
              </w:rPr>
              <w:t>Equity Max Sharpe + Sentiment Tilt (Fin-VADER)</w:t>
            </w:r>
          </w:p>
        </w:tc>
        <w:tc>
          <w:tcPr>
            <w:tcW w:w="1025" w:type="dxa"/>
            <w:tcMar>
              <w:top w:w="50" w:type="dxa"/>
              <w:left w:w="65" w:type="dxa"/>
              <w:bottom w:w="50" w:type="dxa"/>
              <w:right w:w="65" w:type="dxa"/>
            </w:tcMar>
            <w:vAlign w:val="center"/>
          </w:tcPr>
          <w:p w14:paraId="1EEFD6D9" w14:textId="77777777" w:rsidR="00354F64" w:rsidRPr="00C82C71" w:rsidRDefault="00000000">
            <w:pPr>
              <w:spacing w:after="0"/>
              <w:jc w:val="center"/>
              <w:rPr>
                <w:rFonts w:cs="Arial"/>
              </w:rPr>
            </w:pPr>
            <w:r w:rsidRPr="00C82C71">
              <w:rPr>
                <w:rFonts w:cs="Arial"/>
                <w:sz w:val="12"/>
              </w:rPr>
              <w:t>6.1%</w:t>
            </w:r>
          </w:p>
        </w:tc>
        <w:tc>
          <w:tcPr>
            <w:tcW w:w="1276" w:type="dxa"/>
            <w:tcMar>
              <w:top w:w="50" w:type="dxa"/>
              <w:left w:w="65" w:type="dxa"/>
              <w:bottom w:w="50" w:type="dxa"/>
              <w:right w:w="65" w:type="dxa"/>
            </w:tcMar>
            <w:vAlign w:val="center"/>
          </w:tcPr>
          <w:p w14:paraId="72120C69" w14:textId="77777777" w:rsidR="00354F64" w:rsidRPr="00C82C71" w:rsidRDefault="00000000">
            <w:pPr>
              <w:spacing w:after="0"/>
              <w:jc w:val="center"/>
              <w:rPr>
                <w:rFonts w:cs="Arial"/>
              </w:rPr>
            </w:pPr>
            <w:r w:rsidRPr="00C82C71">
              <w:rPr>
                <w:rFonts w:cs="Arial"/>
                <w:sz w:val="12"/>
              </w:rPr>
              <w:t>17.8%</w:t>
            </w:r>
          </w:p>
        </w:tc>
        <w:tc>
          <w:tcPr>
            <w:tcW w:w="1225" w:type="dxa"/>
            <w:tcMar>
              <w:top w:w="50" w:type="dxa"/>
              <w:left w:w="65" w:type="dxa"/>
              <w:bottom w:w="50" w:type="dxa"/>
              <w:right w:w="65" w:type="dxa"/>
            </w:tcMar>
            <w:vAlign w:val="center"/>
          </w:tcPr>
          <w:p w14:paraId="39730038" w14:textId="77777777" w:rsidR="00354F64" w:rsidRPr="00C82C71" w:rsidRDefault="00000000">
            <w:pPr>
              <w:spacing w:after="0"/>
              <w:jc w:val="center"/>
              <w:rPr>
                <w:rFonts w:cs="Arial"/>
              </w:rPr>
            </w:pPr>
            <w:r w:rsidRPr="00C82C71">
              <w:rPr>
                <w:rFonts w:cs="Arial"/>
                <w:sz w:val="12"/>
              </w:rPr>
              <w:t>0.342</w:t>
            </w:r>
          </w:p>
        </w:tc>
        <w:tc>
          <w:tcPr>
            <w:tcW w:w="1276" w:type="dxa"/>
            <w:tcMar>
              <w:top w:w="50" w:type="dxa"/>
              <w:left w:w="65" w:type="dxa"/>
              <w:bottom w:w="50" w:type="dxa"/>
              <w:right w:w="65" w:type="dxa"/>
            </w:tcMar>
            <w:vAlign w:val="center"/>
          </w:tcPr>
          <w:p w14:paraId="0BDC49BA" w14:textId="77777777" w:rsidR="00354F64" w:rsidRPr="00C82C71" w:rsidRDefault="00000000">
            <w:pPr>
              <w:spacing w:after="0"/>
              <w:jc w:val="center"/>
              <w:rPr>
                <w:rFonts w:cs="Arial"/>
              </w:rPr>
            </w:pPr>
            <w:r w:rsidRPr="00C82C71">
              <w:rPr>
                <w:rFonts w:cs="Arial"/>
                <w:sz w:val="12"/>
              </w:rPr>
              <w:t>-21.4%</w:t>
            </w:r>
          </w:p>
        </w:tc>
        <w:tc>
          <w:tcPr>
            <w:tcW w:w="1134" w:type="dxa"/>
            <w:tcMar>
              <w:top w:w="50" w:type="dxa"/>
              <w:left w:w="65" w:type="dxa"/>
              <w:bottom w:w="50" w:type="dxa"/>
              <w:right w:w="65" w:type="dxa"/>
            </w:tcMar>
            <w:vAlign w:val="center"/>
          </w:tcPr>
          <w:p w14:paraId="1D050ED5" w14:textId="77777777" w:rsidR="00354F64" w:rsidRPr="00C82C71" w:rsidRDefault="00000000">
            <w:pPr>
              <w:spacing w:after="0"/>
              <w:jc w:val="center"/>
              <w:rPr>
                <w:rFonts w:cs="Arial"/>
              </w:rPr>
            </w:pPr>
            <w:r w:rsidRPr="00C82C71">
              <w:rPr>
                <w:rFonts w:cs="Arial"/>
                <w:sz w:val="12"/>
              </w:rPr>
              <w:t>$1.19</w:t>
            </w:r>
          </w:p>
        </w:tc>
        <w:tc>
          <w:tcPr>
            <w:tcW w:w="1134" w:type="dxa"/>
            <w:tcMar>
              <w:top w:w="50" w:type="dxa"/>
              <w:left w:w="65" w:type="dxa"/>
              <w:bottom w:w="50" w:type="dxa"/>
              <w:right w:w="65" w:type="dxa"/>
            </w:tcMar>
            <w:vAlign w:val="center"/>
          </w:tcPr>
          <w:p w14:paraId="6616C5F0" w14:textId="77777777" w:rsidR="00354F64" w:rsidRPr="00C82C71" w:rsidRDefault="00000000">
            <w:pPr>
              <w:spacing w:after="0"/>
              <w:jc w:val="center"/>
              <w:rPr>
                <w:rFonts w:cs="Arial"/>
              </w:rPr>
            </w:pPr>
            <w:r w:rsidRPr="00C82C71">
              <w:rPr>
                <w:rFonts w:cs="Arial"/>
                <w:sz w:val="12"/>
              </w:rPr>
              <w:t>30.0%</w:t>
            </w:r>
          </w:p>
        </w:tc>
        <w:tc>
          <w:tcPr>
            <w:tcW w:w="1134" w:type="dxa"/>
            <w:tcMar>
              <w:top w:w="50" w:type="dxa"/>
              <w:left w:w="65" w:type="dxa"/>
              <w:bottom w:w="50" w:type="dxa"/>
              <w:right w:w="65" w:type="dxa"/>
            </w:tcMar>
            <w:vAlign w:val="center"/>
          </w:tcPr>
          <w:p w14:paraId="12B469BF" w14:textId="77777777" w:rsidR="00354F64" w:rsidRPr="00C82C71" w:rsidRDefault="00000000">
            <w:pPr>
              <w:spacing w:after="0"/>
              <w:jc w:val="center"/>
              <w:rPr>
                <w:rFonts w:cs="Arial"/>
              </w:rPr>
            </w:pPr>
            <w:r w:rsidRPr="00C82C71">
              <w:rPr>
                <w:rFonts w:cs="Arial"/>
                <w:sz w:val="12"/>
              </w:rPr>
              <w:t>0.320</w:t>
            </w:r>
          </w:p>
        </w:tc>
      </w:tr>
    </w:tbl>
    <w:p w14:paraId="56624A1B" w14:textId="77777777" w:rsidR="00354F64" w:rsidRPr="00C82C71" w:rsidRDefault="00354F64">
      <w:pPr>
        <w:spacing w:after="20"/>
        <w:rPr>
          <w:rFonts w:cs="Arial"/>
        </w:rPr>
      </w:pPr>
    </w:p>
    <w:p w14:paraId="13C1E2A0" w14:textId="77777777" w:rsidR="00354F64" w:rsidRPr="00C82C71" w:rsidRDefault="00000000">
      <w:pPr>
        <w:pStyle w:val="FigureCaption"/>
        <w:jc w:val="center"/>
        <w:rPr>
          <w:rFonts w:cs="Arial"/>
        </w:rPr>
      </w:pPr>
      <w:r w:rsidRPr="00C82C71">
        <w:rPr>
          <w:rFonts w:cs="Arial"/>
        </w:rPr>
        <w:t>Table 1. Fact-sheet performance metrics for all 17 funds. Equity and combined funds: OOS 2021-01-04 to 2023-12-29, annualisation x252. Crypto-only funds: OOS 2021-01-01 to 2023-12-31, annualisation x365. rf = 0. Net Sharpe uses 10 bps x turnover.</w:t>
      </w:r>
    </w:p>
    <w:p w14:paraId="03FF3AE5" w14:textId="77777777" w:rsidR="00060247" w:rsidRDefault="00060247" w:rsidP="00060247">
      <w:pPr>
        <w:rPr>
          <w:rFonts w:cs="Arial"/>
        </w:rPr>
      </w:pPr>
      <w:r w:rsidRPr="00C82C71">
        <w:rPr>
          <w:rFonts w:cs="Arial"/>
          <w:noProof/>
        </w:rPr>
        <w:drawing>
          <wp:anchor distT="0" distB="0" distL="114300" distR="114300" simplePos="0" relativeHeight="251658240" behindDoc="1" locked="0" layoutInCell="1" allowOverlap="1" wp14:anchorId="43C62166" wp14:editId="77765054">
            <wp:simplePos x="0" y="0"/>
            <wp:positionH relativeFrom="column">
              <wp:posOffset>1007745</wp:posOffset>
            </wp:positionH>
            <wp:positionV relativeFrom="paragraph">
              <wp:posOffset>95885</wp:posOffset>
            </wp:positionV>
            <wp:extent cx="4368800" cy="2268855"/>
            <wp:effectExtent l="0" t="0" r="0" b="4445"/>
            <wp:wrapTight wrapText="bothSides">
              <wp:wrapPolygon edited="0">
                <wp:start x="0" y="0"/>
                <wp:lineTo x="0" y="21521"/>
                <wp:lineTo x="21537" y="21521"/>
                <wp:lineTo x="21537"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_of_1_combined.png"/>
                    <pic:cNvPicPr/>
                  </pic:nvPicPr>
                  <pic:blipFill>
                    <a:blip r:embed="rId8"/>
                    <a:stretch>
                      <a:fillRect/>
                    </a:stretch>
                  </pic:blipFill>
                  <pic:spPr>
                    <a:xfrm>
                      <a:off x="0" y="0"/>
                      <a:ext cx="4368800" cy="2268855"/>
                    </a:xfrm>
                    <a:prstGeom prst="rect">
                      <a:avLst/>
                    </a:prstGeom>
                  </pic:spPr>
                </pic:pic>
              </a:graphicData>
            </a:graphic>
            <wp14:sizeRelH relativeFrom="page">
              <wp14:pctWidth>0</wp14:pctWidth>
            </wp14:sizeRelH>
            <wp14:sizeRelV relativeFrom="page">
              <wp14:pctHeight>0</wp14:pctHeight>
            </wp14:sizeRelV>
          </wp:anchor>
        </w:drawing>
      </w:r>
    </w:p>
    <w:p w14:paraId="4AF5A7B8" w14:textId="77777777" w:rsidR="00060247" w:rsidRDefault="00060247" w:rsidP="00060247">
      <w:pPr>
        <w:rPr>
          <w:rFonts w:cs="Arial"/>
        </w:rPr>
      </w:pPr>
    </w:p>
    <w:p w14:paraId="48402F4C" w14:textId="77777777" w:rsidR="00060247" w:rsidRDefault="00060247" w:rsidP="00060247">
      <w:pPr>
        <w:rPr>
          <w:rFonts w:cs="Arial"/>
        </w:rPr>
      </w:pPr>
    </w:p>
    <w:p w14:paraId="3CFD7BD3" w14:textId="77777777" w:rsidR="00060247" w:rsidRDefault="00060247" w:rsidP="00060247">
      <w:pPr>
        <w:rPr>
          <w:rFonts w:cs="Arial"/>
        </w:rPr>
      </w:pPr>
    </w:p>
    <w:p w14:paraId="60421A90" w14:textId="77777777" w:rsidR="00060247" w:rsidRDefault="00060247" w:rsidP="00060247">
      <w:pPr>
        <w:rPr>
          <w:rFonts w:cs="Arial"/>
        </w:rPr>
      </w:pPr>
    </w:p>
    <w:p w14:paraId="5E67D724" w14:textId="77777777" w:rsidR="00060247" w:rsidRDefault="00060247" w:rsidP="00060247">
      <w:pPr>
        <w:rPr>
          <w:rFonts w:cs="Arial"/>
        </w:rPr>
      </w:pPr>
    </w:p>
    <w:p w14:paraId="5D54E3D8" w14:textId="77777777" w:rsidR="00060247" w:rsidRDefault="00060247" w:rsidP="00060247">
      <w:pPr>
        <w:rPr>
          <w:rFonts w:cs="Arial"/>
        </w:rPr>
      </w:pPr>
    </w:p>
    <w:p w14:paraId="04CD9070" w14:textId="77777777" w:rsidR="00060247" w:rsidRDefault="00060247" w:rsidP="00060247">
      <w:pPr>
        <w:rPr>
          <w:rFonts w:cs="Arial"/>
        </w:rPr>
      </w:pPr>
    </w:p>
    <w:p w14:paraId="4FC46376" w14:textId="77777777" w:rsidR="00060247" w:rsidRDefault="00060247" w:rsidP="00060247">
      <w:pPr>
        <w:rPr>
          <w:rFonts w:cs="Arial"/>
        </w:rPr>
      </w:pPr>
    </w:p>
    <w:p w14:paraId="799E0A14" w14:textId="77777777" w:rsidR="00060247" w:rsidRDefault="00060247" w:rsidP="00060247">
      <w:pPr>
        <w:rPr>
          <w:rFonts w:cs="Arial"/>
        </w:rPr>
      </w:pPr>
    </w:p>
    <w:p w14:paraId="6CC5326E" w14:textId="77777777" w:rsidR="00060247" w:rsidRDefault="00060247" w:rsidP="00060247">
      <w:pPr>
        <w:rPr>
          <w:rFonts w:cs="Arial"/>
        </w:rPr>
      </w:pPr>
    </w:p>
    <w:p w14:paraId="1CE46DFB" w14:textId="77777777" w:rsidR="00060247" w:rsidRDefault="00060247" w:rsidP="00060247">
      <w:pPr>
        <w:rPr>
          <w:rFonts w:cs="Arial"/>
        </w:rPr>
      </w:pPr>
    </w:p>
    <w:p w14:paraId="16129AD7" w14:textId="13ADE520" w:rsidR="00354F64" w:rsidRPr="00C82C71" w:rsidRDefault="00000000" w:rsidP="00060247">
      <w:pPr>
        <w:rPr>
          <w:rFonts w:cs="Arial"/>
        </w:rPr>
      </w:pPr>
      <w:r w:rsidRPr="00C82C71">
        <w:rPr>
          <w:rFonts w:cs="Arial"/>
          <w:i/>
          <w:color w:val="64748B"/>
          <w:sz w:val="15"/>
        </w:rPr>
        <w:t>Figure 1. Growth of $1 for the combined equity+crypto family under five allocation methods. Units: USD value of $1 invested; OOS 2021-01-04 to 2023-12-29.</w:t>
      </w:r>
    </w:p>
    <w:p w14:paraId="24EF07DB" w14:textId="1CEF439A" w:rsidR="006B1AAF" w:rsidRPr="00C82C71" w:rsidRDefault="00060247">
      <w:pPr>
        <w:pStyle w:val="FigureCaption"/>
        <w:jc w:val="center"/>
        <w:rPr>
          <w:rFonts w:cs="Arial"/>
        </w:rPr>
      </w:pPr>
      <w:r w:rsidRPr="00C82C71">
        <w:rPr>
          <w:rFonts w:cs="Arial"/>
          <w:noProof/>
        </w:rPr>
        <w:lastRenderedPageBreak/>
        <w:drawing>
          <wp:anchor distT="0" distB="0" distL="114300" distR="114300" simplePos="0" relativeHeight="251659264" behindDoc="1" locked="0" layoutInCell="1" allowOverlap="1" wp14:anchorId="538BFE43" wp14:editId="7B70087E">
            <wp:simplePos x="0" y="0"/>
            <wp:positionH relativeFrom="column">
              <wp:posOffset>1058545</wp:posOffset>
            </wp:positionH>
            <wp:positionV relativeFrom="paragraph">
              <wp:posOffset>177800</wp:posOffset>
            </wp:positionV>
            <wp:extent cx="4318000" cy="2242820"/>
            <wp:effectExtent l="0" t="0" r="0" b="5080"/>
            <wp:wrapTight wrapText="bothSides">
              <wp:wrapPolygon edited="0">
                <wp:start x="0" y="0"/>
                <wp:lineTo x="0" y="21527"/>
                <wp:lineTo x="21536" y="21527"/>
                <wp:lineTo x="2153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_of_1_families.png"/>
                    <pic:cNvPicPr/>
                  </pic:nvPicPr>
                  <pic:blipFill>
                    <a:blip r:embed="rId9"/>
                    <a:stretch>
                      <a:fillRect/>
                    </a:stretch>
                  </pic:blipFill>
                  <pic:spPr>
                    <a:xfrm>
                      <a:off x="0" y="0"/>
                      <a:ext cx="4318000" cy="2242820"/>
                    </a:xfrm>
                    <a:prstGeom prst="rect">
                      <a:avLst/>
                    </a:prstGeom>
                  </pic:spPr>
                </pic:pic>
              </a:graphicData>
            </a:graphic>
            <wp14:sizeRelH relativeFrom="page">
              <wp14:pctWidth>0</wp14:pctWidth>
            </wp14:sizeRelH>
            <wp14:sizeRelV relativeFrom="page">
              <wp14:pctHeight>0</wp14:pctHeight>
            </wp14:sizeRelV>
          </wp:anchor>
        </w:drawing>
      </w:r>
    </w:p>
    <w:p w14:paraId="62CAF40F" w14:textId="3CC2EC47" w:rsidR="00354F64" w:rsidRPr="00C82C71" w:rsidRDefault="00354F64">
      <w:pPr>
        <w:spacing w:after="20"/>
        <w:jc w:val="center"/>
        <w:rPr>
          <w:rFonts w:cs="Arial"/>
        </w:rPr>
      </w:pPr>
    </w:p>
    <w:p w14:paraId="4978B416" w14:textId="77777777" w:rsidR="00060247" w:rsidRDefault="00060247">
      <w:pPr>
        <w:pStyle w:val="FigureCaption"/>
        <w:jc w:val="center"/>
        <w:rPr>
          <w:rFonts w:cs="Arial"/>
        </w:rPr>
      </w:pPr>
    </w:p>
    <w:p w14:paraId="70E08324" w14:textId="77777777" w:rsidR="00060247" w:rsidRDefault="00060247">
      <w:pPr>
        <w:pStyle w:val="FigureCaption"/>
        <w:jc w:val="center"/>
        <w:rPr>
          <w:rFonts w:cs="Arial"/>
        </w:rPr>
      </w:pPr>
    </w:p>
    <w:p w14:paraId="45D13539" w14:textId="77777777" w:rsidR="00060247" w:rsidRDefault="00060247">
      <w:pPr>
        <w:pStyle w:val="FigureCaption"/>
        <w:jc w:val="center"/>
        <w:rPr>
          <w:rFonts w:cs="Arial"/>
        </w:rPr>
      </w:pPr>
    </w:p>
    <w:p w14:paraId="6D6251B4" w14:textId="77777777" w:rsidR="00060247" w:rsidRDefault="00060247">
      <w:pPr>
        <w:pStyle w:val="FigureCaption"/>
        <w:jc w:val="center"/>
        <w:rPr>
          <w:rFonts w:cs="Arial"/>
        </w:rPr>
      </w:pPr>
    </w:p>
    <w:p w14:paraId="4D27F7C7" w14:textId="77777777" w:rsidR="00060247" w:rsidRDefault="00060247">
      <w:pPr>
        <w:pStyle w:val="FigureCaption"/>
        <w:jc w:val="center"/>
        <w:rPr>
          <w:rFonts w:cs="Arial"/>
        </w:rPr>
      </w:pPr>
    </w:p>
    <w:p w14:paraId="2E9F8BF9" w14:textId="77777777" w:rsidR="00060247" w:rsidRDefault="00060247">
      <w:pPr>
        <w:pStyle w:val="FigureCaption"/>
        <w:jc w:val="center"/>
        <w:rPr>
          <w:rFonts w:cs="Arial"/>
        </w:rPr>
      </w:pPr>
    </w:p>
    <w:p w14:paraId="0562BD76" w14:textId="77777777" w:rsidR="00060247" w:rsidRDefault="00060247">
      <w:pPr>
        <w:pStyle w:val="FigureCaption"/>
        <w:jc w:val="center"/>
        <w:rPr>
          <w:rFonts w:cs="Arial"/>
        </w:rPr>
      </w:pPr>
    </w:p>
    <w:p w14:paraId="1BEFB2EF" w14:textId="77777777" w:rsidR="00060247" w:rsidRDefault="00060247">
      <w:pPr>
        <w:pStyle w:val="FigureCaption"/>
        <w:jc w:val="center"/>
        <w:rPr>
          <w:rFonts w:cs="Arial"/>
        </w:rPr>
      </w:pPr>
    </w:p>
    <w:p w14:paraId="666269CF" w14:textId="77777777" w:rsidR="00060247" w:rsidRDefault="00060247">
      <w:pPr>
        <w:pStyle w:val="FigureCaption"/>
        <w:jc w:val="center"/>
        <w:rPr>
          <w:rFonts w:cs="Arial"/>
        </w:rPr>
      </w:pPr>
    </w:p>
    <w:p w14:paraId="6411C98E" w14:textId="77777777" w:rsidR="00060247" w:rsidRDefault="00060247">
      <w:pPr>
        <w:pStyle w:val="FigureCaption"/>
        <w:jc w:val="center"/>
        <w:rPr>
          <w:rFonts w:cs="Arial"/>
        </w:rPr>
      </w:pPr>
    </w:p>
    <w:p w14:paraId="33D5DD79" w14:textId="77777777" w:rsidR="00060247" w:rsidRDefault="00060247">
      <w:pPr>
        <w:pStyle w:val="FigureCaption"/>
        <w:jc w:val="center"/>
        <w:rPr>
          <w:rFonts w:cs="Arial"/>
        </w:rPr>
      </w:pPr>
    </w:p>
    <w:p w14:paraId="0A09C90B" w14:textId="77777777" w:rsidR="00060247" w:rsidRDefault="00060247">
      <w:pPr>
        <w:pStyle w:val="FigureCaption"/>
        <w:jc w:val="center"/>
        <w:rPr>
          <w:rFonts w:cs="Arial"/>
        </w:rPr>
      </w:pPr>
    </w:p>
    <w:p w14:paraId="1F01C801" w14:textId="2E9E4D57" w:rsidR="00354F64" w:rsidRPr="00C82C71" w:rsidRDefault="00000000">
      <w:pPr>
        <w:pStyle w:val="FigureCaption"/>
        <w:jc w:val="center"/>
        <w:rPr>
          <w:rFonts w:cs="Arial"/>
        </w:rPr>
      </w:pPr>
      <w:r w:rsidRPr="00C82C71">
        <w:rPr>
          <w:rFonts w:cs="Arial"/>
        </w:rPr>
        <w:t>Figure 2. Growth of $1 for Maximum-Sharpe funds by asset family. Units: USD value of $1 invested; equity/combined OOS 2021-01-04 to 2023-12-29, crypto-only OOS 2021-01-01 to 2023-12-31.</w:t>
      </w:r>
    </w:p>
    <w:p w14:paraId="63D7A5AD" w14:textId="77777777" w:rsidR="00060247" w:rsidRDefault="00060247" w:rsidP="00060247">
      <w:pPr>
        <w:rPr>
          <w:rFonts w:cs="Arial"/>
        </w:rPr>
      </w:pPr>
      <w:r w:rsidRPr="00C82C71">
        <w:rPr>
          <w:rFonts w:cs="Arial"/>
          <w:noProof/>
        </w:rPr>
        <w:drawing>
          <wp:anchor distT="0" distB="0" distL="114300" distR="114300" simplePos="0" relativeHeight="251660288" behindDoc="1" locked="0" layoutInCell="1" allowOverlap="1" wp14:anchorId="50F7327D" wp14:editId="0E4D14F1">
            <wp:simplePos x="0" y="0"/>
            <wp:positionH relativeFrom="column">
              <wp:posOffset>337185</wp:posOffset>
            </wp:positionH>
            <wp:positionV relativeFrom="paragraph">
              <wp:posOffset>114300</wp:posOffset>
            </wp:positionV>
            <wp:extent cx="5760720" cy="2409596"/>
            <wp:effectExtent l="0" t="0" r="5080" b="3810"/>
            <wp:wrapTight wrapText="bothSides">
              <wp:wrapPolygon edited="0">
                <wp:start x="0" y="0"/>
                <wp:lineTo x="0" y="21520"/>
                <wp:lineTo x="21571" y="21520"/>
                <wp:lineTo x="2157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combined_max_sharpe.png"/>
                    <pic:cNvPicPr/>
                  </pic:nvPicPr>
                  <pic:blipFill>
                    <a:blip r:embed="rId10"/>
                    <a:stretch>
                      <a:fillRect/>
                    </a:stretch>
                  </pic:blipFill>
                  <pic:spPr>
                    <a:xfrm>
                      <a:off x="0" y="0"/>
                      <a:ext cx="5760720" cy="2409596"/>
                    </a:xfrm>
                    <a:prstGeom prst="rect">
                      <a:avLst/>
                    </a:prstGeom>
                  </pic:spPr>
                </pic:pic>
              </a:graphicData>
            </a:graphic>
            <wp14:sizeRelH relativeFrom="page">
              <wp14:pctWidth>0</wp14:pctWidth>
            </wp14:sizeRelH>
            <wp14:sizeRelV relativeFrom="page">
              <wp14:pctHeight>0</wp14:pctHeight>
            </wp14:sizeRelV>
          </wp:anchor>
        </w:drawing>
      </w:r>
    </w:p>
    <w:p w14:paraId="6FB9B5FA" w14:textId="77777777" w:rsidR="00060247" w:rsidRDefault="00060247" w:rsidP="00060247">
      <w:pPr>
        <w:rPr>
          <w:rFonts w:cs="Arial"/>
        </w:rPr>
      </w:pPr>
    </w:p>
    <w:p w14:paraId="53D42585" w14:textId="77777777" w:rsidR="00060247" w:rsidRDefault="00060247" w:rsidP="00060247">
      <w:pPr>
        <w:rPr>
          <w:rFonts w:cs="Arial"/>
        </w:rPr>
      </w:pPr>
    </w:p>
    <w:p w14:paraId="20B68B0B" w14:textId="0C1A9359" w:rsidR="00354F64" w:rsidRPr="00C82C71" w:rsidRDefault="00000000" w:rsidP="00060247">
      <w:pPr>
        <w:rPr>
          <w:rFonts w:cs="Arial"/>
        </w:rPr>
      </w:pPr>
      <w:r w:rsidRPr="00C82C71">
        <w:rPr>
          <w:rFonts w:cs="Arial"/>
          <w:i/>
          <w:color w:val="64748B"/>
          <w:sz w:val="15"/>
        </w:rPr>
        <w:t>Figure 3. Drawdown from the prior wealth peak for Combined Maximum Sharpe. Units: percentage below prior peak; OOS 2021-01-04 to 2023-12-29.</w:t>
      </w:r>
    </w:p>
    <w:p w14:paraId="72BBDAEC" w14:textId="7293875C" w:rsidR="006B1AAF" w:rsidRPr="00C82C71" w:rsidRDefault="008474F2">
      <w:pPr>
        <w:pStyle w:val="FigureCaption"/>
        <w:jc w:val="center"/>
        <w:rPr>
          <w:rFonts w:cs="Arial"/>
        </w:rPr>
      </w:pPr>
      <w:r w:rsidRPr="00C82C71">
        <w:rPr>
          <w:rFonts w:cs="Arial"/>
          <w:noProof/>
        </w:rPr>
        <w:drawing>
          <wp:anchor distT="0" distB="0" distL="114300" distR="114300" simplePos="0" relativeHeight="251662336" behindDoc="1" locked="0" layoutInCell="1" allowOverlap="1" wp14:anchorId="08A1C9EA" wp14:editId="01C2AAF8">
            <wp:simplePos x="0" y="0"/>
            <wp:positionH relativeFrom="column">
              <wp:posOffset>845185</wp:posOffset>
            </wp:positionH>
            <wp:positionV relativeFrom="paragraph">
              <wp:posOffset>82550</wp:posOffset>
            </wp:positionV>
            <wp:extent cx="4622800" cy="2870200"/>
            <wp:effectExtent l="0" t="0" r="0" b="0"/>
            <wp:wrapTight wrapText="bothSides">
              <wp:wrapPolygon edited="0">
                <wp:start x="0" y="0"/>
                <wp:lineTo x="0" y="21504"/>
                <wp:lineTo x="21541" y="21504"/>
                <wp:lineTo x="2154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over_time_combined_max_sharpe.png"/>
                    <pic:cNvPicPr/>
                  </pic:nvPicPr>
                  <pic:blipFill>
                    <a:blip r:embed="rId11"/>
                    <a:stretch>
                      <a:fillRect/>
                    </a:stretch>
                  </pic:blipFill>
                  <pic:spPr>
                    <a:xfrm>
                      <a:off x="0" y="0"/>
                      <a:ext cx="4622800" cy="2870200"/>
                    </a:xfrm>
                    <a:prstGeom prst="rect">
                      <a:avLst/>
                    </a:prstGeom>
                  </pic:spPr>
                </pic:pic>
              </a:graphicData>
            </a:graphic>
            <wp14:sizeRelH relativeFrom="page">
              <wp14:pctWidth>0</wp14:pctWidth>
            </wp14:sizeRelH>
            <wp14:sizeRelV relativeFrom="page">
              <wp14:pctHeight>0</wp14:pctHeight>
            </wp14:sizeRelV>
          </wp:anchor>
        </w:drawing>
      </w:r>
    </w:p>
    <w:p w14:paraId="1600EBE2" w14:textId="511BFDDC" w:rsidR="00354F64" w:rsidRPr="00C82C71" w:rsidRDefault="00354F64">
      <w:pPr>
        <w:spacing w:after="20"/>
        <w:jc w:val="center"/>
        <w:rPr>
          <w:rFonts w:cs="Arial"/>
        </w:rPr>
      </w:pPr>
    </w:p>
    <w:p w14:paraId="55874526" w14:textId="77777777" w:rsidR="008474F2" w:rsidRDefault="008474F2" w:rsidP="008474F2">
      <w:pPr>
        <w:pStyle w:val="FigureCaption"/>
        <w:jc w:val="center"/>
        <w:rPr>
          <w:rFonts w:cs="Arial"/>
        </w:rPr>
      </w:pPr>
    </w:p>
    <w:p w14:paraId="321A5292" w14:textId="77777777" w:rsidR="008474F2" w:rsidRDefault="008474F2" w:rsidP="008474F2">
      <w:pPr>
        <w:pStyle w:val="FigureCaption"/>
        <w:jc w:val="center"/>
        <w:rPr>
          <w:rFonts w:cs="Arial"/>
        </w:rPr>
      </w:pPr>
    </w:p>
    <w:p w14:paraId="10746ABC" w14:textId="77777777" w:rsidR="008474F2" w:rsidRDefault="008474F2" w:rsidP="008474F2">
      <w:pPr>
        <w:pStyle w:val="FigureCaption"/>
        <w:jc w:val="center"/>
        <w:rPr>
          <w:rFonts w:cs="Arial"/>
        </w:rPr>
      </w:pPr>
    </w:p>
    <w:p w14:paraId="7E14571B" w14:textId="77777777" w:rsidR="008474F2" w:rsidRDefault="008474F2" w:rsidP="008474F2">
      <w:pPr>
        <w:pStyle w:val="FigureCaption"/>
        <w:jc w:val="center"/>
        <w:rPr>
          <w:rFonts w:cs="Arial"/>
        </w:rPr>
      </w:pPr>
    </w:p>
    <w:p w14:paraId="63BB49F1" w14:textId="77777777" w:rsidR="008474F2" w:rsidRDefault="008474F2" w:rsidP="008474F2">
      <w:pPr>
        <w:pStyle w:val="FigureCaption"/>
        <w:jc w:val="center"/>
        <w:rPr>
          <w:rFonts w:cs="Arial"/>
        </w:rPr>
      </w:pPr>
    </w:p>
    <w:p w14:paraId="4B66CFA7" w14:textId="77777777" w:rsidR="008474F2" w:rsidRDefault="008474F2" w:rsidP="008474F2">
      <w:pPr>
        <w:pStyle w:val="FigureCaption"/>
        <w:jc w:val="center"/>
        <w:rPr>
          <w:rFonts w:cs="Arial"/>
        </w:rPr>
      </w:pPr>
    </w:p>
    <w:p w14:paraId="24F2D9C7" w14:textId="77777777" w:rsidR="008474F2" w:rsidRDefault="008474F2" w:rsidP="008474F2">
      <w:pPr>
        <w:pStyle w:val="FigureCaption"/>
        <w:jc w:val="center"/>
        <w:rPr>
          <w:rFonts w:cs="Arial"/>
        </w:rPr>
      </w:pPr>
    </w:p>
    <w:p w14:paraId="7EE57618" w14:textId="77777777" w:rsidR="008474F2" w:rsidRDefault="008474F2" w:rsidP="008474F2">
      <w:pPr>
        <w:pStyle w:val="FigureCaption"/>
        <w:jc w:val="center"/>
        <w:rPr>
          <w:rFonts w:cs="Arial"/>
        </w:rPr>
      </w:pPr>
    </w:p>
    <w:p w14:paraId="7B934787" w14:textId="77777777" w:rsidR="008474F2" w:rsidRDefault="008474F2" w:rsidP="008474F2">
      <w:pPr>
        <w:pStyle w:val="FigureCaption"/>
        <w:jc w:val="center"/>
        <w:rPr>
          <w:rFonts w:cs="Arial"/>
        </w:rPr>
      </w:pPr>
    </w:p>
    <w:p w14:paraId="2148C16E" w14:textId="77777777" w:rsidR="008474F2" w:rsidRDefault="008474F2" w:rsidP="008474F2">
      <w:pPr>
        <w:pStyle w:val="FigureCaption"/>
        <w:jc w:val="center"/>
        <w:rPr>
          <w:rFonts w:cs="Arial"/>
        </w:rPr>
      </w:pPr>
    </w:p>
    <w:p w14:paraId="23B83A8E" w14:textId="77777777" w:rsidR="008474F2" w:rsidRDefault="008474F2" w:rsidP="008474F2">
      <w:pPr>
        <w:pStyle w:val="FigureCaption"/>
        <w:jc w:val="center"/>
        <w:rPr>
          <w:rFonts w:cs="Arial"/>
        </w:rPr>
      </w:pPr>
    </w:p>
    <w:p w14:paraId="5B457540" w14:textId="77777777" w:rsidR="008474F2" w:rsidRDefault="008474F2" w:rsidP="008474F2">
      <w:pPr>
        <w:pStyle w:val="FigureCaption"/>
        <w:jc w:val="center"/>
        <w:rPr>
          <w:rFonts w:cs="Arial"/>
        </w:rPr>
      </w:pPr>
    </w:p>
    <w:p w14:paraId="077079C9" w14:textId="77777777" w:rsidR="008474F2" w:rsidRDefault="008474F2" w:rsidP="008474F2">
      <w:pPr>
        <w:pStyle w:val="FigureCaption"/>
        <w:jc w:val="center"/>
        <w:rPr>
          <w:rFonts w:cs="Arial"/>
        </w:rPr>
      </w:pPr>
    </w:p>
    <w:p w14:paraId="7A227FF7" w14:textId="77777777" w:rsidR="008474F2" w:rsidRDefault="008474F2" w:rsidP="008474F2">
      <w:pPr>
        <w:pStyle w:val="FigureCaption"/>
        <w:jc w:val="center"/>
        <w:rPr>
          <w:rFonts w:cs="Arial"/>
        </w:rPr>
      </w:pPr>
    </w:p>
    <w:p w14:paraId="040B99F8" w14:textId="77777777" w:rsidR="008474F2" w:rsidRDefault="008474F2" w:rsidP="008474F2">
      <w:pPr>
        <w:pStyle w:val="FigureCaption"/>
        <w:jc w:val="center"/>
        <w:rPr>
          <w:rFonts w:cs="Arial"/>
        </w:rPr>
      </w:pPr>
    </w:p>
    <w:p w14:paraId="5E4B3906" w14:textId="523697E9" w:rsidR="008474F2" w:rsidRDefault="00000000" w:rsidP="008474F2">
      <w:pPr>
        <w:pStyle w:val="FigureCaption"/>
        <w:rPr>
          <w:rFonts w:cs="Arial"/>
        </w:rPr>
      </w:pPr>
      <w:r w:rsidRPr="00C82C71">
        <w:rPr>
          <w:rFonts w:cs="Arial"/>
        </w:rPr>
        <w:t>Figure 4. Target weights at monthly rebalances for Combined Maximum Sharpe. Units: share of fund; explicit 20% per-asset cap; OOS rebalances 2021-01-04 to 2023-12-01.</w:t>
      </w:r>
    </w:p>
    <w:p w14:paraId="16F56159" w14:textId="5B35BC52" w:rsidR="008474F2" w:rsidRDefault="008474F2" w:rsidP="008474F2">
      <w:pPr>
        <w:pStyle w:val="FigureCaption"/>
        <w:jc w:val="center"/>
        <w:rPr>
          <w:rFonts w:cs="Arial"/>
        </w:rPr>
      </w:pPr>
    </w:p>
    <w:p w14:paraId="603479BF" w14:textId="10B30395" w:rsidR="008474F2" w:rsidRDefault="008474F2" w:rsidP="008474F2">
      <w:pPr>
        <w:pStyle w:val="FigureCaption"/>
        <w:jc w:val="center"/>
        <w:rPr>
          <w:rFonts w:cs="Arial"/>
        </w:rPr>
      </w:pPr>
      <w:r w:rsidRPr="00C82C71">
        <w:rPr>
          <w:rFonts w:cs="Arial"/>
          <w:noProof/>
        </w:rPr>
        <w:lastRenderedPageBreak/>
        <w:drawing>
          <wp:anchor distT="0" distB="0" distL="114300" distR="114300" simplePos="0" relativeHeight="251661312" behindDoc="1" locked="0" layoutInCell="1" allowOverlap="1" wp14:anchorId="46E63B32" wp14:editId="0AFDB9DE">
            <wp:simplePos x="0" y="0"/>
            <wp:positionH relativeFrom="column">
              <wp:posOffset>835025</wp:posOffset>
            </wp:positionH>
            <wp:positionV relativeFrom="paragraph">
              <wp:posOffset>-140335</wp:posOffset>
            </wp:positionV>
            <wp:extent cx="4897120" cy="2594610"/>
            <wp:effectExtent l="0" t="0" r="5080" b="0"/>
            <wp:wrapTight wrapText="bothSides">
              <wp:wrapPolygon edited="0">
                <wp:start x="0" y="0"/>
                <wp:lineTo x="0" y="21463"/>
                <wp:lineTo x="21566" y="21463"/>
                <wp:lineTo x="21566" y="0"/>
                <wp:lineTo x="0" y="0"/>
              </wp:wrapPolygon>
            </wp:wrapTight>
            <wp:docPr id="5" name="Picture 5"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aph of a graph of a graph&#10;&#10;AI-generated content may be incorrect."/>
                    <pic:cNvPicPr/>
                  </pic:nvPicPr>
                  <pic:blipFill>
                    <a:blip r:embed="rId12"/>
                    <a:stretch>
                      <a:fillRect/>
                    </a:stretch>
                  </pic:blipFill>
                  <pic:spPr>
                    <a:xfrm>
                      <a:off x="0" y="0"/>
                      <a:ext cx="4897120" cy="2594610"/>
                    </a:xfrm>
                    <a:prstGeom prst="rect">
                      <a:avLst/>
                    </a:prstGeom>
                  </pic:spPr>
                </pic:pic>
              </a:graphicData>
            </a:graphic>
            <wp14:sizeRelH relativeFrom="page">
              <wp14:pctWidth>0</wp14:pctWidth>
            </wp14:sizeRelH>
            <wp14:sizeRelV relativeFrom="page">
              <wp14:pctHeight>0</wp14:pctHeight>
            </wp14:sizeRelV>
          </wp:anchor>
        </w:drawing>
      </w:r>
    </w:p>
    <w:p w14:paraId="32F44715" w14:textId="5BC09A21" w:rsidR="008474F2" w:rsidRDefault="008474F2" w:rsidP="008474F2">
      <w:pPr>
        <w:pStyle w:val="FigureCaption"/>
        <w:jc w:val="center"/>
        <w:rPr>
          <w:rFonts w:cs="Arial"/>
        </w:rPr>
      </w:pPr>
    </w:p>
    <w:p w14:paraId="5E5EB4A6" w14:textId="5E44CE81" w:rsidR="008474F2" w:rsidRDefault="008474F2" w:rsidP="008474F2">
      <w:pPr>
        <w:pStyle w:val="FigureCaption"/>
        <w:jc w:val="center"/>
        <w:rPr>
          <w:rFonts w:cs="Arial"/>
        </w:rPr>
      </w:pPr>
    </w:p>
    <w:p w14:paraId="61181DCF" w14:textId="77777777" w:rsidR="008474F2" w:rsidRDefault="008474F2" w:rsidP="008474F2">
      <w:pPr>
        <w:pStyle w:val="FigureCaption"/>
        <w:jc w:val="center"/>
        <w:rPr>
          <w:rFonts w:cs="Arial"/>
        </w:rPr>
      </w:pPr>
    </w:p>
    <w:p w14:paraId="2CCE7282" w14:textId="77777777" w:rsidR="008474F2" w:rsidRDefault="008474F2" w:rsidP="008474F2">
      <w:pPr>
        <w:pStyle w:val="FigureCaption"/>
        <w:jc w:val="center"/>
        <w:rPr>
          <w:rFonts w:cs="Arial"/>
        </w:rPr>
      </w:pPr>
    </w:p>
    <w:p w14:paraId="674F10A0" w14:textId="77777777" w:rsidR="008474F2" w:rsidRDefault="008474F2" w:rsidP="008474F2">
      <w:pPr>
        <w:pStyle w:val="FigureCaption"/>
        <w:jc w:val="center"/>
        <w:rPr>
          <w:rFonts w:cs="Arial"/>
        </w:rPr>
      </w:pPr>
    </w:p>
    <w:p w14:paraId="5B520631" w14:textId="77777777" w:rsidR="008474F2" w:rsidRDefault="008474F2" w:rsidP="008474F2">
      <w:pPr>
        <w:pStyle w:val="FigureCaption"/>
        <w:jc w:val="center"/>
        <w:rPr>
          <w:rFonts w:cs="Arial"/>
        </w:rPr>
      </w:pPr>
    </w:p>
    <w:p w14:paraId="315E7129" w14:textId="77777777" w:rsidR="008474F2" w:rsidRDefault="008474F2" w:rsidP="008474F2">
      <w:pPr>
        <w:pStyle w:val="FigureCaption"/>
        <w:jc w:val="center"/>
        <w:rPr>
          <w:rFonts w:cs="Arial"/>
        </w:rPr>
      </w:pPr>
    </w:p>
    <w:p w14:paraId="09E4B02F" w14:textId="77777777" w:rsidR="008474F2" w:rsidRDefault="008474F2" w:rsidP="008474F2">
      <w:pPr>
        <w:pStyle w:val="FigureCaption"/>
        <w:jc w:val="center"/>
        <w:rPr>
          <w:rFonts w:cs="Arial"/>
        </w:rPr>
      </w:pPr>
    </w:p>
    <w:p w14:paraId="4D0845FA" w14:textId="77777777" w:rsidR="008474F2" w:rsidRDefault="008474F2" w:rsidP="008474F2">
      <w:pPr>
        <w:pStyle w:val="FigureCaption"/>
        <w:jc w:val="center"/>
        <w:rPr>
          <w:rFonts w:cs="Arial"/>
        </w:rPr>
      </w:pPr>
    </w:p>
    <w:p w14:paraId="05A5631B" w14:textId="77777777" w:rsidR="008474F2" w:rsidRDefault="008474F2" w:rsidP="008474F2">
      <w:pPr>
        <w:pStyle w:val="FigureCaption"/>
        <w:jc w:val="center"/>
        <w:rPr>
          <w:rFonts w:cs="Arial"/>
        </w:rPr>
      </w:pPr>
    </w:p>
    <w:p w14:paraId="5198AA47" w14:textId="77777777" w:rsidR="008474F2" w:rsidRDefault="008474F2" w:rsidP="008474F2">
      <w:pPr>
        <w:pStyle w:val="FigureCaption"/>
        <w:jc w:val="center"/>
        <w:rPr>
          <w:rFonts w:cs="Arial"/>
        </w:rPr>
      </w:pPr>
    </w:p>
    <w:p w14:paraId="0DB76337" w14:textId="77777777" w:rsidR="008474F2" w:rsidRDefault="008474F2" w:rsidP="008474F2">
      <w:pPr>
        <w:pStyle w:val="FigureCaption"/>
        <w:jc w:val="center"/>
        <w:rPr>
          <w:rFonts w:cs="Arial"/>
        </w:rPr>
      </w:pPr>
    </w:p>
    <w:p w14:paraId="1262EFE3" w14:textId="77777777" w:rsidR="008474F2" w:rsidRDefault="008474F2" w:rsidP="008474F2">
      <w:pPr>
        <w:pStyle w:val="FigureCaption"/>
        <w:jc w:val="center"/>
        <w:rPr>
          <w:rFonts w:cs="Arial"/>
        </w:rPr>
      </w:pPr>
    </w:p>
    <w:p w14:paraId="46779D0E" w14:textId="4D058AF8" w:rsidR="00354F64" w:rsidRPr="00C82C71" w:rsidRDefault="00000000" w:rsidP="008474F2">
      <w:pPr>
        <w:pStyle w:val="FigureCaption"/>
        <w:rPr>
          <w:rFonts w:cs="Arial"/>
        </w:rPr>
      </w:pPr>
      <w:r w:rsidRPr="00C82C71">
        <w:rPr>
          <w:rFonts w:cs="Arial"/>
        </w:rPr>
        <w:t>Figure 5. Annualised out-of-sample Sharpe ratios across fund families and allocation methods, rf = 0. Equity/combined OOS 2021-01-04 to 2023-12-29; crypto-only OOS 2021-01-01 to 2023-12-31.</w:t>
      </w:r>
    </w:p>
    <w:p w14:paraId="13EFB3B0" w14:textId="77777777" w:rsidR="006B1AAF" w:rsidRPr="00C82C71" w:rsidRDefault="006B1AAF">
      <w:pPr>
        <w:pStyle w:val="FigureCaption"/>
        <w:jc w:val="center"/>
        <w:rPr>
          <w:rFonts w:cs="Arial"/>
        </w:rPr>
      </w:pPr>
    </w:p>
    <w:p w14:paraId="75D0E9CA" w14:textId="77777777" w:rsidR="00354F64" w:rsidRPr="00C82C71" w:rsidRDefault="00000000">
      <w:pPr>
        <w:spacing w:after="20"/>
        <w:jc w:val="center"/>
        <w:rPr>
          <w:rFonts w:cs="Arial"/>
        </w:rPr>
      </w:pPr>
      <w:r w:rsidRPr="00C82C71">
        <w:rPr>
          <w:rFonts w:cs="Arial"/>
          <w:noProof/>
        </w:rPr>
        <w:drawing>
          <wp:inline distT="0" distB="0" distL="0" distR="0" wp14:anchorId="7886BFA5" wp14:editId="269A39BF">
            <wp:extent cx="4185920" cy="2428028"/>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index.png"/>
                    <pic:cNvPicPr/>
                  </pic:nvPicPr>
                  <pic:blipFill>
                    <a:blip r:embed="rId13"/>
                    <a:stretch>
                      <a:fillRect/>
                    </a:stretch>
                  </pic:blipFill>
                  <pic:spPr>
                    <a:xfrm>
                      <a:off x="0" y="0"/>
                      <a:ext cx="4217138" cy="2446136"/>
                    </a:xfrm>
                    <a:prstGeom prst="rect">
                      <a:avLst/>
                    </a:prstGeom>
                  </pic:spPr>
                </pic:pic>
              </a:graphicData>
            </a:graphic>
          </wp:inline>
        </w:drawing>
      </w:r>
    </w:p>
    <w:p w14:paraId="6AA5E410" w14:textId="71E052C6" w:rsidR="00354F64" w:rsidRPr="00C82C71" w:rsidRDefault="00000000" w:rsidP="008474F2">
      <w:pPr>
        <w:pStyle w:val="FigureCaption"/>
        <w:rPr>
          <w:rFonts w:cs="Arial"/>
        </w:rPr>
      </w:pPr>
      <w:r w:rsidRPr="00C82C71">
        <w:rPr>
          <w:rFonts w:cs="Arial"/>
        </w:rPr>
        <w:t>Figure 6. Equity-sector news-sentiment index: 21-day mean of the daily plain-VADER sector index. Units: mean compound score (-1 to +1), 2020-2023 headlines only.</w:t>
      </w:r>
    </w:p>
    <w:p w14:paraId="4D62BEE3" w14:textId="5339D963" w:rsidR="00354F64" w:rsidRPr="00C82C71" w:rsidRDefault="008474F2" w:rsidP="008474F2">
      <w:pPr>
        <w:rPr>
          <w:rFonts w:cs="Arial"/>
        </w:rPr>
      </w:pPr>
      <w:r w:rsidRPr="00C82C71">
        <w:rPr>
          <w:rFonts w:cs="Arial"/>
          <w:noProof/>
        </w:rPr>
        <w:drawing>
          <wp:anchor distT="0" distB="0" distL="114300" distR="114300" simplePos="0" relativeHeight="251663360" behindDoc="1" locked="0" layoutInCell="1" allowOverlap="1" wp14:anchorId="2F57446F" wp14:editId="2221078D">
            <wp:simplePos x="0" y="0"/>
            <wp:positionH relativeFrom="column">
              <wp:posOffset>327025</wp:posOffset>
            </wp:positionH>
            <wp:positionV relativeFrom="paragraph">
              <wp:posOffset>27940</wp:posOffset>
            </wp:positionV>
            <wp:extent cx="5760720" cy="2496312"/>
            <wp:effectExtent l="0" t="0" r="5080" b="5715"/>
            <wp:wrapTight wrapText="bothSides">
              <wp:wrapPolygon edited="0">
                <wp:start x="0" y="0"/>
                <wp:lineTo x="0" y="21540"/>
                <wp:lineTo x="21571" y="21540"/>
                <wp:lineTo x="21571"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xicon_effect.png"/>
                    <pic:cNvPicPr/>
                  </pic:nvPicPr>
                  <pic:blipFill>
                    <a:blip r:embed="rId14"/>
                    <a:stretch>
                      <a:fillRect/>
                    </a:stretch>
                  </pic:blipFill>
                  <pic:spPr>
                    <a:xfrm>
                      <a:off x="0" y="0"/>
                      <a:ext cx="5760720" cy="2496312"/>
                    </a:xfrm>
                    <a:prstGeom prst="rect">
                      <a:avLst/>
                    </a:prstGeom>
                  </pic:spPr>
                </pic:pic>
              </a:graphicData>
            </a:graphic>
            <wp14:sizeRelH relativeFrom="page">
              <wp14:pctWidth>0</wp14:pctWidth>
            </wp14:sizeRelH>
            <wp14:sizeRelV relativeFrom="page">
              <wp14:pctHeight>0</wp14:pctHeight>
            </wp14:sizeRelV>
          </wp:anchor>
        </w:drawing>
      </w:r>
      <w:r w:rsidR="00000000" w:rsidRPr="00C82C71">
        <w:rPr>
          <w:rFonts w:cs="Arial"/>
        </w:rPr>
        <w:t>Figure 7. Fin-VADER measurement effect for all 146,836 deduplicated 2020-2023 headlines. Left: neutral share (%). Right: compound-score distribution (-1 to +1).</w:t>
      </w:r>
    </w:p>
    <w:p w14:paraId="716F7B2F" w14:textId="77777777" w:rsidR="006B1AAF" w:rsidRPr="00C82C71" w:rsidRDefault="006B1AAF">
      <w:pPr>
        <w:pStyle w:val="FigureCaption"/>
        <w:jc w:val="center"/>
        <w:rPr>
          <w:rFonts w:cs="Arial"/>
        </w:rPr>
      </w:pPr>
    </w:p>
    <w:p w14:paraId="6041FC0E" w14:textId="77777777" w:rsidR="00354F64" w:rsidRPr="00C82C71" w:rsidRDefault="00000000">
      <w:pPr>
        <w:spacing w:after="20"/>
        <w:jc w:val="center"/>
        <w:rPr>
          <w:rFonts w:cs="Arial"/>
        </w:rPr>
      </w:pPr>
      <w:r w:rsidRPr="00C82C71">
        <w:rPr>
          <w:rFonts w:cs="Arial"/>
          <w:noProof/>
        </w:rPr>
        <w:lastRenderedPageBreak/>
        <w:drawing>
          <wp:inline distT="0" distB="0" distL="0" distR="0" wp14:anchorId="2790C7F6" wp14:editId="4D88E4B8">
            <wp:extent cx="4612640" cy="2372317"/>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before_after.png"/>
                    <pic:cNvPicPr/>
                  </pic:nvPicPr>
                  <pic:blipFill>
                    <a:blip r:embed="rId15"/>
                    <a:stretch>
                      <a:fillRect/>
                    </a:stretch>
                  </pic:blipFill>
                  <pic:spPr>
                    <a:xfrm>
                      <a:off x="0" y="0"/>
                      <a:ext cx="4643800" cy="2388343"/>
                    </a:xfrm>
                    <a:prstGeom prst="rect">
                      <a:avLst/>
                    </a:prstGeom>
                  </pic:spPr>
                </pic:pic>
              </a:graphicData>
            </a:graphic>
          </wp:inline>
        </w:drawing>
      </w:r>
    </w:p>
    <w:p w14:paraId="5E6F8D03" w14:textId="04E499AF" w:rsidR="00354F64" w:rsidRPr="00C82C71" w:rsidRDefault="00000000">
      <w:pPr>
        <w:pStyle w:val="FigureCaption"/>
        <w:jc w:val="center"/>
        <w:rPr>
          <w:rFonts w:cs="Arial"/>
        </w:rPr>
      </w:pPr>
      <w:r w:rsidRPr="00C82C71">
        <w:rPr>
          <w:rFonts w:cs="Arial"/>
        </w:rPr>
        <w:t>Figure 8. Growth of $1 before and after the sentiment tilt: Equity Maximum Sharpe base versus VADER and Fin-VADER variants. Units: USD value of $1 invested; OOS 2021-01-04 to 2023-12-29.</w:t>
      </w:r>
    </w:p>
    <w:p w14:paraId="08B5E030" w14:textId="50E89036" w:rsidR="008474F2" w:rsidRDefault="008474F2" w:rsidP="008474F2">
      <w:pPr>
        <w:rPr>
          <w:rFonts w:cs="Arial"/>
        </w:rPr>
      </w:pPr>
      <w:r w:rsidRPr="00C82C71">
        <w:rPr>
          <w:rFonts w:cs="Arial"/>
          <w:noProof/>
        </w:rPr>
        <w:drawing>
          <wp:anchor distT="0" distB="0" distL="114300" distR="114300" simplePos="0" relativeHeight="251664384" behindDoc="1" locked="0" layoutInCell="1" allowOverlap="1" wp14:anchorId="1A51EAB7" wp14:editId="18D1D5D5">
            <wp:simplePos x="0" y="0"/>
            <wp:positionH relativeFrom="column">
              <wp:posOffset>926465</wp:posOffset>
            </wp:positionH>
            <wp:positionV relativeFrom="paragraph">
              <wp:posOffset>81280</wp:posOffset>
            </wp:positionV>
            <wp:extent cx="4582160" cy="2190750"/>
            <wp:effectExtent l="0" t="0" r="2540" b="6350"/>
            <wp:wrapTight wrapText="bothSides">
              <wp:wrapPolygon edited="0">
                <wp:start x="0" y="0"/>
                <wp:lineTo x="0" y="21537"/>
                <wp:lineTo x="21552" y="21537"/>
                <wp:lineTo x="21552"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nover_costs.png"/>
                    <pic:cNvPicPr/>
                  </pic:nvPicPr>
                  <pic:blipFill>
                    <a:blip r:embed="rId16"/>
                    <a:stretch>
                      <a:fillRect/>
                    </a:stretch>
                  </pic:blipFill>
                  <pic:spPr>
                    <a:xfrm>
                      <a:off x="0" y="0"/>
                      <a:ext cx="4582160" cy="2190750"/>
                    </a:xfrm>
                    <a:prstGeom prst="rect">
                      <a:avLst/>
                    </a:prstGeom>
                  </pic:spPr>
                </pic:pic>
              </a:graphicData>
            </a:graphic>
            <wp14:sizeRelH relativeFrom="page">
              <wp14:pctWidth>0</wp14:pctWidth>
            </wp14:sizeRelH>
            <wp14:sizeRelV relativeFrom="page">
              <wp14:pctHeight>0</wp14:pctHeight>
            </wp14:sizeRelV>
          </wp:anchor>
        </w:drawing>
      </w:r>
    </w:p>
    <w:p w14:paraId="22DBD1C4" w14:textId="2F474147" w:rsidR="008474F2" w:rsidRDefault="008474F2" w:rsidP="008474F2">
      <w:pPr>
        <w:rPr>
          <w:rFonts w:cs="Arial"/>
        </w:rPr>
      </w:pPr>
    </w:p>
    <w:p w14:paraId="54354BE0" w14:textId="49946143" w:rsidR="008474F2" w:rsidRDefault="008474F2" w:rsidP="008474F2">
      <w:pPr>
        <w:rPr>
          <w:rFonts w:cs="Arial"/>
        </w:rPr>
      </w:pPr>
    </w:p>
    <w:p w14:paraId="4ADF8815" w14:textId="1C03B87D" w:rsidR="008474F2" w:rsidRDefault="008474F2" w:rsidP="008474F2">
      <w:pPr>
        <w:rPr>
          <w:rFonts w:cs="Arial"/>
        </w:rPr>
      </w:pPr>
    </w:p>
    <w:p w14:paraId="18EBB5AF" w14:textId="46ACEF60" w:rsidR="008474F2" w:rsidRDefault="008474F2" w:rsidP="008474F2">
      <w:pPr>
        <w:rPr>
          <w:rFonts w:cs="Arial"/>
        </w:rPr>
      </w:pPr>
    </w:p>
    <w:p w14:paraId="7C77CA56" w14:textId="77777777" w:rsidR="008474F2" w:rsidRDefault="008474F2" w:rsidP="008474F2">
      <w:pPr>
        <w:rPr>
          <w:rFonts w:cs="Arial"/>
        </w:rPr>
      </w:pPr>
    </w:p>
    <w:p w14:paraId="2A1F46E8" w14:textId="77777777" w:rsidR="008474F2" w:rsidRDefault="008474F2" w:rsidP="008474F2">
      <w:pPr>
        <w:rPr>
          <w:rFonts w:cs="Arial"/>
        </w:rPr>
      </w:pPr>
    </w:p>
    <w:p w14:paraId="6CB25999" w14:textId="77777777" w:rsidR="008474F2" w:rsidRDefault="008474F2" w:rsidP="008474F2">
      <w:pPr>
        <w:rPr>
          <w:rFonts w:cs="Arial"/>
        </w:rPr>
      </w:pPr>
    </w:p>
    <w:p w14:paraId="37C10394" w14:textId="77777777" w:rsidR="008474F2" w:rsidRDefault="008474F2" w:rsidP="008474F2">
      <w:pPr>
        <w:rPr>
          <w:rFonts w:cs="Arial"/>
        </w:rPr>
      </w:pPr>
    </w:p>
    <w:p w14:paraId="2D1FCCAE" w14:textId="77777777" w:rsidR="008474F2" w:rsidRDefault="008474F2" w:rsidP="008474F2">
      <w:pPr>
        <w:rPr>
          <w:rFonts w:cs="Arial"/>
        </w:rPr>
      </w:pPr>
    </w:p>
    <w:p w14:paraId="588FDBF1" w14:textId="77777777" w:rsidR="008474F2" w:rsidRDefault="008474F2" w:rsidP="008474F2">
      <w:pPr>
        <w:rPr>
          <w:rFonts w:cs="Arial"/>
        </w:rPr>
      </w:pPr>
    </w:p>
    <w:p w14:paraId="66D4D219" w14:textId="77777777" w:rsidR="008474F2" w:rsidRDefault="008474F2" w:rsidP="008474F2">
      <w:pPr>
        <w:rPr>
          <w:rFonts w:cs="Arial"/>
        </w:rPr>
      </w:pPr>
    </w:p>
    <w:p w14:paraId="6EE5C46C" w14:textId="0D8CE9F8" w:rsidR="00354F64" w:rsidRPr="00C82C71" w:rsidRDefault="00000000" w:rsidP="008474F2">
      <w:pPr>
        <w:rPr>
          <w:rFonts w:cs="Arial"/>
        </w:rPr>
      </w:pPr>
      <w:r w:rsidRPr="00C82C71">
        <w:rPr>
          <w:rFonts w:cs="Arial"/>
        </w:rPr>
        <w:t>Figure 9. Transaction-cost model for Combined Maximum Sharpe: gross versus net-of-cost growth of $1 using 10 bps x turnover. Units: USD value of $1 invested; OOS 2021-01-04 to 2023-12-29.</w:t>
      </w:r>
    </w:p>
    <w:p w14:paraId="0D8910DB" w14:textId="23942295" w:rsidR="006B1AAF" w:rsidRPr="00C82C71" w:rsidRDefault="008474F2">
      <w:pPr>
        <w:pStyle w:val="FigureCaption"/>
        <w:jc w:val="center"/>
        <w:rPr>
          <w:rFonts w:cs="Arial"/>
        </w:rPr>
      </w:pPr>
      <w:r w:rsidRPr="00C82C71">
        <w:rPr>
          <w:rFonts w:cs="Arial"/>
          <w:noProof/>
        </w:rPr>
        <w:drawing>
          <wp:anchor distT="0" distB="0" distL="114300" distR="114300" simplePos="0" relativeHeight="251665408" behindDoc="1" locked="0" layoutInCell="1" allowOverlap="1" wp14:anchorId="6CAEA44F" wp14:editId="54CC0934">
            <wp:simplePos x="0" y="0"/>
            <wp:positionH relativeFrom="column">
              <wp:posOffset>641985</wp:posOffset>
            </wp:positionH>
            <wp:positionV relativeFrom="paragraph">
              <wp:posOffset>135890</wp:posOffset>
            </wp:positionV>
            <wp:extent cx="5100320" cy="2425700"/>
            <wp:effectExtent l="0" t="0" r="5080" b="0"/>
            <wp:wrapTight wrapText="bothSides">
              <wp:wrapPolygon edited="0">
                <wp:start x="0" y="0"/>
                <wp:lineTo x="0" y="21487"/>
                <wp:lineTo x="21568" y="21487"/>
                <wp:lineTo x="21568"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ootstrap_ci.png"/>
                    <pic:cNvPicPr/>
                  </pic:nvPicPr>
                  <pic:blipFill>
                    <a:blip r:embed="rId17"/>
                    <a:stretch>
                      <a:fillRect/>
                    </a:stretch>
                  </pic:blipFill>
                  <pic:spPr>
                    <a:xfrm>
                      <a:off x="0" y="0"/>
                      <a:ext cx="5100320" cy="2425700"/>
                    </a:xfrm>
                    <a:prstGeom prst="rect">
                      <a:avLst/>
                    </a:prstGeom>
                  </pic:spPr>
                </pic:pic>
              </a:graphicData>
            </a:graphic>
            <wp14:sizeRelH relativeFrom="page">
              <wp14:pctWidth>0</wp14:pctWidth>
            </wp14:sizeRelH>
            <wp14:sizeRelV relativeFrom="page">
              <wp14:pctHeight>0</wp14:pctHeight>
            </wp14:sizeRelV>
          </wp:anchor>
        </w:drawing>
      </w:r>
    </w:p>
    <w:p w14:paraId="7FAD526D" w14:textId="6034578D" w:rsidR="00354F64" w:rsidRPr="00C82C71" w:rsidRDefault="00354F64">
      <w:pPr>
        <w:spacing w:after="20"/>
        <w:jc w:val="center"/>
        <w:rPr>
          <w:rFonts w:cs="Arial"/>
        </w:rPr>
      </w:pPr>
    </w:p>
    <w:p w14:paraId="72DDB9D0" w14:textId="77777777" w:rsidR="008474F2" w:rsidRDefault="008474F2">
      <w:pPr>
        <w:pStyle w:val="FigureCaption"/>
        <w:jc w:val="center"/>
        <w:rPr>
          <w:rFonts w:cs="Arial"/>
        </w:rPr>
      </w:pPr>
    </w:p>
    <w:p w14:paraId="71CA2ACB" w14:textId="77777777" w:rsidR="008474F2" w:rsidRDefault="008474F2">
      <w:pPr>
        <w:pStyle w:val="FigureCaption"/>
        <w:jc w:val="center"/>
        <w:rPr>
          <w:rFonts w:cs="Arial"/>
        </w:rPr>
      </w:pPr>
    </w:p>
    <w:p w14:paraId="5A3CF8F5" w14:textId="77777777" w:rsidR="008474F2" w:rsidRDefault="008474F2">
      <w:pPr>
        <w:pStyle w:val="FigureCaption"/>
        <w:jc w:val="center"/>
        <w:rPr>
          <w:rFonts w:cs="Arial"/>
        </w:rPr>
      </w:pPr>
    </w:p>
    <w:p w14:paraId="3E5CA2EE" w14:textId="77777777" w:rsidR="008474F2" w:rsidRDefault="008474F2">
      <w:pPr>
        <w:pStyle w:val="FigureCaption"/>
        <w:jc w:val="center"/>
        <w:rPr>
          <w:rFonts w:cs="Arial"/>
        </w:rPr>
      </w:pPr>
    </w:p>
    <w:p w14:paraId="69C7A912" w14:textId="77777777" w:rsidR="008474F2" w:rsidRDefault="008474F2">
      <w:pPr>
        <w:pStyle w:val="FigureCaption"/>
        <w:jc w:val="center"/>
        <w:rPr>
          <w:rFonts w:cs="Arial"/>
        </w:rPr>
      </w:pPr>
    </w:p>
    <w:p w14:paraId="4E64D8A2" w14:textId="77777777" w:rsidR="008474F2" w:rsidRDefault="008474F2">
      <w:pPr>
        <w:pStyle w:val="FigureCaption"/>
        <w:jc w:val="center"/>
        <w:rPr>
          <w:rFonts w:cs="Arial"/>
        </w:rPr>
      </w:pPr>
    </w:p>
    <w:p w14:paraId="22C772F3" w14:textId="77777777" w:rsidR="008474F2" w:rsidRDefault="008474F2">
      <w:pPr>
        <w:pStyle w:val="FigureCaption"/>
        <w:jc w:val="center"/>
        <w:rPr>
          <w:rFonts w:cs="Arial"/>
        </w:rPr>
      </w:pPr>
    </w:p>
    <w:p w14:paraId="64B54A64" w14:textId="77777777" w:rsidR="008474F2" w:rsidRDefault="008474F2">
      <w:pPr>
        <w:pStyle w:val="FigureCaption"/>
        <w:jc w:val="center"/>
        <w:rPr>
          <w:rFonts w:cs="Arial"/>
        </w:rPr>
      </w:pPr>
    </w:p>
    <w:p w14:paraId="3A344A05" w14:textId="77777777" w:rsidR="008474F2" w:rsidRDefault="008474F2">
      <w:pPr>
        <w:pStyle w:val="FigureCaption"/>
        <w:jc w:val="center"/>
        <w:rPr>
          <w:rFonts w:cs="Arial"/>
        </w:rPr>
      </w:pPr>
    </w:p>
    <w:p w14:paraId="77D5C9B1" w14:textId="77777777" w:rsidR="008474F2" w:rsidRDefault="008474F2">
      <w:pPr>
        <w:pStyle w:val="FigureCaption"/>
        <w:jc w:val="center"/>
        <w:rPr>
          <w:rFonts w:cs="Arial"/>
        </w:rPr>
      </w:pPr>
    </w:p>
    <w:p w14:paraId="37A8B319" w14:textId="77777777" w:rsidR="008474F2" w:rsidRDefault="008474F2">
      <w:pPr>
        <w:pStyle w:val="FigureCaption"/>
        <w:jc w:val="center"/>
        <w:rPr>
          <w:rFonts w:cs="Arial"/>
        </w:rPr>
      </w:pPr>
    </w:p>
    <w:p w14:paraId="2FC27C2E" w14:textId="77777777" w:rsidR="008474F2" w:rsidRDefault="008474F2">
      <w:pPr>
        <w:pStyle w:val="FigureCaption"/>
        <w:jc w:val="center"/>
        <w:rPr>
          <w:rFonts w:cs="Arial"/>
        </w:rPr>
      </w:pPr>
    </w:p>
    <w:p w14:paraId="76F289B7" w14:textId="77777777" w:rsidR="008474F2" w:rsidRDefault="008474F2">
      <w:pPr>
        <w:pStyle w:val="FigureCaption"/>
        <w:jc w:val="center"/>
        <w:rPr>
          <w:rFonts w:cs="Arial"/>
        </w:rPr>
      </w:pPr>
    </w:p>
    <w:p w14:paraId="37400EB8" w14:textId="5322BE7C" w:rsidR="00354F64" w:rsidRPr="00C82C71" w:rsidRDefault="00000000">
      <w:pPr>
        <w:pStyle w:val="FigureCaption"/>
        <w:jc w:val="center"/>
        <w:rPr>
          <w:rFonts w:cs="Arial"/>
        </w:rPr>
      </w:pPr>
      <w:r w:rsidRPr="00C82C71">
        <w:rPr>
          <w:rFonts w:cs="Arial"/>
        </w:rPr>
        <w:t>Figure 10. Annualised Sharpe ratios (rf = 0) with 90% moving-block-bootstrap intervals for selected funds; 21-day blocks, 2,000 draws, seed 42. OOS 2021-01-04 to 2023-12-29. Every displayed interval spans zero.</w:t>
      </w:r>
    </w:p>
    <w:sectPr w:rsidR="00354F64" w:rsidRPr="00C82C71" w:rsidSect="00034616">
      <w:footerReference w:type="default" r:id="rId18"/>
      <w:pgSz w:w="12240" w:h="15840"/>
      <w:pgMar w:top="893" w:right="1037" w:bottom="893"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54EAF" w14:textId="77777777" w:rsidR="008D52AF" w:rsidRDefault="008D52AF">
      <w:pPr>
        <w:spacing w:after="0" w:line="240" w:lineRule="auto"/>
      </w:pPr>
      <w:r>
        <w:separator/>
      </w:r>
    </w:p>
  </w:endnote>
  <w:endnote w:type="continuationSeparator" w:id="0">
    <w:p w14:paraId="2409BB02" w14:textId="77777777" w:rsidR="008D52AF" w:rsidRDefault="008D5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swiss"/>
    <w:pitch w:val="variable"/>
    <w:sig w:usb0="00000003" w:usb1="00000000" w:usb2="000002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081EB" w14:textId="77777777" w:rsidR="00354F64" w:rsidRDefault="00000000">
    <w:pPr>
      <w:pStyle w:val="Footer"/>
      <w:jc w:val="center"/>
    </w:pPr>
    <w:proofErr w:type="spellStart"/>
    <w:proofErr w:type="gramStart"/>
    <w:r>
      <w:rPr>
        <w:color w:val="64748B"/>
        <w:sz w:val="14"/>
      </w:rPr>
      <w:t>FundX</w:t>
    </w:r>
    <w:proofErr w:type="spellEnd"/>
    <w:r>
      <w:rPr>
        <w:color w:val="64748B"/>
        <w:sz w:val="14"/>
      </w:rPr>
      <w:t xml:space="preserve">  |</w:t>
    </w:r>
    <w:proofErr w:type="gramEnd"/>
    <w:r>
      <w:rPr>
        <w:color w:val="64748B"/>
        <w:sz w:val="14"/>
      </w:rPr>
      <w:t xml:space="preserve">  FINS3645 FinTech Project </w:t>
    </w:r>
    <w:proofErr w:type="gramStart"/>
    <w:r>
      <w:rPr>
        <w:color w:val="64748B"/>
        <w:sz w:val="14"/>
      </w:rPr>
      <w:t>2026  |</w:t>
    </w:r>
    <w:proofErr w:type="gramEnd"/>
    <w:r>
      <w:rPr>
        <w:color w:val="64748B"/>
        <w:sz w:val="14"/>
      </w:rPr>
      <w:t xml:space="preserve">  z5544937     </w:t>
    </w:r>
    <w:r>
      <w:rPr>
        <w:color w:val="64748B"/>
        <w:sz w:val="15"/>
      </w:rPr>
      <w:fldChar w:fldCharType="begin"/>
    </w:r>
    <w:r>
      <w:rPr>
        <w:color w:val="64748B"/>
        <w:sz w:val="15"/>
      </w:rPr>
      <w:instrText xml:space="preserve"> PAGE </w:instrText>
    </w:r>
    <w:r w:rsidR="006B1AAF">
      <w:rPr>
        <w:color w:val="64748B"/>
        <w:sz w:val="15"/>
      </w:rPr>
      <w:fldChar w:fldCharType="separate"/>
    </w:r>
    <w:r w:rsidR="006B1AAF">
      <w:rPr>
        <w:noProof/>
        <w:color w:val="64748B"/>
        <w:sz w:val="15"/>
      </w:rPr>
      <w:t>1</w:t>
    </w:r>
    <w:r>
      <w:rPr>
        <w:color w:val="64748B"/>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180F8" w14:textId="77777777" w:rsidR="008D52AF" w:rsidRDefault="008D52AF">
      <w:pPr>
        <w:spacing w:after="0" w:line="240" w:lineRule="auto"/>
      </w:pPr>
      <w:r>
        <w:separator/>
      </w:r>
    </w:p>
  </w:footnote>
  <w:footnote w:type="continuationSeparator" w:id="0">
    <w:p w14:paraId="7CC8E067" w14:textId="77777777" w:rsidR="008D52AF" w:rsidRDefault="008D52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4D8E8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546C8E"/>
    <w:multiLevelType w:val="hybridMultilevel"/>
    <w:tmpl w:val="A1C22E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A3C2CB4"/>
    <w:multiLevelType w:val="hybridMultilevel"/>
    <w:tmpl w:val="5BBA4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8616218">
    <w:abstractNumId w:val="8"/>
  </w:num>
  <w:num w:numId="2" w16cid:durableId="1539319104">
    <w:abstractNumId w:val="6"/>
  </w:num>
  <w:num w:numId="3" w16cid:durableId="341592327">
    <w:abstractNumId w:val="5"/>
  </w:num>
  <w:num w:numId="4" w16cid:durableId="456149297">
    <w:abstractNumId w:val="4"/>
  </w:num>
  <w:num w:numId="5" w16cid:durableId="191768961">
    <w:abstractNumId w:val="7"/>
  </w:num>
  <w:num w:numId="6" w16cid:durableId="1149713210">
    <w:abstractNumId w:val="3"/>
  </w:num>
  <w:num w:numId="7" w16cid:durableId="849828873">
    <w:abstractNumId w:val="2"/>
  </w:num>
  <w:num w:numId="8" w16cid:durableId="365564652">
    <w:abstractNumId w:val="1"/>
  </w:num>
  <w:num w:numId="9" w16cid:durableId="1194924659">
    <w:abstractNumId w:val="0"/>
  </w:num>
  <w:num w:numId="10" w16cid:durableId="2060517962">
    <w:abstractNumId w:val="9"/>
  </w:num>
  <w:num w:numId="11" w16cid:durableId="113301697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247"/>
    <w:rsid w:val="0006063C"/>
    <w:rsid w:val="0015074B"/>
    <w:rsid w:val="001A2890"/>
    <w:rsid w:val="0020184F"/>
    <w:rsid w:val="0029639D"/>
    <w:rsid w:val="00326F90"/>
    <w:rsid w:val="00345269"/>
    <w:rsid w:val="00354F64"/>
    <w:rsid w:val="003C0F06"/>
    <w:rsid w:val="003E6298"/>
    <w:rsid w:val="00460F9B"/>
    <w:rsid w:val="005D0D61"/>
    <w:rsid w:val="006B1AAF"/>
    <w:rsid w:val="007C7AA5"/>
    <w:rsid w:val="00806BF7"/>
    <w:rsid w:val="008474F2"/>
    <w:rsid w:val="008719F4"/>
    <w:rsid w:val="008D52AF"/>
    <w:rsid w:val="00923BD5"/>
    <w:rsid w:val="00A25A6A"/>
    <w:rsid w:val="00AA1D8D"/>
    <w:rsid w:val="00B23358"/>
    <w:rsid w:val="00B47730"/>
    <w:rsid w:val="00B62D61"/>
    <w:rsid w:val="00C82C71"/>
    <w:rsid w:val="00CB0664"/>
    <w:rsid w:val="00D93CC3"/>
    <w:rsid w:val="00E611DA"/>
    <w:rsid w:val="00EC1BCE"/>
    <w:rsid w:val="00EF312A"/>
    <w:rsid w:val="00F27A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4605E"/>
  <w14:defaultImageDpi w14:val="300"/>
  <w15:docId w15:val="{BD9CADF6-8A0D-3D4F-86DC-6D03A9A2A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90" w:line="247" w:lineRule="auto"/>
    </w:pPr>
    <w:rPr>
      <w:rFonts w:ascii="Arial" w:hAnsi="Arial"/>
      <w:color w:val="1E293B"/>
      <w:sz w:val="19"/>
    </w:rPr>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b/>
      <w:bCs/>
      <w:color w:val="12283F"/>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F8A8C"/>
      <w:sz w:val="23"/>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12283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228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80"/>
    </w:pPr>
    <w:rPr>
      <w:rFonts w:ascii="Arial" w:hAnsi="Arial"/>
      <w:i/>
      <w:color w:val="64748B"/>
      <w:sz w:val="15"/>
    </w:rPr>
  </w:style>
  <w:style w:type="paragraph" w:customStyle="1" w:styleId="SmallNote">
    <w:name w:val="Small Note"/>
    <w:pPr>
      <w:spacing w:after="60"/>
    </w:pPr>
    <w:rPr>
      <w:rFonts w:ascii="Arial" w:hAnsi="Arial"/>
      <w:color w:val="64748B"/>
      <w:sz w:val="15"/>
    </w:rPr>
  </w:style>
  <w:style w:type="character" w:customStyle="1" w:styleId="animatingmuyve10">
    <w:name w:val="_animating_muyve_10"/>
    <w:basedOn w:val="DefaultParagraphFont"/>
    <w:rsid w:val="00C82C71"/>
  </w:style>
  <w:style w:type="paragraph" w:customStyle="1" w:styleId="font-claude-response-body">
    <w:name w:val="font-claude-response-body"/>
    <w:basedOn w:val="Normal"/>
    <w:rsid w:val="00923BD5"/>
    <w:pPr>
      <w:spacing w:before="100" w:beforeAutospacing="1" w:after="100" w:afterAutospacing="1" w:line="240" w:lineRule="auto"/>
    </w:pPr>
    <w:rPr>
      <w:rFonts w:ascii="Times New Roman" w:eastAsia="Times New Roman" w:hAnsi="Times New Roman" w:cs="Times New Roman"/>
      <w:color w:val="auto"/>
      <w:sz w:val="24"/>
      <w:szCs w:val="24"/>
      <w:lang w:val="en-AU" w:eastAsia="en-GB" w:bidi="si-LK"/>
    </w:rPr>
  </w:style>
  <w:style w:type="paragraph" w:customStyle="1" w:styleId="pdq2pgselectionanchorcontainer">
    <w:name w:val="pdq2pg_selectionanchorcontainer"/>
    <w:basedOn w:val="Normal"/>
    <w:rsid w:val="00345269"/>
    <w:pPr>
      <w:spacing w:before="100" w:beforeAutospacing="1" w:after="100" w:afterAutospacing="1" w:line="240" w:lineRule="auto"/>
    </w:pPr>
    <w:rPr>
      <w:rFonts w:ascii="Times New Roman" w:eastAsia="Times New Roman" w:hAnsi="Times New Roman" w:cs="Times New Roman"/>
      <w:color w:val="auto"/>
      <w:sz w:val="24"/>
      <w:szCs w:val="24"/>
      <w:lang w:val="en-AU" w:eastAsia="en-GB" w:bidi="si-LK"/>
    </w:rPr>
  </w:style>
  <w:style w:type="paragraph" w:styleId="NormalWeb">
    <w:name w:val="Normal (Web)"/>
    <w:basedOn w:val="Normal"/>
    <w:uiPriority w:val="99"/>
    <w:unhideWhenUsed/>
    <w:rsid w:val="00345269"/>
    <w:pPr>
      <w:spacing w:before="100" w:beforeAutospacing="1" w:after="100" w:afterAutospacing="1" w:line="240" w:lineRule="auto"/>
    </w:pPr>
    <w:rPr>
      <w:rFonts w:ascii="Times New Roman" w:eastAsia="Times New Roman" w:hAnsi="Times New Roman" w:cs="Times New Roman"/>
      <w:color w:val="auto"/>
      <w:sz w:val="24"/>
      <w:szCs w:val="24"/>
      <w:lang w:val="en-AU" w:eastAsia="en-GB" w:bidi="si-L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93505">
      <w:bodyDiv w:val="1"/>
      <w:marLeft w:val="0"/>
      <w:marRight w:val="0"/>
      <w:marTop w:val="0"/>
      <w:marBottom w:val="0"/>
      <w:divBdr>
        <w:top w:val="none" w:sz="0" w:space="0" w:color="auto"/>
        <w:left w:val="none" w:sz="0" w:space="0" w:color="auto"/>
        <w:bottom w:val="none" w:sz="0" w:space="0" w:color="auto"/>
        <w:right w:val="none" w:sz="0" w:space="0" w:color="auto"/>
      </w:divBdr>
    </w:div>
    <w:div w:id="52702292">
      <w:bodyDiv w:val="1"/>
      <w:marLeft w:val="0"/>
      <w:marRight w:val="0"/>
      <w:marTop w:val="0"/>
      <w:marBottom w:val="0"/>
      <w:divBdr>
        <w:top w:val="none" w:sz="0" w:space="0" w:color="auto"/>
        <w:left w:val="none" w:sz="0" w:space="0" w:color="auto"/>
        <w:bottom w:val="none" w:sz="0" w:space="0" w:color="auto"/>
        <w:right w:val="none" w:sz="0" w:space="0" w:color="auto"/>
      </w:divBdr>
    </w:div>
    <w:div w:id="326061435">
      <w:bodyDiv w:val="1"/>
      <w:marLeft w:val="0"/>
      <w:marRight w:val="0"/>
      <w:marTop w:val="0"/>
      <w:marBottom w:val="0"/>
      <w:divBdr>
        <w:top w:val="none" w:sz="0" w:space="0" w:color="auto"/>
        <w:left w:val="none" w:sz="0" w:space="0" w:color="auto"/>
        <w:bottom w:val="none" w:sz="0" w:space="0" w:color="auto"/>
        <w:right w:val="none" w:sz="0" w:space="0" w:color="auto"/>
      </w:divBdr>
    </w:div>
    <w:div w:id="387069881">
      <w:bodyDiv w:val="1"/>
      <w:marLeft w:val="0"/>
      <w:marRight w:val="0"/>
      <w:marTop w:val="0"/>
      <w:marBottom w:val="0"/>
      <w:divBdr>
        <w:top w:val="none" w:sz="0" w:space="0" w:color="auto"/>
        <w:left w:val="none" w:sz="0" w:space="0" w:color="auto"/>
        <w:bottom w:val="none" w:sz="0" w:space="0" w:color="auto"/>
        <w:right w:val="none" w:sz="0" w:space="0" w:color="auto"/>
      </w:divBdr>
    </w:div>
    <w:div w:id="419563126">
      <w:bodyDiv w:val="1"/>
      <w:marLeft w:val="0"/>
      <w:marRight w:val="0"/>
      <w:marTop w:val="0"/>
      <w:marBottom w:val="0"/>
      <w:divBdr>
        <w:top w:val="none" w:sz="0" w:space="0" w:color="auto"/>
        <w:left w:val="none" w:sz="0" w:space="0" w:color="auto"/>
        <w:bottom w:val="none" w:sz="0" w:space="0" w:color="auto"/>
        <w:right w:val="none" w:sz="0" w:space="0" w:color="auto"/>
      </w:divBdr>
    </w:div>
    <w:div w:id="562764825">
      <w:bodyDiv w:val="1"/>
      <w:marLeft w:val="0"/>
      <w:marRight w:val="0"/>
      <w:marTop w:val="0"/>
      <w:marBottom w:val="0"/>
      <w:divBdr>
        <w:top w:val="none" w:sz="0" w:space="0" w:color="auto"/>
        <w:left w:val="none" w:sz="0" w:space="0" w:color="auto"/>
        <w:bottom w:val="none" w:sz="0" w:space="0" w:color="auto"/>
        <w:right w:val="none" w:sz="0" w:space="0" w:color="auto"/>
      </w:divBdr>
    </w:div>
    <w:div w:id="658388119">
      <w:bodyDiv w:val="1"/>
      <w:marLeft w:val="0"/>
      <w:marRight w:val="0"/>
      <w:marTop w:val="0"/>
      <w:marBottom w:val="0"/>
      <w:divBdr>
        <w:top w:val="none" w:sz="0" w:space="0" w:color="auto"/>
        <w:left w:val="none" w:sz="0" w:space="0" w:color="auto"/>
        <w:bottom w:val="none" w:sz="0" w:space="0" w:color="auto"/>
        <w:right w:val="none" w:sz="0" w:space="0" w:color="auto"/>
      </w:divBdr>
    </w:div>
    <w:div w:id="854224855">
      <w:bodyDiv w:val="1"/>
      <w:marLeft w:val="0"/>
      <w:marRight w:val="0"/>
      <w:marTop w:val="0"/>
      <w:marBottom w:val="0"/>
      <w:divBdr>
        <w:top w:val="none" w:sz="0" w:space="0" w:color="auto"/>
        <w:left w:val="none" w:sz="0" w:space="0" w:color="auto"/>
        <w:bottom w:val="none" w:sz="0" w:space="0" w:color="auto"/>
        <w:right w:val="none" w:sz="0" w:space="0" w:color="auto"/>
      </w:divBdr>
      <w:divsChild>
        <w:div w:id="1964577418">
          <w:marLeft w:val="0"/>
          <w:marRight w:val="0"/>
          <w:marTop w:val="0"/>
          <w:marBottom w:val="0"/>
          <w:divBdr>
            <w:top w:val="none" w:sz="0" w:space="0" w:color="auto"/>
            <w:left w:val="none" w:sz="0" w:space="0" w:color="auto"/>
            <w:bottom w:val="none" w:sz="0" w:space="0" w:color="auto"/>
            <w:right w:val="none" w:sz="0" w:space="0" w:color="auto"/>
          </w:divBdr>
          <w:divsChild>
            <w:div w:id="618026914">
              <w:marLeft w:val="0"/>
              <w:marRight w:val="0"/>
              <w:marTop w:val="0"/>
              <w:marBottom w:val="0"/>
              <w:divBdr>
                <w:top w:val="none" w:sz="0" w:space="0" w:color="auto"/>
                <w:left w:val="none" w:sz="0" w:space="0" w:color="auto"/>
                <w:bottom w:val="none" w:sz="0" w:space="0" w:color="auto"/>
                <w:right w:val="none" w:sz="0" w:space="0" w:color="auto"/>
              </w:divBdr>
              <w:divsChild>
                <w:div w:id="1948196697">
                  <w:marLeft w:val="0"/>
                  <w:marRight w:val="0"/>
                  <w:marTop w:val="0"/>
                  <w:marBottom w:val="0"/>
                  <w:divBdr>
                    <w:top w:val="none" w:sz="0" w:space="0" w:color="auto"/>
                    <w:left w:val="none" w:sz="0" w:space="0" w:color="auto"/>
                    <w:bottom w:val="none" w:sz="0" w:space="0" w:color="auto"/>
                    <w:right w:val="none" w:sz="0" w:space="0" w:color="auto"/>
                  </w:divBdr>
                  <w:divsChild>
                    <w:div w:id="583415708">
                      <w:marLeft w:val="0"/>
                      <w:marRight w:val="0"/>
                      <w:marTop w:val="0"/>
                      <w:marBottom w:val="0"/>
                      <w:divBdr>
                        <w:top w:val="none" w:sz="0" w:space="0" w:color="auto"/>
                        <w:left w:val="none" w:sz="0" w:space="0" w:color="auto"/>
                        <w:bottom w:val="none" w:sz="0" w:space="0" w:color="auto"/>
                        <w:right w:val="none" w:sz="0" w:space="0" w:color="auto"/>
                      </w:divBdr>
                      <w:divsChild>
                        <w:div w:id="930696301">
                          <w:marLeft w:val="0"/>
                          <w:marRight w:val="0"/>
                          <w:marTop w:val="0"/>
                          <w:marBottom w:val="0"/>
                          <w:divBdr>
                            <w:top w:val="none" w:sz="0" w:space="0" w:color="auto"/>
                            <w:left w:val="none" w:sz="0" w:space="0" w:color="auto"/>
                            <w:bottom w:val="none" w:sz="0" w:space="0" w:color="auto"/>
                            <w:right w:val="none" w:sz="0" w:space="0" w:color="auto"/>
                          </w:divBdr>
                          <w:divsChild>
                            <w:div w:id="1661688489">
                              <w:marLeft w:val="0"/>
                              <w:marRight w:val="0"/>
                              <w:marTop w:val="0"/>
                              <w:marBottom w:val="0"/>
                              <w:divBdr>
                                <w:top w:val="none" w:sz="0" w:space="0" w:color="auto"/>
                                <w:left w:val="none" w:sz="0" w:space="0" w:color="auto"/>
                                <w:bottom w:val="none" w:sz="0" w:space="0" w:color="auto"/>
                                <w:right w:val="none" w:sz="0" w:space="0" w:color="auto"/>
                              </w:divBdr>
                              <w:divsChild>
                                <w:div w:id="835144698">
                                  <w:marLeft w:val="0"/>
                                  <w:marRight w:val="0"/>
                                  <w:marTop w:val="0"/>
                                  <w:marBottom w:val="0"/>
                                  <w:divBdr>
                                    <w:top w:val="none" w:sz="0" w:space="0" w:color="auto"/>
                                    <w:left w:val="none" w:sz="0" w:space="0" w:color="auto"/>
                                    <w:bottom w:val="none" w:sz="0" w:space="0" w:color="auto"/>
                                    <w:right w:val="none" w:sz="0" w:space="0" w:color="auto"/>
                                  </w:divBdr>
                                  <w:divsChild>
                                    <w:div w:id="56318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9942413">
      <w:bodyDiv w:val="1"/>
      <w:marLeft w:val="0"/>
      <w:marRight w:val="0"/>
      <w:marTop w:val="0"/>
      <w:marBottom w:val="0"/>
      <w:divBdr>
        <w:top w:val="none" w:sz="0" w:space="0" w:color="auto"/>
        <w:left w:val="none" w:sz="0" w:space="0" w:color="auto"/>
        <w:bottom w:val="none" w:sz="0" w:space="0" w:color="auto"/>
        <w:right w:val="none" w:sz="0" w:space="0" w:color="auto"/>
      </w:divBdr>
    </w:div>
    <w:div w:id="920286876">
      <w:bodyDiv w:val="1"/>
      <w:marLeft w:val="0"/>
      <w:marRight w:val="0"/>
      <w:marTop w:val="0"/>
      <w:marBottom w:val="0"/>
      <w:divBdr>
        <w:top w:val="none" w:sz="0" w:space="0" w:color="auto"/>
        <w:left w:val="none" w:sz="0" w:space="0" w:color="auto"/>
        <w:bottom w:val="none" w:sz="0" w:space="0" w:color="auto"/>
        <w:right w:val="none" w:sz="0" w:space="0" w:color="auto"/>
      </w:divBdr>
      <w:divsChild>
        <w:div w:id="1054740169">
          <w:marLeft w:val="0"/>
          <w:marRight w:val="0"/>
          <w:marTop w:val="0"/>
          <w:marBottom w:val="0"/>
          <w:divBdr>
            <w:top w:val="none" w:sz="0" w:space="0" w:color="auto"/>
            <w:left w:val="none" w:sz="0" w:space="0" w:color="auto"/>
            <w:bottom w:val="none" w:sz="0" w:space="0" w:color="auto"/>
            <w:right w:val="none" w:sz="0" w:space="0" w:color="auto"/>
          </w:divBdr>
          <w:divsChild>
            <w:div w:id="389381270">
              <w:marLeft w:val="0"/>
              <w:marRight w:val="0"/>
              <w:marTop w:val="0"/>
              <w:marBottom w:val="0"/>
              <w:divBdr>
                <w:top w:val="none" w:sz="0" w:space="0" w:color="auto"/>
                <w:left w:val="none" w:sz="0" w:space="0" w:color="auto"/>
                <w:bottom w:val="none" w:sz="0" w:space="0" w:color="auto"/>
                <w:right w:val="none" w:sz="0" w:space="0" w:color="auto"/>
              </w:divBdr>
              <w:divsChild>
                <w:div w:id="553156187">
                  <w:marLeft w:val="0"/>
                  <w:marRight w:val="0"/>
                  <w:marTop w:val="0"/>
                  <w:marBottom w:val="0"/>
                  <w:divBdr>
                    <w:top w:val="none" w:sz="0" w:space="0" w:color="auto"/>
                    <w:left w:val="none" w:sz="0" w:space="0" w:color="auto"/>
                    <w:bottom w:val="none" w:sz="0" w:space="0" w:color="auto"/>
                    <w:right w:val="none" w:sz="0" w:space="0" w:color="auto"/>
                  </w:divBdr>
                  <w:divsChild>
                    <w:div w:id="1865897711">
                      <w:marLeft w:val="0"/>
                      <w:marRight w:val="0"/>
                      <w:marTop w:val="0"/>
                      <w:marBottom w:val="0"/>
                      <w:divBdr>
                        <w:top w:val="none" w:sz="0" w:space="0" w:color="auto"/>
                        <w:left w:val="none" w:sz="0" w:space="0" w:color="auto"/>
                        <w:bottom w:val="none" w:sz="0" w:space="0" w:color="auto"/>
                        <w:right w:val="none" w:sz="0" w:space="0" w:color="auto"/>
                      </w:divBdr>
                      <w:divsChild>
                        <w:div w:id="313029022">
                          <w:marLeft w:val="0"/>
                          <w:marRight w:val="0"/>
                          <w:marTop w:val="0"/>
                          <w:marBottom w:val="0"/>
                          <w:divBdr>
                            <w:top w:val="none" w:sz="0" w:space="0" w:color="auto"/>
                            <w:left w:val="none" w:sz="0" w:space="0" w:color="auto"/>
                            <w:bottom w:val="none" w:sz="0" w:space="0" w:color="auto"/>
                            <w:right w:val="none" w:sz="0" w:space="0" w:color="auto"/>
                          </w:divBdr>
                          <w:divsChild>
                            <w:div w:id="519054285">
                              <w:marLeft w:val="0"/>
                              <w:marRight w:val="0"/>
                              <w:marTop w:val="0"/>
                              <w:marBottom w:val="0"/>
                              <w:divBdr>
                                <w:top w:val="none" w:sz="0" w:space="0" w:color="auto"/>
                                <w:left w:val="none" w:sz="0" w:space="0" w:color="auto"/>
                                <w:bottom w:val="none" w:sz="0" w:space="0" w:color="auto"/>
                                <w:right w:val="none" w:sz="0" w:space="0" w:color="auto"/>
                              </w:divBdr>
                              <w:divsChild>
                                <w:div w:id="931009868">
                                  <w:marLeft w:val="0"/>
                                  <w:marRight w:val="0"/>
                                  <w:marTop w:val="0"/>
                                  <w:marBottom w:val="0"/>
                                  <w:divBdr>
                                    <w:top w:val="none" w:sz="0" w:space="0" w:color="auto"/>
                                    <w:left w:val="none" w:sz="0" w:space="0" w:color="auto"/>
                                    <w:bottom w:val="none" w:sz="0" w:space="0" w:color="auto"/>
                                    <w:right w:val="none" w:sz="0" w:space="0" w:color="auto"/>
                                  </w:divBdr>
                                  <w:divsChild>
                                    <w:div w:id="16294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2504597">
      <w:bodyDiv w:val="1"/>
      <w:marLeft w:val="0"/>
      <w:marRight w:val="0"/>
      <w:marTop w:val="0"/>
      <w:marBottom w:val="0"/>
      <w:divBdr>
        <w:top w:val="none" w:sz="0" w:space="0" w:color="auto"/>
        <w:left w:val="none" w:sz="0" w:space="0" w:color="auto"/>
        <w:bottom w:val="none" w:sz="0" w:space="0" w:color="auto"/>
        <w:right w:val="none" w:sz="0" w:space="0" w:color="auto"/>
      </w:divBdr>
    </w:div>
    <w:div w:id="1083260578">
      <w:bodyDiv w:val="1"/>
      <w:marLeft w:val="0"/>
      <w:marRight w:val="0"/>
      <w:marTop w:val="0"/>
      <w:marBottom w:val="0"/>
      <w:divBdr>
        <w:top w:val="none" w:sz="0" w:space="0" w:color="auto"/>
        <w:left w:val="none" w:sz="0" w:space="0" w:color="auto"/>
        <w:bottom w:val="none" w:sz="0" w:space="0" w:color="auto"/>
        <w:right w:val="none" w:sz="0" w:space="0" w:color="auto"/>
      </w:divBdr>
    </w:div>
    <w:div w:id="1208909020">
      <w:bodyDiv w:val="1"/>
      <w:marLeft w:val="0"/>
      <w:marRight w:val="0"/>
      <w:marTop w:val="0"/>
      <w:marBottom w:val="0"/>
      <w:divBdr>
        <w:top w:val="none" w:sz="0" w:space="0" w:color="auto"/>
        <w:left w:val="none" w:sz="0" w:space="0" w:color="auto"/>
        <w:bottom w:val="none" w:sz="0" w:space="0" w:color="auto"/>
        <w:right w:val="none" w:sz="0" w:space="0" w:color="auto"/>
      </w:divBdr>
    </w:div>
    <w:div w:id="1718502971">
      <w:bodyDiv w:val="1"/>
      <w:marLeft w:val="0"/>
      <w:marRight w:val="0"/>
      <w:marTop w:val="0"/>
      <w:marBottom w:val="0"/>
      <w:divBdr>
        <w:top w:val="none" w:sz="0" w:space="0" w:color="auto"/>
        <w:left w:val="none" w:sz="0" w:space="0" w:color="auto"/>
        <w:bottom w:val="none" w:sz="0" w:space="0" w:color="auto"/>
        <w:right w:val="none" w:sz="0" w:space="0" w:color="auto"/>
      </w:divBdr>
      <w:divsChild>
        <w:div w:id="1840267575">
          <w:marLeft w:val="0"/>
          <w:marRight w:val="0"/>
          <w:marTop w:val="0"/>
          <w:marBottom w:val="0"/>
          <w:divBdr>
            <w:top w:val="none" w:sz="0" w:space="0" w:color="auto"/>
            <w:left w:val="none" w:sz="0" w:space="0" w:color="auto"/>
            <w:bottom w:val="none" w:sz="0" w:space="0" w:color="auto"/>
            <w:right w:val="none" w:sz="0" w:space="0" w:color="auto"/>
          </w:divBdr>
          <w:divsChild>
            <w:div w:id="2049448057">
              <w:marLeft w:val="0"/>
              <w:marRight w:val="0"/>
              <w:marTop w:val="0"/>
              <w:marBottom w:val="0"/>
              <w:divBdr>
                <w:top w:val="none" w:sz="0" w:space="0" w:color="auto"/>
                <w:left w:val="none" w:sz="0" w:space="0" w:color="auto"/>
                <w:bottom w:val="none" w:sz="0" w:space="0" w:color="auto"/>
                <w:right w:val="none" w:sz="0" w:space="0" w:color="auto"/>
              </w:divBdr>
              <w:divsChild>
                <w:div w:id="383068062">
                  <w:marLeft w:val="0"/>
                  <w:marRight w:val="0"/>
                  <w:marTop w:val="0"/>
                  <w:marBottom w:val="0"/>
                  <w:divBdr>
                    <w:top w:val="none" w:sz="0" w:space="0" w:color="auto"/>
                    <w:left w:val="none" w:sz="0" w:space="0" w:color="auto"/>
                    <w:bottom w:val="none" w:sz="0" w:space="0" w:color="auto"/>
                    <w:right w:val="none" w:sz="0" w:space="0" w:color="auto"/>
                  </w:divBdr>
                  <w:divsChild>
                    <w:div w:id="1693529226">
                      <w:marLeft w:val="0"/>
                      <w:marRight w:val="0"/>
                      <w:marTop w:val="0"/>
                      <w:marBottom w:val="0"/>
                      <w:divBdr>
                        <w:top w:val="none" w:sz="0" w:space="0" w:color="auto"/>
                        <w:left w:val="none" w:sz="0" w:space="0" w:color="auto"/>
                        <w:bottom w:val="none" w:sz="0" w:space="0" w:color="auto"/>
                        <w:right w:val="none" w:sz="0" w:space="0" w:color="auto"/>
                      </w:divBdr>
                      <w:divsChild>
                        <w:div w:id="166020090">
                          <w:marLeft w:val="0"/>
                          <w:marRight w:val="0"/>
                          <w:marTop w:val="0"/>
                          <w:marBottom w:val="0"/>
                          <w:divBdr>
                            <w:top w:val="none" w:sz="0" w:space="0" w:color="auto"/>
                            <w:left w:val="none" w:sz="0" w:space="0" w:color="auto"/>
                            <w:bottom w:val="none" w:sz="0" w:space="0" w:color="auto"/>
                            <w:right w:val="none" w:sz="0" w:space="0" w:color="auto"/>
                          </w:divBdr>
                          <w:divsChild>
                            <w:div w:id="1991444074">
                              <w:marLeft w:val="0"/>
                              <w:marRight w:val="0"/>
                              <w:marTop w:val="0"/>
                              <w:marBottom w:val="0"/>
                              <w:divBdr>
                                <w:top w:val="none" w:sz="0" w:space="0" w:color="auto"/>
                                <w:left w:val="none" w:sz="0" w:space="0" w:color="auto"/>
                                <w:bottom w:val="none" w:sz="0" w:space="0" w:color="auto"/>
                                <w:right w:val="none" w:sz="0" w:space="0" w:color="auto"/>
                              </w:divBdr>
                              <w:divsChild>
                                <w:div w:id="1023550606">
                                  <w:marLeft w:val="0"/>
                                  <w:marRight w:val="0"/>
                                  <w:marTop w:val="0"/>
                                  <w:marBottom w:val="0"/>
                                  <w:divBdr>
                                    <w:top w:val="none" w:sz="0" w:space="0" w:color="auto"/>
                                    <w:left w:val="none" w:sz="0" w:space="0" w:color="auto"/>
                                    <w:bottom w:val="none" w:sz="0" w:space="0" w:color="auto"/>
                                    <w:right w:val="none" w:sz="0" w:space="0" w:color="auto"/>
                                  </w:divBdr>
                                  <w:divsChild>
                                    <w:div w:id="107632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3729706">
      <w:bodyDiv w:val="1"/>
      <w:marLeft w:val="0"/>
      <w:marRight w:val="0"/>
      <w:marTop w:val="0"/>
      <w:marBottom w:val="0"/>
      <w:divBdr>
        <w:top w:val="none" w:sz="0" w:space="0" w:color="auto"/>
        <w:left w:val="none" w:sz="0" w:space="0" w:color="auto"/>
        <w:bottom w:val="none" w:sz="0" w:space="0" w:color="auto"/>
        <w:right w:val="none" w:sz="0" w:space="0" w:color="auto"/>
      </w:divBdr>
    </w:div>
    <w:div w:id="2098020082">
      <w:bodyDiv w:val="1"/>
      <w:marLeft w:val="0"/>
      <w:marRight w:val="0"/>
      <w:marTop w:val="0"/>
      <w:marBottom w:val="0"/>
      <w:divBdr>
        <w:top w:val="none" w:sz="0" w:space="0" w:color="auto"/>
        <w:left w:val="none" w:sz="0" w:space="0" w:color="auto"/>
        <w:bottom w:val="none" w:sz="0" w:space="0" w:color="auto"/>
        <w:right w:val="none" w:sz="0" w:space="0" w:color="auto"/>
      </w:divBdr>
    </w:div>
    <w:div w:id="21394501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5628</Words>
  <Characters>32080</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Tehan Kavinda (z5544937)</dc:creator>
  <cp:keywords/>
  <dc:description>generated by python-docx</dc:description>
  <cp:lastModifiedBy>Tehan Kavinda</cp:lastModifiedBy>
  <cp:revision>3</cp:revision>
  <cp:lastPrinted>2026-08-19T06:23:00Z</cp:lastPrinted>
  <dcterms:created xsi:type="dcterms:W3CDTF">2026-08-19T06:23:00Z</dcterms:created>
  <dcterms:modified xsi:type="dcterms:W3CDTF">2026-08-19T06:32:00Z</dcterms:modified>
  <cp:category/>
</cp:coreProperties>
</file>