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2283F"/>
          <w:sz w:val="72"/>
          <w:szCs w:val="72"/>
        </w:rPr>
        <w:t xml:space="preserve">FUNDX</w:t>
      </w:r>
    </w:p>
    <w:p>
      <w:pPr>
        <w:spacing w:after="80"/>
        <w:jc w:val="center"/>
      </w:pPr>
      <w:r>
        <w:rPr>
          <w:sz w:val="28"/>
          <w:szCs w:val="28"/>
        </w:rPr>
        <w:t xml:space="preserve">FINS3645 FinTech Project 2026 - Part B: Funds, Sentiment and App</w:t>
      </w:r>
    </w:p>
    <w:p>
      <w:pPr>
        <w:spacing w:after="60"/>
        <w:jc w:val="center"/>
      </w:pPr>
      <w:r>
        <w:rPr>
          <w:sz w:val="24"/>
          <w:szCs w:val="24"/>
        </w:rPr>
        <w:t xml:space="preserve">Tehan Kavinda - z5544937</w:t>
      </w:r>
    </w:p>
    <w:p>
      <w:pPr>
        <w:jc w:val="center"/>
      </w:pPr>
      <w:r>
        <w:rPr>
          <w:i/>
          <w:iCs/>
          <w:color w:val="8A94A6"/>
          <w:sz w:val="20"/>
          <w:szCs w:val="20"/>
        </w:rPr>
        <w:t xml:space="preserve">Live app: &lt;paste Streamlit URL&gt;   |   Repository: &lt;paste public GitHub URL&gt;</w:t>
      </w:r>
    </w:p>
    <w:p>
      <w:r>
        <w:br w:type="page"/>
      </w:r>
    </w:p>
    <w:p>
      <w:pPr>
        <w:pStyle w:val="Heading1"/>
        <w:spacing w:after="120" w:before="280"/>
      </w:pPr>
      <w:r>
        <w:rPr>
          <w:color w:val="12283F"/>
        </w:rPr>
        <w:t xml:space="preserve">1. The Funds and the Backtest Design</w:t>
      </w:r>
    </w:p>
    <w:p>
      <w:pPr>
        <w:pBdr>
          <w:left w:val="single" w:color="1F8A8C" w:sz="12"/>
        </w:pBdr>
        <w:shd w:fill="F3F1EA" w:val="clear"/>
        <w:spacing w:after="100"/>
      </w:pPr>
      <w:r>
        <w:rPr>
          <w:i/>
          <w:iCs/>
          <w:color w:val="8A94A6"/>
          <w:sz w:val="20"/>
          <w:szCs w:val="20"/>
        </w:rPr>
        <w:t xml:space="preserve">GUIDANCE (write this yourself, then delete this box): Open with FundX's value proposition, carried from your Part A Section 1 and updated: the pre-constructed rule-based portfolios now exist, each with the side-by-side fact sheet you promised, and the fee-on-amount-invested business model is live in the app's allocation builder. Then, in your own words: the three fund families x five methods (say why each method is on the shelf and what an investor gets from it), the constraint set (long-only, fully invested, 20% cap / 40% crypto-only, rf = 0), and the walk-forward design: monthly rebalance on the first trading day, 252-day lookback (365 for crypto-only), weights strictly from data before t, weights drifting between rebalances, first live date, and 252 vs 365 annualisation. State the two innovations that live here: HRP as a newer method, and the 10 bps x turnover transaction-cost model. All exact numbers are in results/tables/report_key_numbers.txt after you rerun on real data.</w:t>
      </w:r>
    </w:p>
    <w:p>
      <w:pPr>
        <w:spacing w:after="120"/>
      </w:pPr>
      <w:r>
        <w:rPr>
          <w:sz w:val="22"/>
          <w:szCs w:val="22"/>
        </w:rPr>
        <w:t xml:space="preserve">&lt;your narrative&gt;</w:t>
      </w:r>
    </w:p>
    <w:p>
      <w:pPr>
        <w:pStyle w:val="Heading1"/>
        <w:spacing w:after="120" w:before="280"/>
      </w:pPr>
      <w:r>
        <w:rPr>
          <w:color w:val="12283F"/>
        </w:rPr>
        <w:t xml:space="preserve">2. Out-of-Sample Results and Fund Fact Sheets</w:t>
      </w:r>
    </w:p>
    <w:p>
      <w:pPr>
        <w:pBdr>
          <w:left w:val="single" w:color="1F8A8C" w:sz="12"/>
        </w:pBdr>
        <w:shd w:fill="F3F1EA" w:val="clear"/>
        <w:spacing w:after="100"/>
      </w:pPr>
      <w:r>
        <w:rPr>
          <w:i/>
          <w:iCs/>
          <w:color w:val="8A94A6"/>
          <w:sz w:val="20"/>
          <w:szCs w:val="20"/>
        </w:rPr>
        <w:t xml:space="preserve">GUIDANCE (write this yourself, then delete this box): Interpret, don't recite: which family/method wins on Sharpe and WHY that is economically sensible (diversification across the 250-day-correlated equity block and the 7-day crypto block; min-variance vs max-Sharpe concentration; where HRP lands). Reference every exhibit below by number. Note the annualisation difference when comparing crypto-only funds to the rest, and that fact-sheet metrics are gross (costs shown separately in Section 4).</w:t>
      </w:r>
    </w:p>
    <w:p>
      <w:pPr>
        <w:shd w:fill="EDEAE2" w:val="clear"/>
        <w:spacing w:after="40" w:before="120"/>
        <w:jc w:val="center"/>
      </w:pPr>
      <w:r>
        <w:rPr>
          <w:b/>
          <w:bCs/>
          <w:color w:val="12283F"/>
          <w:sz w:val="20"/>
          <w:szCs w:val="20"/>
        </w:rPr>
        <w:t xml:space="preserve">[ INSERT  results/figures/growth_of_1_combined.png ]</w:t>
      </w:r>
    </w:p>
    <w:p>
      <w:pPr>
        <w:spacing w:after="160"/>
        <w:jc w:val="center"/>
      </w:pPr>
      <w:r>
        <w:rPr>
          <w:i/>
          <w:iCs/>
          <w:sz w:val="18"/>
          <w:szCs w:val="18"/>
        </w:rPr>
        <w:t xml:space="preserve">Figure 1. Growth of $1, combined equity+crypto fund under five optimisation methods. Units: value of $1 invested (USD). Out-of-sample period as shown.</w:t>
      </w:r>
    </w:p>
    <w:p>
      <w:pPr>
        <w:shd w:fill="EDEAE2" w:val="clear"/>
        <w:spacing w:after="40" w:before="120"/>
        <w:jc w:val="center"/>
      </w:pPr>
      <w:r>
        <w:rPr>
          <w:b/>
          <w:bCs/>
          <w:color w:val="12283F"/>
          <w:sz w:val="20"/>
          <w:szCs w:val="20"/>
        </w:rPr>
        <w:t xml:space="preserve">[ INSERT  results/figures/growth_of_1_families.png ]</w:t>
      </w:r>
    </w:p>
    <w:p>
      <w:pPr>
        <w:spacing w:after="160"/>
        <w:jc w:val="center"/>
      </w:pPr>
      <w:r>
        <w:rPr>
          <w:i/>
          <w:iCs/>
          <w:sz w:val="18"/>
          <w:szCs w:val="18"/>
        </w:rPr>
        <w:t xml:space="preserve">Figure 2. Growth of $1, maximum-Sharpe fund by asset family. Units: USD. Out-of-sample period as shown.</w:t>
      </w:r>
    </w:p>
    <w:p>
      <w:pPr>
        <w:shd w:fill="EDEAE2" w:val="clear"/>
        <w:spacing w:after="40" w:before="120"/>
        <w:jc w:val="center"/>
      </w:pPr>
      <w:r>
        <w:rPr>
          <w:b/>
          <w:bCs/>
          <w:color w:val="12283F"/>
          <w:sz w:val="20"/>
          <w:szCs w:val="20"/>
        </w:rPr>
        <w:t xml:space="preserve">[ INSERT  results/figures/drawdown_combined_max_sharpe.png ]</w:t>
      </w:r>
    </w:p>
    <w:p>
      <w:pPr>
        <w:spacing w:after="160"/>
        <w:jc w:val="center"/>
      </w:pPr>
      <w:r>
        <w:rPr>
          <w:i/>
          <w:iCs/>
          <w:sz w:val="18"/>
          <w:szCs w:val="18"/>
        </w:rPr>
        <w:t xml:space="preserve">Figure 3. Drawdown from peak, Combined Maximum-Sharpe fund. Units: % below prior peak.</w:t>
      </w:r>
    </w:p>
    <w:p>
      <w:pPr>
        <w:shd w:fill="EDEAE2" w:val="clear"/>
        <w:spacing w:after="40" w:before="120"/>
        <w:jc w:val="center"/>
      </w:pPr>
      <w:r>
        <w:rPr>
          <w:b/>
          <w:bCs/>
          <w:color w:val="12283F"/>
          <w:sz w:val="20"/>
          <w:szCs w:val="20"/>
        </w:rPr>
        <w:t xml:space="preserve">[ INSERT  results/figures/weights_over_time_combined_max_sharpe.png ]</w:t>
      </w:r>
    </w:p>
    <w:p>
      <w:pPr>
        <w:spacing w:after="160"/>
        <w:jc w:val="center"/>
      </w:pPr>
      <w:r>
        <w:rPr>
          <w:i/>
          <w:iCs/>
          <w:sz w:val="18"/>
          <w:szCs w:val="18"/>
        </w:rPr>
        <w:t xml:space="preserve">Figure 4. Portfolio weights over time at monthly rebalances, Combined Maximum-Sharpe fund (top holdings + other). Units: share of fund.</w:t>
      </w:r>
    </w:p>
    <w:p>
      <w:pPr>
        <w:shd w:fill="EDEAE2" w:val="clear"/>
        <w:spacing w:after="40" w:before="120"/>
        <w:jc w:val="center"/>
      </w:pPr>
      <w:r>
        <w:rPr>
          <w:b/>
          <w:bCs/>
          <w:color w:val="12283F"/>
          <w:sz w:val="20"/>
          <w:szCs w:val="20"/>
        </w:rPr>
        <w:t xml:space="preserve">[ INSERT  results/figures/sharpe_barplot.png ]</w:t>
      </w:r>
    </w:p>
    <w:p>
      <w:pPr>
        <w:spacing w:after="160"/>
        <w:jc w:val="center"/>
      </w:pPr>
      <w:r>
        <w:rPr>
          <w:i/>
          <w:iCs/>
          <w:sz w:val="18"/>
          <w:szCs w:val="18"/>
        </w:rPr>
        <w:t xml:space="preserve">Figure 5. Out-of-sample Sharpe ratio (rf = 0) across funds and methods.</w:t>
      </w:r>
    </w:p>
    <w:p>
      <w:pPr>
        <w:shd w:fill="EDEAE2" w:val="clear"/>
        <w:spacing w:after="40" w:before="60"/>
        <w:jc w:val="center"/>
      </w:pPr>
      <w:r>
        <w:rPr>
          <w:b/>
          <w:bCs/>
          <w:color w:val="12283F"/>
          <w:sz w:val="20"/>
          <w:szCs w:val="20"/>
        </w:rPr>
        <w:t xml:space="preserve">[ INSERT TABLE from results/tables/performance_metrics.csv - Table 1 ]</w:t>
      </w:r>
    </w:p>
    <w:p>
      <w:pPr>
        <w:spacing w:after="160"/>
        <w:jc w:val="center"/>
      </w:pPr>
      <w:r>
        <w:rPr>
          <w:i/>
          <w:iCs/>
          <w:sz w:val="18"/>
          <w:szCs w:val="18"/>
        </w:rPr>
        <w:t xml:space="preserve">Table 1. Fact-sheet metrics for every fund: annualised return, volatility, Sharpe (rf = 0), maximum drawdown, growth of $1, average monthly turnover. Annualisation factor 252 (365 for crypto-only). OOS window in table.</w:t>
      </w:r>
    </w:p>
    <w:p>
      <w:pPr>
        <w:spacing w:after="120"/>
      </w:pPr>
      <w:r>
        <w:rPr>
          <w:sz w:val="22"/>
          <w:szCs w:val="22"/>
        </w:rPr>
        <w:t xml:space="preserve">&lt;your narrative&gt;</w:t>
      </w:r>
    </w:p>
    <w:p>
      <w:pPr>
        <w:pStyle w:val="Heading1"/>
        <w:spacing w:after="120" w:before="280"/>
      </w:pPr>
      <w:r>
        <w:rPr>
          <w:color w:val="12283F"/>
        </w:rPr>
        <w:t xml:space="preserve">3. The Sentiment Index</w:t>
      </w:r>
    </w:p>
    <w:p>
      <w:pPr>
        <w:pBdr>
          <w:left w:val="single" w:color="1F8A8C" w:sz="12"/>
        </w:pBdr>
        <w:shd w:fill="F3F1EA" w:val="clear"/>
        <w:spacing w:after="100"/>
      </w:pPr>
      <w:r>
        <w:rPr>
          <w:i/>
          <w:iCs/>
          <w:color w:val="8A94A6"/>
          <w:sz w:val="20"/>
          <w:szCs w:val="20"/>
        </w:rPr>
        <w:t xml:space="preserve">GUIDANCE (write this yourself, then delete this box): Explain the pipeline in your own words: dedup on ticker+date+title exactly as in Part A (2,847 duplicates removed, 146,836 headlines kept - cite your own Part A Table 2), via the same src/etl.py carried over verbatim, headline -&gt; trading day mapping, per-headline compound, ticker-day mean, equal-weight sector mean over tickers WITH news that day - and JUSTIFY dropping no-news ticker-days (missing data, not neutral zero; padding thin sectors like Materials/Utilities/Real Estate with zeros would drag them to zero mechanically). Justify keeping raw text for VADER. State the lag rule (signal shifted one trading day; a Sat/Mon headline is first usable Tuesday). Describe what the index shows over 2020-2023 and connect at least one swing to an event you VERIFIED in Part A Table 4: the 2020-03 COVID crash (OXY -52% on 2020-03-09; BTC -37% / ETH -42% on Black Thursday 2020-03-12) or the 2023-07-13 XRP +73% ruling day. Lean on those three - you marked the others Not Verified.</w:t>
      </w:r>
    </w:p>
    <w:p>
      <w:pPr>
        <w:shd w:fill="EDEAE2" w:val="clear"/>
        <w:spacing w:after="40" w:before="120"/>
        <w:jc w:val="center"/>
      </w:pPr>
      <w:r>
        <w:rPr>
          <w:b/>
          <w:bCs/>
          <w:color w:val="12283F"/>
          <w:sz w:val="20"/>
          <w:szCs w:val="20"/>
        </w:rPr>
        <w:t xml:space="preserve">[ INSERT  results/figures/sentiment_index.png ]</w:t>
      </w:r>
    </w:p>
    <w:p>
      <w:pPr>
        <w:spacing w:after="160"/>
        <w:jc w:val="center"/>
      </w:pPr>
      <w:r>
        <w:rPr>
          <w:i/>
          <w:iCs/>
          <w:sz w:val="18"/>
          <w:szCs w:val="18"/>
        </w:rPr>
        <w:t xml:space="preserve">Figure 6. News-sentiment index by equity sector, 21-day mean of the daily index (plain VADER). Units: mean compound score, -1 to +1. Sample 2020-2023, headlines only.</w:t>
      </w:r>
    </w:p>
    <w:p>
      <w:pPr>
        <w:spacing w:after="120"/>
      </w:pPr>
      <w:r>
        <w:rPr>
          <w:sz w:val="22"/>
          <w:szCs w:val="22"/>
        </w:rPr>
        <w:t xml:space="preserve">&lt;your narrative&gt;</w:t>
      </w:r>
    </w:p>
    <w:p>
      <w:pPr>
        <w:pStyle w:val="Heading1"/>
        <w:spacing w:after="120" w:before="280"/>
      </w:pPr>
      <w:r>
        <w:rPr>
          <w:color w:val="12283F"/>
        </w:rPr>
        <w:t xml:space="preserve">4. Extensions and Innovations</w:t>
      </w:r>
    </w:p>
    <w:p>
      <w:pPr>
        <w:pStyle w:val="Heading2"/>
        <w:spacing w:after="80" w:before="200"/>
      </w:pPr>
      <w:r>
        <w:rPr>
          <w:color w:val="1F8A8C"/>
        </w:rPr>
        <w:t xml:space="preserve">4.1 Fin-VADER: a finance lexicon for headline sentiment</w:t>
      </w:r>
    </w:p>
    <w:p>
      <w:pPr>
        <w:pBdr>
          <w:left w:val="single" w:color="1F8A8C" w:sz="12"/>
        </w:pBdr>
        <w:shd w:fill="F3F1EA" w:val="clear"/>
        <w:spacing w:after="100"/>
      </w:pPr>
      <w:r>
        <w:rPr>
          <w:i/>
          <w:iCs/>
          <w:color w:val="8A94A6"/>
          <w:sz w:val="20"/>
          <w:szCs w:val="20"/>
        </w:rPr>
        <w:t xml:space="preserve">GUIDANCE (write this yourself, then delete this box): This is the extension you flagged in Part A Section 5 - say so, and give the motivation from your own Part A evidence: only 3.75% of the 1.45M headline tokens hit a sentiment vocabulary (your Table 5), promotional filler like 'top' dominated the term counts, and you predicted plain VADER would leave roughly half of headlines neutral. Then test that prediction: report the measured neutral share for both models (sentiment_model_stats.csv) next to your Part A forecast. Describe how you built the lexicon (AI-drafted candidates on VADER's -4..+4 scale, then re-scored/curated by you - be honest), give 3-4 example terms, and report the evidence: neutral share falls (numbers in results/tables/sentiment_model_stats.csv), the score distribution widens, and the downstream effect on the tilted fund. Remember the rubric rewards evidenced originality, not outperformance.</w:t>
      </w:r>
    </w:p>
    <w:p>
      <w:pPr>
        <w:shd w:fill="EDEAE2" w:val="clear"/>
        <w:spacing w:after="40" w:before="120"/>
        <w:jc w:val="center"/>
      </w:pPr>
      <w:r>
        <w:rPr>
          <w:b/>
          <w:bCs/>
          <w:color w:val="12283F"/>
          <w:sz w:val="20"/>
          <w:szCs w:val="20"/>
        </w:rPr>
        <w:t xml:space="preserve">[ INSERT  results/figures/lexicon_effect.png ]</w:t>
      </w:r>
    </w:p>
    <w:p>
      <w:pPr>
        <w:spacing w:after="160"/>
        <w:jc w:val="center"/>
      </w:pPr>
      <w:r>
        <w:rPr>
          <w:i/>
          <w:iCs/>
          <w:sz w:val="18"/>
          <w:szCs w:val="18"/>
        </w:rPr>
        <w:t xml:space="preserve">Figure 7. Effect of the finance lexicon: share of headlines scored neutral (left) and the distribution of compound scores (right), plain VADER vs Fin-VADER. All deduplicated headlines, 2020-2023.</w:t>
      </w:r>
    </w:p>
    <w:p>
      <w:pPr>
        <w:pStyle w:val="Heading2"/>
        <w:spacing w:after="80" w:before="200"/>
      </w:pPr>
      <w:r>
        <w:rPr>
          <w:color w:val="1F8A8C"/>
        </w:rPr>
        <w:t xml:space="preserve">4.2 Fusion: a sentiment tilt on the equity fund</w:t>
      </w:r>
    </w:p>
    <w:p>
      <w:pPr>
        <w:pBdr>
          <w:left w:val="single" w:color="1F8A8C" w:sz="12"/>
        </w:pBdr>
        <w:shd w:fill="F3F1EA" w:val="clear"/>
        <w:spacing w:after="100"/>
      </w:pPr>
      <w:r>
        <w:rPr>
          <w:i/>
          <w:iCs/>
          <w:color w:val="8A94A6"/>
          <w:sz w:val="20"/>
          <w:szCs w:val="20"/>
        </w:rPr>
        <w:t xml:space="preserve">GUIDANCE (write this yourself, then delete this box): Define the rule precisely (lag 1 day -&gt; 21-day trailing mean -&gt; cross-sectional z across 10 sectors -&gt; weight x clip(1 + 0.25z, 0.6, 1.4) -&gt; renormalise) and WHY each piece is there (lag = no look-ahead; z = relative tone, sector-neutral on average; clip = no runaway bets). Present before-vs-after (Table 2 + Figure 8) for both lexicons. Interpret honestly - if the tilt underperforms, explain why that is plausible (headline tone is noisy, monthly horizon, tilt costs turnover) and what that means for FundX's product claims.</w:t>
      </w:r>
    </w:p>
    <w:p>
      <w:pPr>
        <w:shd w:fill="EDEAE2" w:val="clear"/>
        <w:spacing w:after="40" w:before="120"/>
        <w:jc w:val="center"/>
      </w:pPr>
      <w:r>
        <w:rPr>
          <w:b/>
          <w:bCs/>
          <w:color w:val="12283F"/>
          <w:sz w:val="20"/>
          <w:szCs w:val="20"/>
        </w:rPr>
        <w:t xml:space="preserve">[ INSERT  results/figures/fusion_before_after.png ]</w:t>
      </w:r>
    </w:p>
    <w:p>
      <w:pPr>
        <w:spacing w:after="160"/>
        <w:jc w:val="center"/>
      </w:pPr>
      <w:r>
        <w:rPr>
          <w:i/>
          <w:iCs/>
          <w:sz w:val="18"/>
          <w:szCs w:val="18"/>
        </w:rPr>
        <w:t xml:space="preserve">Figure 8. Fusion before vs after: growth of $1 for the base Equity Maximum-Sharpe fund and its sentiment-tilted variants (VADER and Fin-VADER).</w:t>
      </w:r>
    </w:p>
    <w:p>
      <w:pPr>
        <w:shd w:fill="EDEAE2" w:val="clear"/>
        <w:spacing w:after="40" w:before="60"/>
        <w:jc w:val="center"/>
      </w:pPr>
      <w:r>
        <w:rPr>
          <w:b/>
          <w:bCs/>
          <w:color w:val="12283F"/>
          <w:sz w:val="20"/>
          <w:szCs w:val="20"/>
        </w:rPr>
        <w:t xml:space="preserve">[ INSERT TABLE from results/tables/fusion_before_after.csv - Table 2 ]</w:t>
      </w:r>
    </w:p>
    <w:p>
      <w:pPr>
        <w:spacing w:after="160"/>
        <w:jc w:val="center"/>
      </w:pPr>
      <w:r>
        <w:rPr>
          <w:i/>
          <w:iCs/>
          <w:sz w:val="18"/>
          <w:szCs w:val="18"/>
        </w:rPr>
        <w:t xml:space="preserve">Table 2. Fusion comparison: base fund vs sentiment-tilted variants - annualised return, volatility, Sharpe, maximum drawdown, turnover.</w:t>
      </w:r>
    </w:p>
    <w:p>
      <w:pPr>
        <w:pStyle w:val="Heading2"/>
        <w:spacing w:after="80" w:before="200"/>
      </w:pPr>
      <w:r>
        <w:rPr>
          <w:color w:val="1F8A8C"/>
        </w:rPr>
        <w:t xml:space="preserve">4.3 Turnover and transaction costs</w:t>
      </w:r>
    </w:p>
    <w:p>
      <w:pPr>
        <w:pBdr>
          <w:left w:val="single" w:color="1F8A8C" w:sz="12"/>
        </w:pBdr>
        <w:shd w:fill="F3F1EA" w:val="clear"/>
        <w:spacing w:after="100"/>
      </w:pPr>
      <w:r>
        <w:rPr>
          <w:i/>
          <w:iCs/>
          <w:color w:val="8A94A6"/>
          <w:sz w:val="20"/>
          <w:szCs w:val="20"/>
        </w:rPr>
        <w:t xml:space="preserve">GUIDANCE (write this yourself, then delete this box): One paragraph: turnover is measured against drifted weights; costs = 10 bps x turnover on rebalance days; show which methods are cheap to run (equal weight, risk parity) vs expensive (max Sharpe, and the tilt adds more), and what that does to net Sharpe (net_sharpe_10bps column in Table 1).</w:t>
      </w:r>
    </w:p>
    <w:p>
      <w:pPr>
        <w:shd w:fill="EDEAE2" w:val="clear"/>
        <w:spacing w:after="40" w:before="120"/>
        <w:jc w:val="center"/>
      </w:pPr>
      <w:r>
        <w:rPr>
          <w:b/>
          <w:bCs/>
          <w:color w:val="12283F"/>
          <w:sz w:val="20"/>
          <w:szCs w:val="20"/>
        </w:rPr>
        <w:t xml:space="preserve">[ INSERT  results/figures/turnover_costs.png ]</w:t>
      </w:r>
    </w:p>
    <w:p>
      <w:pPr>
        <w:spacing w:after="160"/>
        <w:jc w:val="center"/>
      </w:pPr>
      <w:r>
        <w:rPr>
          <w:i/>
          <w:iCs/>
          <w:sz w:val="18"/>
          <w:szCs w:val="18"/>
        </w:rPr>
        <w:t xml:space="preserve">Figure 9. Transaction-cost model: gross vs net-of-costs growth of $1, Combined Maximum-Sharpe fund (10 bps x turnover).</w:t>
      </w:r>
    </w:p>
    <w:p>
      <w:pPr>
        <w:pStyle w:val="Heading2"/>
        <w:spacing w:after="80" w:before="200"/>
      </w:pPr>
      <w:r>
        <w:rPr>
          <w:color w:val="1F8A8C"/>
        </w:rPr>
        <w:t xml:space="preserve">4.4 Design system</w:t>
      </w:r>
    </w:p>
    <w:p>
      <w:pPr>
        <w:pBdr>
          <w:left w:val="single" w:color="1F8A8C" w:sz="12"/>
        </w:pBdr>
        <w:shd w:fill="F3F1EA" w:val="clear"/>
        <w:spacing w:after="100"/>
      </w:pPr>
      <w:r>
        <w:rPr>
          <w:i/>
          <w:iCs/>
          <w:color w:val="8A94A6"/>
          <w:sz w:val="20"/>
          <w:szCs w:val="20"/>
        </w:rPr>
        <w:t xml:space="preserve">GUIDANCE (write this yourself, then delete this box): Two or three sentences: the FundX palette/typography is your own design system used consistently across every report figure (src/plotstyle.py) and the app, replacing the provided style.</w:t>
      </w:r>
    </w:p>
    <w:p>
      <w:pPr>
        <w:spacing w:after="120"/>
      </w:pPr>
      <w:r>
        <w:rPr>
          <w:sz w:val="22"/>
          <w:szCs w:val="22"/>
        </w:rPr>
        <w:t xml:space="preserve">&lt;your narrative&gt;</w:t>
      </w:r>
    </w:p>
    <w:p>
      <w:pPr>
        <w:pStyle w:val="Heading1"/>
        <w:spacing w:after="120" w:before="280"/>
      </w:pPr>
      <w:r>
        <w:rPr>
          <w:color w:val="12283F"/>
        </w:rPr>
        <w:t xml:space="preserve">5. The App and the Investor Journey</w:t>
      </w:r>
    </w:p>
    <w:p>
      <w:pPr>
        <w:pBdr>
          <w:left w:val="single" w:color="1F8A8C" w:sz="12"/>
        </w:pBdr>
        <w:shd w:fill="F3F1EA" w:val="clear"/>
        <w:spacing w:after="100"/>
      </w:pPr>
      <w:r>
        <w:rPr>
          <w:i/>
          <w:iCs/>
          <w:color w:val="8A94A6"/>
          <w:sz w:val="20"/>
          <w:szCs w:val="20"/>
        </w:rPr>
        <w:t xml:space="preserve">GUIDANCE (write this yourself, then delete this box): Describe the target user (from Part A) and walk the journey as the app implements it: Compare funds -&gt; open a Fact sheet -&gt; Build your allocation (sliders, normalised mix, blended OOS metrics, the 0.75% p.a. fee illustration = FundX's business model) -&gt; Sentiment analytics (smoothing, lexicon toggle, lag note) -&gt; Methodology. Explain the architecture honestly: the deployed app reads precomputed results/ (never runs VADER/optimisers - free tier), raw data only via data_access, one optional live-data expander. Add screenshots of 2-3 pages from YOUR deployed app, and give the live URL + public repo link.</w:t>
      </w:r>
    </w:p>
    <w:p>
      <w:pPr>
        <w:spacing w:after="120"/>
      </w:pPr>
      <w:r>
        <w:rPr>
          <w:sz w:val="22"/>
          <w:szCs w:val="22"/>
        </w:rPr>
        <w:t xml:space="preserve">&lt;your narrative&gt;</w:t>
      </w:r>
    </w:p>
    <w:p>
      <w:pPr>
        <w:pStyle w:val="Heading1"/>
        <w:spacing w:after="120" w:before="280"/>
      </w:pPr>
      <w:r>
        <w:rPr>
          <w:color w:val="12283F"/>
        </w:rPr>
        <w:t xml:space="preserve">6. Critical Reflection and Three Recommendations</w:t>
      </w:r>
    </w:p>
    <w:p>
      <w:pPr>
        <w:pBdr>
          <w:left w:val="single" w:color="1F8A8C" w:sz="12"/>
        </w:pBdr>
        <w:shd w:fill="F3F1EA" w:val="clear"/>
        <w:spacing w:after="100"/>
      </w:pPr>
      <w:r>
        <w:rPr>
          <w:i/>
          <w:iCs/>
          <w:color w:val="8A94A6"/>
          <w:sz w:val="20"/>
          <w:szCs w:val="20"/>
        </w:rPr>
        <w:t xml:space="preserve">GUIDANCE (write this yourself, then delete this box): What worked, what did not, and why - grounded in your exhibits (e.g. where max-Sharpe's concentration showed up in drawdowns; what the tilt did and did not deliver; what surprised you vs Part A expectations). Then EXACTLY three concrete, real-world recommendations, each specific and actionable. Candidates you can defend from your own evidence (pick three, write them as yours, one sentence of evidence each): (1) productionise your Part A extreme-move screen (the 29 kept |z|&gt;8 events) into a live data-quality monitor for the fund pipeline - this was the OTHER extension you flagged in Part A Section 5, so closing the loop on it is a strong ending; (2) estimate lexicon valences from data (e.g. regress next-day returns on term presence) instead of hand-set scores; (3) add a turnover penalty or trade-band to the optimiser so net-of-cost Sharpe, not gross, is what FundX sells; (4) headline-only text is thin - ingest article bodies or an entity-level feed before trusting sentiment with real money.</w:t>
      </w:r>
    </w:p>
    <w:p>
      <w:pPr>
        <w:spacing w:after="120"/>
      </w:pPr>
      <w:r>
        <w:rPr>
          <w:sz w:val="22"/>
          <w:szCs w:val="22"/>
        </w:rPr>
        <w:t xml:space="preserve">&lt;your narrative&gt;</w:t>
      </w:r>
    </w:p>
    <w:p>
      <w:r>
        <w:br w:type="page"/>
      </w:r>
    </w:p>
    <w:p>
      <w:pPr>
        <w:pStyle w:val="Heading1"/>
        <w:spacing w:after="120" w:before="280"/>
      </w:pPr>
      <w:r>
        <w:rPr>
          <w:color w:val="12283F"/>
        </w:rPr>
        <w:t xml:space="preserve">Appendix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A. Any additional exhibits (weights for further funds, sector detail).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B. Full performance table if trimmed in the body.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C. References (data sources, VADER/Hutto &amp; Gilbert 2014, Lopez de Prado 2016 for HRP, Spinu 2013 for ERC).</w:t>
      </w:r>
    </w:p>
    <w:p>
      <w:pPr>
        <w:pBdr>
          <w:left w:val="single" w:color="1F8A8C" w:sz="12"/>
        </w:pBdr>
        <w:shd w:fill="F3F1EA" w:val="clear"/>
        <w:spacing w:after="100"/>
      </w:pPr>
      <w:r>
        <w:rPr>
          <w:i/>
          <w:iCs/>
          <w:color w:val="8A94A6"/>
          <w:sz w:val="20"/>
          <w:szCs w:val="20"/>
        </w:rPr>
        <w:t xml:space="preserve">GUIDANCE (write this yourself, then delete this box): Word budget: max ~5,000 words / 10 pages of narrative excluding appendix and references. Author here in Word, export to report/report.pdf. Every figure/table must be referenced and interpreted in the text - never dropped in raw.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2026-08-17T13:31:01.872Z</dcterms:created>
  <dcterms:modified xsi:type="dcterms:W3CDTF">2026-08-17T13:31:01.883Z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