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6A36" w14:textId="77777777" w:rsidR="00B859D4" w:rsidRDefault="00B859D4" w:rsidP="00B859D4">
      <w:pPr>
        <w:spacing w:after="0" w:line="240" w:lineRule="auto"/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B859D4">
        <w:rPr>
          <w:rFonts w:ascii="Aptos" w:hAnsi="Aptos"/>
          <w:b/>
          <w:bCs/>
          <w:kern w:val="28"/>
          <w:sz w:val="32"/>
          <w:szCs w:val="32"/>
        </w:rPr>
        <w:t>Top 100 des cabinets de conseil</w:t>
      </w:r>
      <w:r w:rsidRPr="00B859D4">
        <w:rPr>
          <w:rFonts w:ascii="Aptos" w:hAnsi="Aptos"/>
          <w:b/>
          <w:bCs/>
          <w:kern w:val="28"/>
          <w:sz w:val="32"/>
          <w:szCs w:val="32"/>
        </w:rPr>
        <w:t xml:space="preserve">, </w:t>
      </w:r>
      <w:r>
        <w:rPr>
          <w:rFonts w:ascii="Aptos" w:hAnsi="Aptos"/>
          <w:b/>
          <w:bCs/>
          <w:kern w:val="28"/>
          <w:sz w:val="32"/>
          <w:szCs w:val="32"/>
        </w:rPr>
        <w:t xml:space="preserve">La Lettre du conseil, 26 </w:t>
      </w:r>
      <w:proofErr w:type="gramStart"/>
      <w:r>
        <w:rPr>
          <w:rFonts w:ascii="Aptos" w:hAnsi="Aptos"/>
          <w:b/>
          <w:bCs/>
          <w:kern w:val="28"/>
          <w:sz w:val="32"/>
          <w:szCs w:val="32"/>
        </w:rPr>
        <w:t>Mai</w:t>
      </w:r>
      <w:proofErr w:type="gramEnd"/>
      <w:r>
        <w:rPr>
          <w:rFonts w:ascii="Aptos" w:hAnsi="Aptos"/>
          <w:b/>
          <w:bCs/>
          <w:kern w:val="28"/>
          <w:sz w:val="32"/>
          <w:szCs w:val="32"/>
        </w:rPr>
        <w:t xml:space="preserve"> 2025</w:t>
      </w:r>
    </w:p>
    <w:p w14:paraId="76AEA18A" w14:textId="77777777" w:rsidR="00B859D4" w:rsidRDefault="00B859D4" w:rsidP="00B859D4">
      <w:pPr>
        <w:spacing w:after="0" w:line="240" w:lineRule="auto"/>
        <w:jc w:val="center"/>
        <w:rPr>
          <w:rFonts w:ascii="Aptos" w:hAnsi="Aptos"/>
          <w:b/>
          <w:bCs/>
          <w:kern w:val="28"/>
          <w:sz w:val="32"/>
          <w:szCs w:val="32"/>
        </w:rPr>
      </w:pPr>
    </w:p>
    <w:p w14:paraId="068DE6E2" w14:textId="77777777" w:rsidR="00C16B0D" w:rsidRPr="00C16B0D" w:rsidRDefault="00C16B0D" w:rsidP="00C16B0D">
      <w:pPr>
        <w:spacing w:after="0" w:line="240" w:lineRule="auto"/>
        <w:rPr>
          <w:rFonts w:ascii="Aptos" w:hAnsi="Aptos"/>
          <w:kern w:val="28"/>
        </w:rPr>
      </w:pPr>
      <w:r w:rsidRPr="00C16B0D">
        <w:rPr>
          <w:rFonts w:ascii="Aptos" w:hAnsi="Aptos"/>
          <w:kern w:val="28"/>
        </w:rPr>
        <w:t xml:space="preserve">Dans ce Top 100 des cabinets de conseil en France, retrouvez les données agrégées par </w:t>
      </w:r>
      <w:proofErr w:type="spellStart"/>
      <w:r w:rsidRPr="00C16B0D">
        <w:rPr>
          <w:rFonts w:ascii="Aptos" w:hAnsi="Aptos"/>
          <w:kern w:val="28"/>
        </w:rPr>
        <w:t>Starzdata</w:t>
      </w:r>
      <w:proofErr w:type="spellEnd"/>
      <w:r w:rsidRPr="00C16B0D">
        <w:rPr>
          <w:rFonts w:ascii="Aptos" w:hAnsi="Aptos"/>
          <w:kern w:val="28"/>
        </w:rPr>
        <w:t xml:space="preserve"> et la Lettre du conseil. Elles portent sur le chiffre d’affaires des cabinets, leur effectif en France et dans le monde.</w:t>
      </w:r>
    </w:p>
    <w:p w14:paraId="5DE7F4D9" w14:textId="77777777" w:rsidR="00C16B0D" w:rsidRDefault="00C16B0D" w:rsidP="00C16B0D">
      <w:pPr>
        <w:spacing w:after="0" w:line="240" w:lineRule="auto"/>
        <w:rPr>
          <w:rFonts w:ascii="Aptos" w:hAnsi="Aptos"/>
          <w:kern w:val="28"/>
        </w:rPr>
      </w:pPr>
    </w:p>
    <w:p w14:paraId="0CDF0FD9" w14:textId="05D88160" w:rsidR="00C16B0D" w:rsidRPr="00C16B0D" w:rsidRDefault="00C16B0D" w:rsidP="00C16B0D">
      <w:pPr>
        <w:spacing w:after="0" w:line="240" w:lineRule="auto"/>
        <w:rPr>
          <w:rFonts w:ascii="Aptos" w:hAnsi="Aptos"/>
          <w:kern w:val="28"/>
        </w:rPr>
      </w:pPr>
      <w:r w:rsidRPr="00C16B0D">
        <w:rPr>
          <w:rFonts w:ascii="Aptos" w:hAnsi="Aptos"/>
          <w:kern w:val="28"/>
        </w:rPr>
        <w:t>Publié le 26 mai 2025 à 9h30</w:t>
      </w:r>
    </w:p>
    <w:p w14:paraId="646F9D98" w14:textId="77777777" w:rsidR="00C16B0D" w:rsidRPr="00C16B0D" w:rsidRDefault="00C16B0D" w:rsidP="00C16B0D">
      <w:pPr>
        <w:spacing w:after="0" w:line="240" w:lineRule="auto"/>
        <w:rPr>
          <w:rFonts w:ascii="Aptos" w:hAnsi="Aptos"/>
          <w:kern w:val="28"/>
        </w:rPr>
      </w:pPr>
      <w:r w:rsidRPr="00C16B0D">
        <w:rPr>
          <w:rFonts w:ascii="Aptos" w:hAnsi="Aptos"/>
          <w:kern w:val="28"/>
        </w:rPr>
        <w:t>Lecture 1 min.</w:t>
      </w:r>
    </w:p>
    <w:p w14:paraId="28FDBF0A" w14:textId="77777777" w:rsidR="00C16B0D" w:rsidRPr="00C16B0D" w:rsidRDefault="00C16B0D" w:rsidP="00C16B0D">
      <w:pPr>
        <w:spacing w:after="0" w:line="240" w:lineRule="auto"/>
        <w:rPr>
          <w:rFonts w:ascii="Aptos" w:hAnsi="Aptos"/>
          <w:b/>
          <w:bCs/>
          <w:kern w:val="28"/>
          <w:sz w:val="32"/>
          <w:szCs w:val="32"/>
          <w:lang w:val="en-US"/>
        </w:rPr>
      </w:pPr>
      <w:r w:rsidRPr="00C16B0D">
        <w:rPr>
          <w:rFonts w:ascii="Aptos" w:hAnsi="Aptos"/>
          <w:kern w:val="28"/>
          <w:lang w:val="en-US"/>
        </w:rPr>
        <w:pict w14:anchorId="144B1213">
          <v:rect id="_x0000_i1036" style="width:0;height:1.5pt" o:hrstd="t" o:hrnoshade="t" o:hr="t" fillcolor="#c3c3c3" stroked="f"/>
        </w:pict>
      </w:r>
    </w:p>
    <w:p w14:paraId="420915CE" w14:textId="52E1B740" w:rsidR="00B859D4" w:rsidRDefault="00C16B0D" w:rsidP="00C16B0D">
      <w:pPr>
        <w:spacing w:after="0" w:line="240" w:lineRule="auto"/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C16B0D">
        <w:rPr>
          <w:rFonts w:ascii="Aptos" w:hAnsi="Aptos"/>
          <w:b/>
          <w:bCs/>
          <w:kern w:val="28"/>
          <w:sz w:val="32"/>
          <w:szCs w:val="32"/>
          <w:lang w:val="en-US"/>
        </w:rPr>
        <w:drawing>
          <wp:inline distT="0" distB="0" distL="0" distR="0" wp14:anchorId="1F010E4A" wp14:editId="0D51C361">
            <wp:extent cx="4356100" cy="2450306"/>
            <wp:effectExtent l="0" t="0" r="6350" b="7620"/>
            <wp:docPr id="344505470" name="Image 2" descr="Une image contenant capture d’écran, rouge, art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05470" name="Image 2" descr="Une image contenant capture d’écran, rouge, art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8" cy="245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9D4">
        <w:rPr>
          <w:rFonts w:ascii="Aptos" w:hAnsi="Aptos"/>
          <w:b/>
          <w:bCs/>
          <w:kern w:val="28"/>
          <w:sz w:val="32"/>
          <w:szCs w:val="32"/>
        </w:rPr>
        <w:t xml:space="preserve"> </w:t>
      </w:r>
    </w:p>
    <w:p w14:paraId="761562E5" w14:textId="77777777" w:rsidR="00270E67" w:rsidRPr="00270E67" w:rsidRDefault="00270E67" w:rsidP="00C16B0D">
      <w:pPr>
        <w:spacing w:after="0" w:line="240" w:lineRule="auto"/>
        <w:jc w:val="center"/>
        <w:rPr>
          <w:rFonts w:ascii="Aptos" w:hAnsi="Aptos"/>
          <w:b/>
          <w:bCs/>
          <w:color w:val="C00000"/>
          <w:kern w:val="28"/>
          <w:sz w:val="32"/>
          <w:szCs w:val="32"/>
        </w:rPr>
      </w:pPr>
    </w:p>
    <w:p w14:paraId="02C481BE" w14:textId="77777777" w:rsidR="00270E67" w:rsidRPr="00270E67" w:rsidRDefault="00270E67" w:rsidP="00270E67">
      <w:pPr>
        <w:spacing w:after="0" w:line="240" w:lineRule="auto"/>
        <w:rPr>
          <w:rFonts w:ascii="Aptos" w:hAnsi="Aptos"/>
          <w:b/>
          <w:bCs/>
          <w:color w:val="C00000"/>
          <w:kern w:val="28"/>
        </w:rPr>
      </w:pPr>
      <w:r w:rsidRPr="00270E67">
        <w:rPr>
          <w:rFonts w:ascii="Aptos" w:hAnsi="Aptos"/>
          <w:b/>
          <w:bCs/>
          <w:color w:val="C00000"/>
          <w:kern w:val="28"/>
        </w:rPr>
        <w:t>Méthodologie et sources</w:t>
      </w:r>
    </w:p>
    <w:p w14:paraId="57120E0E" w14:textId="77777777" w:rsidR="00270E67" w:rsidRDefault="00270E67" w:rsidP="00270E67">
      <w:pPr>
        <w:spacing w:after="0" w:line="240" w:lineRule="auto"/>
        <w:rPr>
          <w:rFonts w:ascii="Aptos" w:hAnsi="Aptos"/>
          <w:kern w:val="28"/>
        </w:rPr>
      </w:pPr>
    </w:p>
    <w:p w14:paraId="47B20EE5" w14:textId="72CA5454" w:rsidR="00270E67" w:rsidRPr="00270E67" w:rsidRDefault="00270E67" w:rsidP="00270E67">
      <w:p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 xml:space="preserve">Les données de chiffre d’affaires et d’effectifs remontées dans ce Top ont été obtenues grâce aux technologies d’intelligence artificielle propriétaires de </w:t>
      </w:r>
      <w:proofErr w:type="spellStart"/>
      <w:r w:rsidRPr="00270E67">
        <w:rPr>
          <w:rFonts w:ascii="Aptos" w:hAnsi="Aptos"/>
          <w:kern w:val="28"/>
        </w:rPr>
        <w:t>Starzdata</w:t>
      </w:r>
      <w:proofErr w:type="spellEnd"/>
      <w:r w:rsidRPr="00270E67">
        <w:rPr>
          <w:rFonts w:ascii="Aptos" w:hAnsi="Aptos"/>
          <w:kern w:val="28"/>
        </w:rPr>
        <w:t>, qui permettent de passer en revue une grande quantité de sources et d’en extraire les informations souhaitées.</w:t>
      </w:r>
    </w:p>
    <w:p w14:paraId="4FFE8893" w14:textId="77777777" w:rsidR="00270E67" w:rsidRDefault="00270E67" w:rsidP="00270E67">
      <w:pPr>
        <w:spacing w:after="0" w:line="240" w:lineRule="auto"/>
        <w:rPr>
          <w:rFonts w:ascii="Aptos" w:hAnsi="Aptos"/>
          <w:kern w:val="28"/>
        </w:rPr>
      </w:pPr>
    </w:p>
    <w:p w14:paraId="14F23BDE" w14:textId="237B65D6" w:rsidR="00270E67" w:rsidRPr="00270E67" w:rsidRDefault="00270E67" w:rsidP="00270E67">
      <w:p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>Les données agrégées sont les suivantes :</w:t>
      </w:r>
    </w:p>
    <w:p w14:paraId="2BEF6182" w14:textId="77777777" w:rsidR="00270E67" w:rsidRPr="00270E67" w:rsidRDefault="00270E67" w:rsidP="00270E67">
      <w:pPr>
        <w:numPr>
          <w:ilvl w:val="0"/>
          <w:numId w:val="1"/>
        </w:num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>Chiffre d’affaires réalisé en France estimé</w:t>
      </w:r>
    </w:p>
    <w:p w14:paraId="197C7200" w14:textId="77777777" w:rsidR="00270E67" w:rsidRPr="00270E67" w:rsidRDefault="00270E67" w:rsidP="00270E67">
      <w:pPr>
        <w:numPr>
          <w:ilvl w:val="0"/>
          <w:numId w:val="1"/>
        </w:num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>Types de cabinets, réduits à 4 grandes catégories pour plus de lisibilité :</w:t>
      </w:r>
    </w:p>
    <w:p w14:paraId="562E1F33" w14:textId="77777777" w:rsidR="00270E67" w:rsidRPr="00270E67" w:rsidRDefault="00270E67" w:rsidP="00270E67">
      <w:pPr>
        <w:numPr>
          <w:ilvl w:val="1"/>
          <w:numId w:val="1"/>
        </w:numPr>
        <w:spacing w:after="0" w:line="240" w:lineRule="auto"/>
        <w:rPr>
          <w:rFonts w:ascii="Aptos" w:hAnsi="Aptos"/>
          <w:kern w:val="28"/>
          <w:lang w:val="en-US"/>
        </w:rPr>
      </w:pPr>
      <w:r w:rsidRPr="00270E67">
        <w:rPr>
          <w:rFonts w:ascii="Aptos" w:hAnsi="Aptos"/>
          <w:kern w:val="28"/>
          <w:lang w:val="en-US"/>
        </w:rPr>
        <w:t xml:space="preserve">Firme </w:t>
      </w:r>
      <w:proofErr w:type="spellStart"/>
      <w:r w:rsidRPr="00270E67">
        <w:rPr>
          <w:rFonts w:ascii="Aptos" w:hAnsi="Aptos"/>
          <w:kern w:val="28"/>
          <w:lang w:val="en-US"/>
        </w:rPr>
        <w:t>pluridisciplinaire</w:t>
      </w:r>
      <w:proofErr w:type="spellEnd"/>
    </w:p>
    <w:p w14:paraId="426FC005" w14:textId="77777777" w:rsidR="00270E67" w:rsidRPr="00270E67" w:rsidRDefault="00270E67" w:rsidP="00270E67">
      <w:pPr>
        <w:numPr>
          <w:ilvl w:val="1"/>
          <w:numId w:val="1"/>
        </w:numPr>
        <w:spacing w:after="0" w:line="240" w:lineRule="auto"/>
        <w:rPr>
          <w:rFonts w:ascii="Aptos" w:hAnsi="Aptos"/>
          <w:kern w:val="28"/>
          <w:lang w:val="en-US"/>
        </w:rPr>
      </w:pPr>
      <w:r w:rsidRPr="00270E67">
        <w:rPr>
          <w:rFonts w:ascii="Aptos" w:hAnsi="Aptos"/>
          <w:kern w:val="28"/>
          <w:lang w:val="en-US"/>
        </w:rPr>
        <w:t>ESN et conseil en IT</w:t>
      </w:r>
    </w:p>
    <w:p w14:paraId="54264726" w14:textId="77777777" w:rsidR="00270E67" w:rsidRPr="00270E67" w:rsidRDefault="00270E67" w:rsidP="00270E67">
      <w:pPr>
        <w:numPr>
          <w:ilvl w:val="1"/>
          <w:numId w:val="1"/>
        </w:num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>Cabinet de conseil en stratégie et / ou management</w:t>
      </w:r>
    </w:p>
    <w:p w14:paraId="5B8453A5" w14:textId="77777777" w:rsidR="00270E67" w:rsidRPr="00270E67" w:rsidRDefault="00270E67" w:rsidP="00270E67">
      <w:pPr>
        <w:numPr>
          <w:ilvl w:val="1"/>
          <w:numId w:val="1"/>
        </w:numPr>
        <w:spacing w:after="0" w:line="240" w:lineRule="auto"/>
        <w:rPr>
          <w:rFonts w:ascii="Aptos" w:hAnsi="Aptos"/>
          <w:kern w:val="28"/>
          <w:lang w:val="en-US"/>
        </w:rPr>
      </w:pPr>
      <w:r w:rsidRPr="00270E67">
        <w:rPr>
          <w:rFonts w:ascii="Aptos" w:hAnsi="Aptos"/>
          <w:kern w:val="28"/>
          <w:lang w:val="en-US"/>
        </w:rPr>
        <w:t xml:space="preserve">Conseil en </w:t>
      </w:r>
      <w:proofErr w:type="spellStart"/>
      <w:r w:rsidRPr="00270E67">
        <w:rPr>
          <w:rFonts w:ascii="Aptos" w:hAnsi="Aptos"/>
          <w:kern w:val="28"/>
          <w:lang w:val="en-US"/>
        </w:rPr>
        <w:t>ingénierie</w:t>
      </w:r>
      <w:proofErr w:type="spellEnd"/>
    </w:p>
    <w:p w14:paraId="7E89CEC8" w14:textId="77777777" w:rsidR="00270E67" w:rsidRPr="00270E67" w:rsidRDefault="00270E67" w:rsidP="00270E67">
      <w:pPr>
        <w:numPr>
          <w:ilvl w:val="0"/>
          <w:numId w:val="1"/>
        </w:numPr>
        <w:spacing w:after="0" w:line="240" w:lineRule="auto"/>
        <w:rPr>
          <w:rFonts w:ascii="Aptos" w:hAnsi="Aptos"/>
          <w:kern w:val="28"/>
          <w:lang w:val="en-US"/>
        </w:rPr>
      </w:pPr>
      <w:proofErr w:type="spellStart"/>
      <w:r w:rsidRPr="00270E67">
        <w:rPr>
          <w:rFonts w:ascii="Aptos" w:hAnsi="Aptos"/>
          <w:kern w:val="28"/>
          <w:lang w:val="en-US"/>
        </w:rPr>
        <w:t>Effectif</w:t>
      </w:r>
      <w:proofErr w:type="spellEnd"/>
      <w:r w:rsidRPr="00270E67">
        <w:rPr>
          <w:rFonts w:ascii="Aptos" w:hAnsi="Aptos"/>
          <w:kern w:val="28"/>
          <w:lang w:val="en-US"/>
        </w:rPr>
        <w:t xml:space="preserve"> en France </w:t>
      </w:r>
      <w:proofErr w:type="spellStart"/>
      <w:r w:rsidRPr="00270E67">
        <w:rPr>
          <w:rFonts w:ascii="Aptos" w:hAnsi="Aptos"/>
          <w:kern w:val="28"/>
          <w:lang w:val="en-US"/>
        </w:rPr>
        <w:t>estimé</w:t>
      </w:r>
      <w:proofErr w:type="spellEnd"/>
    </w:p>
    <w:p w14:paraId="07CED9CD" w14:textId="77777777" w:rsidR="00270E67" w:rsidRPr="00270E67" w:rsidRDefault="00270E67" w:rsidP="00270E67">
      <w:pPr>
        <w:numPr>
          <w:ilvl w:val="0"/>
          <w:numId w:val="1"/>
        </w:numPr>
        <w:spacing w:after="0" w:line="240" w:lineRule="auto"/>
        <w:rPr>
          <w:rFonts w:ascii="Aptos" w:hAnsi="Aptos"/>
          <w:kern w:val="28"/>
          <w:lang w:val="en-US"/>
        </w:rPr>
      </w:pPr>
      <w:proofErr w:type="spellStart"/>
      <w:r w:rsidRPr="00270E67">
        <w:rPr>
          <w:rFonts w:ascii="Aptos" w:hAnsi="Aptos"/>
          <w:kern w:val="28"/>
          <w:lang w:val="en-US"/>
        </w:rPr>
        <w:t>Effectif</w:t>
      </w:r>
      <w:proofErr w:type="spellEnd"/>
      <w:r w:rsidRPr="00270E67">
        <w:rPr>
          <w:rFonts w:ascii="Aptos" w:hAnsi="Aptos"/>
          <w:kern w:val="28"/>
          <w:lang w:val="en-US"/>
        </w:rPr>
        <w:t xml:space="preserve"> dans le monde </w:t>
      </w:r>
      <w:proofErr w:type="spellStart"/>
      <w:r w:rsidRPr="00270E67">
        <w:rPr>
          <w:rFonts w:ascii="Aptos" w:hAnsi="Aptos"/>
          <w:kern w:val="28"/>
          <w:lang w:val="en-US"/>
        </w:rPr>
        <w:t>estimé</w:t>
      </w:r>
      <w:proofErr w:type="spellEnd"/>
    </w:p>
    <w:p w14:paraId="4B973790" w14:textId="77777777" w:rsidR="00270E67" w:rsidRDefault="00270E67" w:rsidP="00270E67">
      <w:pPr>
        <w:spacing w:after="0" w:line="240" w:lineRule="auto"/>
        <w:rPr>
          <w:rFonts w:ascii="Aptos" w:hAnsi="Aptos"/>
          <w:kern w:val="28"/>
        </w:rPr>
      </w:pPr>
    </w:p>
    <w:p w14:paraId="25864CCA" w14:textId="6AB20C85" w:rsidR="00270E67" w:rsidRPr="00270E67" w:rsidRDefault="00270E67" w:rsidP="00270E67">
      <w:pPr>
        <w:spacing w:after="0" w:line="240" w:lineRule="auto"/>
        <w:rPr>
          <w:rFonts w:ascii="Aptos" w:hAnsi="Aptos"/>
          <w:kern w:val="28"/>
        </w:rPr>
      </w:pPr>
      <w:r w:rsidRPr="00270E67">
        <w:rPr>
          <w:rFonts w:ascii="Aptos" w:hAnsi="Aptos"/>
          <w:kern w:val="28"/>
        </w:rPr>
        <w:t>Pour toutes ces données, l’année de collecte de l’information est disponible.</w:t>
      </w:r>
    </w:p>
    <w:p w14:paraId="20BE04B2" w14:textId="77777777" w:rsidR="00270E67" w:rsidRDefault="00270E67" w:rsidP="00C16B0D">
      <w:pPr>
        <w:spacing w:after="0" w:line="240" w:lineRule="auto"/>
        <w:jc w:val="center"/>
        <w:rPr>
          <w:rFonts w:ascii="Aptos" w:hAnsi="Aptos"/>
          <w:b/>
          <w:bCs/>
          <w:kern w:val="28"/>
          <w:sz w:val="32"/>
          <w:szCs w:val="32"/>
        </w:rPr>
      </w:pPr>
    </w:p>
    <w:p w14:paraId="004C399C" w14:textId="77777777" w:rsidR="00BB5C99" w:rsidRPr="00BB5C99" w:rsidRDefault="00BB5C99" w:rsidP="00BB5C99">
      <w:pPr>
        <w:spacing w:after="0" w:line="240" w:lineRule="auto"/>
        <w:rPr>
          <w:rFonts w:ascii="Aptos" w:hAnsi="Aptos"/>
          <w:b/>
          <w:bCs/>
          <w:kern w:val="28"/>
        </w:rPr>
      </w:pPr>
      <w:r w:rsidRPr="00BB5C99">
        <w:rPr>
          <w:rFonts w:ascii="Aptos" w:hAnsi="Aptos"/>
          <w:b/>
          <w:bCs/>
          <w:kern w:val="28"/>
        </w:rPr>
        <w:t xml:space="preserve">Important : ces données sont des estimations, réalisées sur la base de la méthodologie </w:t>
      </w:r>
      <w:proofErr w:type="spellStart"/>
      <w:r w:rsidRPr="00BB5C99">
        <w:rPr>
          <w:rFonts w:ascii="Aptos" w:hAnsi="Aptos"/>
          <w:b/>
          <w:bCs/>
          <w:kern w:val="28"/>
        </w:rPr>
        <w:t>Starzdata</w:t>
      </w:r>
      <w:proofErr w:type="spellEnd"/>
      <w:r w:rsidRPr="00BB5C99">
        <w:rPr>
          <w:rFonts w:ascii="Aptos" w:hAnsi="Aptos"/>
          <w:b/>
          <w:bCs/>
          <w:kern w:val="28"/>
        </w:rPr>
        <w:t>, </w:t>
      </w:r>
      <w:hyperlink r:id="rId12" w:history="1">
        <w:r w:rsidRPr="00BB5C99">
          <w:rPr>
            <w:rStyle w:val="Lienhypertexte"/>
            <w:rFonts w:ascii="Aptos" w:hAnsi="Aptos"/>
            <w:b/>
            <w:bCs/>
            <w:kern w:val="28"/>
          </w:rPr>
          <w:t>détaillée ici</w:t>
        </w:r>
      </w:hyperlink>
      <w:r w:rsidRPr="00BB5C99">
        <w:rPr>
          <w:rFonts w:ascii="Aptos" w:hAnsi="Aptos"/>
          <w:b/>
          <w:bCs/>
          <w:kern w:val="28"/>
        </w:rPr>
        <w:t>. Si votre cabinet figure dans cette liste et que vous souhaitez corriger les informations qui lui sont associées, vous pouvez </w:t>
      </w:r>
      <w:hyperlink r:id="rId13" w:history="1">
        <w:r w:rsidRPr="00BB5C99">
          <w:rPr>
            <w:rStyle w:val="Lienhypertexte"/>
            <w:rFonts w:ascii="Aptos" w:hAnsi="Aptos"/>
            <w:b/>
            <w:bCs/>
            <w:kern w:val="28"/>
          </w:rPr>
          <w:t>nous écrire</w:t>
        </w:r>
      </w:hyperlink>
      <w:r w:rsidRPr="00BB5C99">
        <w:rPr>
          <w:rFonts w:ascii="Aptos" w:hAnsi="Aptos"/>
          <w:b/>
          <w:bCs/>
          <w:kern w:val="28"/>
        </w:rPr>
        <w:t>.</w:t>
      </w:r>
    </w:p>
    <w:p w14:paraId="6ED09101" w14:textId="77777777" w:rsidR="00BB5C99" w:rsidRPr="00B859D4" w:rsidRDefault="00BB5C99" w:rsidP="00BB5C99">
      <w:pPr>
        <w:spacing w:after="0" w:line="240" w:lineRule="auto"/>
        <w:rPr>
          <w:rFonts w:ascii="Aptos" w:hAnsi="Aptos"/>
          <w:b/>
          <w:bCs/>
          <w:kern w:val="28"/>
        </w:rPr>
      </w:pPr>
    </w:p>
    <w:p w14:paraId="0F6D1A4F" w14:textId="77777777" w:rsidR="00BB5C99" w:rsidRPr="00BB5C99" w:rsidRDefault="00BB5C99" w:rsidP="00BB5C99">
      <w:pPr>
        <w:spacing w:after="0" w:line="240" w:lineRule="auto"/>
        <w:jc w:val="center"/>
        <w:rPr>
          <w:rFonts w:ascii="Aptos" w:hAnsi="Aptos"/>
          <w:b/>
          <w:bCs/>
          <w:color w:val="C00000"/>
          <w:sz w:val="36"/>
          <w:szCs w:val="36"/>
        </w:rPr>
      </w:pPr>
      <w:r w:rsidRPr="00BB5C99">
        <w:rPr>
          <w:rFonts w:ascii="Aptos" w:hAnsi="Aptos"/>
          <w:b/>
          <w:bCs/>
          <w:color w:val="C00000"/>
          <w:sz w:val="36"/>
          <w:szCs w:val="36"/>
        </w:rPr>
        <w:t>Le Classement</w:t>
      </w:r>
    </w:p>
    <w:p w14:paraId="426D940A" w14:textId="7D0A4E5C" w:rsidR="00BB5C99" w:rsidRPr="00BB5C99" w:rsidRDefault="00BB5C99" w:rsidP="00BB5C99">
      <w:pPr>
        <w:spacing w:after="0" w:line="240" w:lineRule="auto"/>
        <w:jc w:val="center"/>
        <w:rPr>
          <w:rFonts w:ascii="Aptos" w:hAnsi="Aptos"/>
          <w:b/>
          <w:bCs/>
          <w:color w:val="C00000"/>
          <w:sz w:val="32"/>
          <w:szCs w:val="32"/>
        </w:rPr>
      </w:pPr>
      <w:r>
        <w:rPr>
          <w:rFonts w:ascii="Aptos" w:hAnsi="Aptos"/>
        </w:rPr>
        <w:t xml:space="preserve">Données 2025 </w:t>
      </w:r>
    </w:p>
    <w:p w14:paraId="51EE7DD4" w14:textId="77777777" w:rsidR="00BB5C99" w:rsidRPr="003C11CC" w:rsidRDefault="00BB5C99" w:rsidP="00CD3534">
      <w:pPr>
        <w:spacing w:after="0" w:line="240" w:lineRule="auto"/>
        <w:jc w:val="both"/>
        <w:rPr>
          <w:rFonts w:ascii="Aptos" w:hAnsi="Aptos"/>
        </w:rPr>
      </w:pPr>
    </w:p>
    <w:tbl>
      <w:tblPr>
        <w:tblW w:w="14280" w:type="dxa"/>
        <w:tblCellSpacing w:w="15" w:type="dxa"/>
        <w:tblInd w:w="-2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502"/>
        <w:gridCol w:w="2410"/>
        <w:gridCol w:w="1672"/>
        <w:gridCol w:w="1280"/>
        <w:gridCol w:w="1663"/>
        <w:gridCol w:w="1277"/>
        <w:gridCol w:w="2107"/>
        <w:gridCol w:w="1602"/>
      </w:tblGrid>
      <w:tr w:rsidR="002C1CEE" w:rsidRPr="003B5BE1" w14:paraId="497A8989" w14:textId="77777777" w:rsidTr="007A0003">
        <w:trPr>
          <w:tblHeader/>
          <w:tblCellSpacing w:w="15" w:type="dxa"/>
        </w:trPr>
        <w:tc>
          <w:tcPr>
            <w:tcW w:w="722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6D19F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>#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8AD30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>Nom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CF995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>Type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52E266" w14:textId="77777777" w:rsid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>CA France</w:t>
            </w:r>
          </w:p>
          <w:p w14:paraId="2A39EBCE" w14:textId="49B4F927" w:rsidR="005A5F46" w:rsidRPr="003B5BE1" w:rsidRDefault="005A5F46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>
              <w:rPr>
                <w:rFonts w:ascii="Aptos" w:hAnsi="Aptos"/>
                <w:b/>
                <w:bCs/>
                <w:lang w:val="en-US"/>
              </w:rPr>
              <w:t>k€</w:t>
            </w:r>
          </w:p>
        </w:tc>
        <w:tc>
          <w:tcPr>
            <w:tcW w:w="1250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1811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Effectif</w:t>
            </w:r>
            <w:proofErr w:type="spellEnd"/>
            <w:r w:rsidRPr="003B5BE1">
              <w:rPr>
                <w:rFonts w:ascii="Aptos" w:hAnsi="Aptos"/>
                <w:b/>
                <w:bCs/>
                <w:lang w:val="en-US"/>
              </w:rPr>
              <w:t xml:space="preserve"> France</w:t>
            </w:r>
          </w:p>
        </w:tc>
        <w:tc>
          <w:tcPr>
            <w:tcW w:w="1633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70E39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 xml:space="preserve">CA / </w:t>
            </w: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employé</w:t>
            </w:r>
            <w:proofErr w:type="spellEnd"/>
            <w:r w:rsidRPr="003B5BE1">
              <w:rPr>
                <w:rFonts w:ascii="Aptos" w:hAnsi="Aptos"/>
                <w:b/>
                <w:bCs/>
                <w:lang w:val="en-US"/>
              </w:rPr>
              <w:t xml:space="preserve"> France</w:t>
            </w:r>
          </w:p>
        </w:tc>
        <w:tc>
          <w:tcPr>
            <w:tcW w:w="1247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D8993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Effectif</w:t>
            </w:r>
            <w:proofErr w:type="spellEnd"/>
            <w:r w:rsidRPr="003B5BE1">
              <w:rPr>
                <w:rFonts w:ascii="Aptos" w:hAnsi="Aptos"/>
                <w:b/>
                <w:bCs/>
                <w:lang w:val="en-US"/>
              </w:rPr>
              <w:t xml:space="preserve"> Monde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7B6A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r w:rsidRPr="003B5BE1">
              <w:rPr>
                <w:rFonts w:ascii="Aptos" w:hAnsi="Aptos"/>
                <w:b/>
                <w:bCs/>
                <w:lang w:val="en-US"/>
              </w:rPr>
              <w:t xml:space="preserve">Part </w:t>
            </w: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effectif</w:t>
            </w:r>
            <w:proofErr w:type="spellEnd"/>
            <w:r w:rsidRPr="003B5BE1">
              <w:rPr>
                <w:rFonts w:ascii="Aptos" w:hAnsi="Aptos"/>
                <w:b/>
                <w:bCs/>
                <w:lang w:val="en-US"/>
              </w:rPr>
              <w:t xml:space="preserve"> France / Monde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1C2F34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A49F2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b/>
                <w:bCs/>
                <w:lang w:val="en-US"/>
              </w:rPr>
            </w:pP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Année</w:t>
            </w:r>
            <w:proofErr w:type="spellEnd"/>
            <w:r w:rsidRPr="003B5BE1">
              <w:rPr>
                <w:rFonts w:ascii="Aptos" w:hAnsi="Aptos"/>
                <w:b/>
                <w:bCs/>
                <w:lang w:val="en-US"/>
              </w:rPr>
              <w:t xml:space="preserve"> de </w:t>
            </w:r>
            <w:proofErr w:type="spellStart"/>
            <w:r w:rsidRPr="003B5BE1">
              <w:rPr>
                <w:rFonts w:ascii="Aptos" w:hAnsi="Aptos"/>
                <w:b/>
                <w:bCs/>
                <w:lang w:val="en-US"/>
              </w:rPr>
              <w:t>référence</w:t>
            </w:r>
            <w:proofErr w:type="spellEnd"/>
          </w:p>
        </w:tc>
      </w:tr>
      <w:tr w:rsidR="002C1CEE" w:rsidRPr="003B5BE1" w14:paraId="5A43D6B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FB3BF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83B7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Accenture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4EEC4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CB06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2.270.071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BDC61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661B6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227.007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371D1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750.000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638B78" w14:textId="3EC72B6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EA30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9CFB27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912E0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A0A7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Alten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43E06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Conseil en </w:t>
            </w:r>
            <w:proofErr w:type="spellStart"/>
            <w:r w:rsidRPr="003B5BE1">
              <w:rPr>
                <w:rFonts w:ascii="Aptos" w:hAnsi="Aptos"/>
                <w:lang w:val="en-US"/>
              </w:rPr>
              <w:t>ingénierie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5C20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1.297.000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F0D61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8.200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5110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158.171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E001A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54.000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AC5735" w14:textId="36B70EF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9A69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47DF96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FD74B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72636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Orange Business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5C034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F61E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1.236.106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0D07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10.400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ED07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118.856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52843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A72C44" w14:textId="714DF55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59F0F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7C070F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D62E7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C2B9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Atos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348E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F0D2A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1.234.147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CD6F7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AD1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189.869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8B77D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52.845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81A608" w14:textId="5D4EF2C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CB77D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3FC0C61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BA2D4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6831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Orange </w:t>
            </w:r>
            <w:proofErr w:type="spellStart"/>
            <w:r w:rsidRPr="003B5BE1">
              <w:rPr>
                <w:rFonts w:ascii="Aptos" w:hAnsi="Aptos"/>
                <w:lang w:val="en-US"/>
              </w:rPr>
              <w:t>Cyberdefense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4EF9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B37A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615.508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E93B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F6666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362.063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C2F50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3.269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EDA32" w14:textId="3A2CFA5C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4583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9C191E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7B2C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73A9C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449B7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0E22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581.320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3DB23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7.600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EB42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76.489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73282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333.998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7765E" w14:textId="7F93A6F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E4E2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93196E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7EC3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DDFF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Boston Consulting Group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859C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BEE90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555.214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FF2F8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D004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396.581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99D4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32.395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F2F0C6" w14:textId="690A26B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BC92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4260D3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7696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AA8B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Talan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787C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D47E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CBC6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4.115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83607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122.236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860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6.605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C36C6" w14:textId="35C3A22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E245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588FB0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D562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3D17D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KPMG Advisory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C754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F88D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490.930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7BED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70B1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61.366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48A2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236.000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7C81E5" w14:textId="7D11A1A4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8FED2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03D4BC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244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D72AF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Wavestone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980F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A170F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483.000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8D99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3.851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FCEA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125.422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E850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6.894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5341E8" w14:textId="04B10E9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56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145C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F74525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9027A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4DBA9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Capgemini Invent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FBD7A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8CB5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474.499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2B140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CBB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118.625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A2A8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1641B" w14:textId="1532B5A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A58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650AF1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87B7C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A26E3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Devoteam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6BFA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6DEA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8BF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39BA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109.302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B57D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ABA483" w14:textId="1D31400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D32C2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B22C0C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A4C5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076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Spie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ICS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3B5F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D81F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468.679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A652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7718F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142.024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6152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671779" w14:textId="3D7CF74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FC32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6B6943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49DE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E1BA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Deloitte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98A8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D4D86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463.107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FB7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9D2A7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77.184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72BD1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460.000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C2AF6" w14:textId="121B351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990DE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5109A86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1825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0F99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McKinsey &amp; Company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0447C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3B93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699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D0284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444.444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A5CAB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44.715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5F8F2C" w14:textId="43CF12D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0475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AD6C1A9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DD5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4B7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PwC Advisory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113BA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2AB42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4D723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38E1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173.913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0F91C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75AD4" w14:textId="6D7B416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435F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684986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039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A6F1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Tata Consultancy Services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4691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0B03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331.360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4D0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4F352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368.178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B7FC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616.171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551B95" w14:textId="3676E98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10186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1E0C70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D8A79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A196B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SII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2066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F9584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313.691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BB453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3.800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A86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82.550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F8E9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4.175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1B3012" w14:textId="1BA975D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0217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B45CD2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40D1A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7D9A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NXO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2570F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6AE43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293.591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28FF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1AADC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244.659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88C4F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826BF" w14:textId="40C92103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F3350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3C37C0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CC7F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F0CE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Infotel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31C2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CACF3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287.693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7C57C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3.083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0759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93.316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EBE4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3.083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B6F4EF" w14:textId="4234BC1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DF2C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05228D9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7971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2A91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Grant Thornton Conseil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ECD35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743BC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266.000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5D0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CB30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115.652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763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73.000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140A6" w14:textId="2DEA33E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9EB3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111B538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F5F4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8AD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Aubay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F6FF7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3B2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259.000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E2271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03B1B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89.310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C6AB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BE7E22" w14:textId="37C8AC3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9D2D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3284B64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5F79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BD0EA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Sia 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E7354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F358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249.634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944EF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A781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192.026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F9A1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96EBDA" w14:textId="3A821D6B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E2C3F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A3FF2E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5233B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97A0F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Scalian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08071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05D17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244.034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413AF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7FD7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69.724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874E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E3512A" w14:textId="4B31E90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DA92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46855B7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571D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01C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Viseo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F3C1C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5D115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232.992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6ECC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9EEC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179.225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EE37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E28563" w14:textId="5BCB6ED4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3E7E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E94E5C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1F0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42C4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BearingPoint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348A5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D36C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224.201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B491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F8D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172.463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81111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9DB6D" w14:textId="1AD5E76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E3BB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C83B80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0636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324B5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Akkodis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8162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ACF2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218.503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E06A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71D53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24.278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0C98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A058E" w14:textId="1ADBFF5B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18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F3C97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D32524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71B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1DC0D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Baker Tilly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7AE5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D07A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207.000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E8B06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C4368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103.500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DEF4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8257A1" w14:textId="531BB48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68A29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D2A5BD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8C067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13A2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Bain &amp; Company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7FEC9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A4263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AB8C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6FE8B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3E707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20.093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6D8A57" w14:textId="139F11A4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10C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19056ACF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11A41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D1CD0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mc2i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3F7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18FE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181.000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E8FD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52C2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120.667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0C5E8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4355E" w14:textId="30A1238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D031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541E6F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DF47D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D4B9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Sopra Steria Next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E7249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746C6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FB5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990A1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113.333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25955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FC550" w14:textId="755F5EBB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A14E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4C9B8D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5CBC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6459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Greenflex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783B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1524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168.359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3768D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368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BD4BB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457.498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0F200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4D4166" w14:textId="020E0ED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D2EC8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A73E88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C5AF6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E605D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HN Services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79D3C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E63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161.000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0749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84EC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123.846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7257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A1F0A3" w14:textId="5F91DF9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9962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7D44C8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D185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8C18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Ayming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893E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9775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160.207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A3F6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31D22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178.008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57BC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1.576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F1978D" w14:textId="28CF748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4FC8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2ACA957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7CE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1925D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Kearney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CCC21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E5C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157.717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1343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273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BDA4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577.719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226CA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6.539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0053C" w14:textId="4B5CBA9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5A73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C151AE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E96FE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77EB1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Celad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82548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F0A47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152.276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E24D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928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89.574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35D29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DCDE8C" w14:textId="757F5C4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5265B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7317EB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B6392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BC801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Octo Technology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89C44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C735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152.000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20F73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B8DE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3A36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874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59B31B" w14:textId="459EB5E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38F5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164C384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D7E1F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3A6C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Hardis Group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21098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7BB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151.071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58DCA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15B32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100.714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7D4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449E6" w14:textId="1C307E6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C3E59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9A1CC3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72A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CEC0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DXC Technology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C627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1A59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148.929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DEED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418E6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124.108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0064B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121.000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25EC19" w14:textId="4FC52A5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DF46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CB1A04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250B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2A1D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Synchrone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B210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30B57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143.858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ADF5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B547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95.906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85F3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E190A3" w14:textId="361EA36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76629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15B387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5EF16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5FD0E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Astek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DF5C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9228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142.742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AE9C5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B1774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142.742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3989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6E2117" w14:textId="09B7342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F86C2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CEBE8C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911A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A2084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CGI Business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240F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807D9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5F61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4DB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E4599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E1D06" w14:textId="737B4463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BC2BD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3EEB59E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4EAB5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0FB1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Square Management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25AC3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D900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9B3DA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98F2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155.556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4B94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651F20" w14:textId="0CAB7A8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68074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388A3DD7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E4AE2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FB34E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Cognizant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29C7C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E2F8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139.987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A48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D5AC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199.981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40685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347.000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EEFE70" w14:textId="34C5E1B4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3D0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188880F9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340A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839D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HeadMind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47EE9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9841B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EBC5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2B1BE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108.333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DB75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3C0769" w14:textId="79FE683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F53F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FA7E31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C89A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DE52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Oliver Wyman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0D818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E249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129.557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E1F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354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3FD4C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365.979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D2835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7.266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04E75C" w14:textId="3593DC2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2C96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9C55DF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BF91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441C5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Alvarez &amp; Marsal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F4F6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96058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114.876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5FB1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251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2DA12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457.671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8B920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10.423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6E2055" w14:textId="1C4EB3AB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DB5E8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45B3DB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3BF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B43CA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I-Tracing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75C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EB33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112.093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00F0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E194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224.186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C6B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B466CF" w14:textId="7E11584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8E1C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DBD0E3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5B002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20AE6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Roland Berger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CEA8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238B4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112.093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3B70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262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431.128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83A20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C333F" w14:textId="162C3B5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76DB0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918ADA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D6D4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A33D1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Solutec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C83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DBF0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111.681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5654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C0FF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74.454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8C69C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C35109" w14:textId="4BB3AE7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089A6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5A93D99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CB7F2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DA6CB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Prodware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A598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98F9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110.390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96D79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DA79D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220.780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175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8704B4" w14:textId="7421F9F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CC318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3FD8BB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014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EDC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Accuracy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6F3A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112F8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108.040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5813F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340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03F6F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317.765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25B5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767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C0086D" w14:textId="303D183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102F9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046E2A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5D49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1A12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Néosoft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3465F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380FA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104.785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BCE3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7B94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61.638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055CF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CC4EF6" w14:textId="0C19754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FE2E6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05051579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14A0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2AF7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Julhiet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</w:t>
            </w:r>
            <w:proofErr w:type="spellStart"/>
            <w:r w:rsidRPr="003B5BE1">
              <w:rPr>
                <w:rFonts w:ascii="Aptos" w:hAnsi="Aptos"/>
                <w:lang w:val="en-US"/>
              </w:rPr>
              <w:t>Sterwen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821A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CE29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EE6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630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7DBA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163.492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6ADD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665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B0665E" w14:textId="6DAACB03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53E1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859EDF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566D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76C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oXya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973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B199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100.634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1AB9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8FC13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167.724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F4A8F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02A581" w14:textId="3A658E8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9432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315F846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0BEA3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5EC2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Meogroup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E113F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C6EFD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EC35D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B5D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AEB2F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3DF0F" w14:textId="19CF2A8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6100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371D10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759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DEAE0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Gartner France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C6E69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88CA3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97.617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C2123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40D1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390.467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BE2E0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94425" w14:textId="138A3CD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B82BB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E950F5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6C4F8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330BF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TNP Consultants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5EBF3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D9D1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96.672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4360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DA8AB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161.119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082B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678D40" w14:textId="72460DA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A2A4B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109DF3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7A4BC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BAF7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TeamWork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3D9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BB7F1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94.368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08293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301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117.959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05D3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983EEB" w14:textId="47C6EB9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B2879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904445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C41B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4D357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Absys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Cyborg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098A9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15E98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82.957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AD3F8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6BFE0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138.261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FE46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DA56C0" w14:textId="3D188B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3ED87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A1800A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DE2D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B539C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Squad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75C2E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C238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81.292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1517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D0108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101.615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16BA4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F3ED5D" w14:textId="64D9C56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E5C08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5835A58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DD684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F51C9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Eurogroup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57AA2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282C7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F44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35B2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6BCCB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A6113" w14:textId="5B005B2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AFDC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442965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1B68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8BD01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Keyrus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BB36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2E9F9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77.496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AE06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1.000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30CD4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77.496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F4B0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EDEC1" w14:textId="3DD1FC8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24725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5A3E697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8D9C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C989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Kea &amp; 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671F4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274CF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BFA0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71BE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233.333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B4D5B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76CF3A" w14:textId="3089CA7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F8BB8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4F7D6F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0715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7F2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AlixPartners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52D1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B084B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69.081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FDF0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7D0AF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690.811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1B126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2.600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9ED83B" w14:textId="7FBBB45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DA3A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CF83F2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FDFDF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5F1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Lhh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159C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1F7B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65.815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FD5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7D92E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73.128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7A54A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7.991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0F7519" w14:textId="0530998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0C0A6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131A16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9C83C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79436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Advancy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1B06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DDFEA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65.000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7E90B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82FD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325.000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0E7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280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FE46D0" w14:textId="419C9BBC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EF523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004901D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08F62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D92A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Partenor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Digital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4B51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8D740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A8C22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D1FF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134.043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2F4F3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FEFC20" w14:textId="5F19EC1C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1B16D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6B5AE6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7672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9BF2F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Magellan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C3F83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6E7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BD9FD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415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A5E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149.398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FE6B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415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7DABEB" w14:textId="175F780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39491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8C0B9C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F178D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B5C9D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Argon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E037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A8F24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642FF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270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1E9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222.222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BF94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88FF6" w14:textId="658E7EF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77B0A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35A67DB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4E41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CEE81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Simon-Kucher &amp; 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A9F0B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3EE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4F44B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0B96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BBA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2.418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F592E" w14:textId="58E990F5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8D23E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3074C42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312BB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68118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Artefact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7666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D94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58.785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6922B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48C4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97.975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6697E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DE220F" w14:textId="778F385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CD42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2021</w:t>
            </w:r>
          </w:p>
        </w:tc>
      </w:tr>
      <w:tr w:rsidR="002C1CEE" w:rsidRPr="003B5BE1" w14:paraId="01DE453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52F7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B67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Converteo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CC00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471B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58.000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E857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415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2B4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139.759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F0862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427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67AA6" w14:textId="7191DF2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AC2A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BC5C50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118ED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1BBB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Meritis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ABB5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5CBF5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57.495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2445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8311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67.641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04D7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19DDD4" w14:textId="7E91FD5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5FB59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95E7BA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23BA3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AAA2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Ailancy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AF4B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CAC42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D4FF4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267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286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198.502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0E67F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290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B862D3" w14:textId="492F265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B4138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B72EC0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B9E24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A6A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Ippon Technologies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53E0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E1445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52.474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07B8B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608A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104.949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746D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F55ADB" w14:textId="7F29AF3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AB589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151E860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D4B6F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BB1B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norsys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5CA13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A21B5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52.382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EC5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7E97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84.487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58FA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25677E" w14:textId="556B6DF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00147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44C743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7AD9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9BD39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BDO Advisory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11689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E5C11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2C98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D2BDC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22.727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79A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8.796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76F3CE" w14:textId="3753E4C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74076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0ED6C4D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129F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E86B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L.E.K.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03B6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89EF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BEB7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142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8F5F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352.113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559D6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2.558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556ED" w14:textId="295E66B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6481D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2021</w:t>
            </w:r>
          </w:p>
        </w:tc>
      </w:tr>
      <w:tr w:rsidR="002C1CEE" w:rsidRPr="003B5BE1" w14:paraId="0F8D626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B3A5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0AC0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Talent Solutions </w:t>
            </w:r>
            <w:proofErr w:type="spellStart"/>
            <w:r w:rsidRPr="003B5BE1">
              <w:rPr>
                <w:rFonts w:ascii="Aptos" w:hAnsi="Aptos"/>
                <w:lang w:val="en-US"/>
              </w:rPr>
              <w:t>Tingari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90693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219EC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48.922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D40CE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378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00F6D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129.424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0AF4B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378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5B036B" w14:textId="5C69FFC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9F124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1D5FC7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03A6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70E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Lincoln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6A575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A483C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48.390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617D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F621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537.663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03CD9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315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24E7A" w14:textId="6885EA8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29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B982A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C64E46F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4312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378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Eight Advisory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ADAE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 xml:space="preserve">Firme </w:t>
            </w:r>
            <w:proofErr w:type="spellStart"/>
            <w:r w:rsidRPr="003B5BE1">
              <w:rPr>
                <w:rFonts w:ascii="Aptos" w:hAnsi="Aptos"/>
                <w:lang w:val="en-US"/>
              </w:rPr>
              <w:t>pluridisciplinaire</w:t>
            </w:r>
            <w:proofErr w:type="spellEnd"/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18E5D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47.201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3729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4E410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67.430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099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BD2B40" w14:textId="25E442B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78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312B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730F05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9C61B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5CCEB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Mews Partners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742A2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8155C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47.000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C3D38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97035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156.667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68E37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EB66F5" w14:textId="2333B6D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9A23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2FD88C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8059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F82EF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Colombus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DC0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4745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46.289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473C2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DC92D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144.654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FB26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025872" w14:textId="11B5E8F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07DED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5938469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74C82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2F71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Leyton France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5087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F182A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45.984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E5C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978D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70.744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1962D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2.696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0CC0F" w14:textId="36CA7C0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D137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2021</w:t>
            </w:r>
          </w:p>
        </w:tc>
      </w:tr>
      <w:tr w:rsidR="002C1CEE" w:rsidRPr="003B5BE1" w14:paraId="6CDCF3A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8897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BE4A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Mercer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44EF9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A8A58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45.672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E25F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80BF7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91.343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EFDB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98577B" w14:textId="5519AC4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60E92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E604797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C24E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9FDC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Conserto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811D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3179F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45.119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21B5A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4394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100.264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D661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2FF09" w14:textId="2802D31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6EE55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1792709F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A74CA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34E3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Asi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127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6AA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42.737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E65A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B3B5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106.842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C02C4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432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092EA" w14:textId="7284C02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C0E8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0B44A6D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F744F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1CF92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Bartle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FA6C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FD4C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39.952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BE7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281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5AB85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142.180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F598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298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FB0549" w14:textId="5B80B7E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0688A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4D9725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980B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FBD1B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Viveris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8D69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3C029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39.807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B4D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D712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56.868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8BAF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E521BF" w14:textId="5D7E98F2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76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4C6C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089649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3F1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4C3F2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Axys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Consultants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FBFD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075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37.000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759E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DE8A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148.000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B1FA6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DFDE57" w14:textId="52E1E0B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618DC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103D90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49F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B626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Exalt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60E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857E0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34.700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3FED8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8A6A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36.526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6EB84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A13511" w14:textId="7F7EABD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7DB7E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342D685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9B4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7B1C4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proofErr w:type="gramStart"/>
            <w:r w:rsidRPr="003B5BE1">
              <w:rPr>
                <w:rFonts w:ascii="Aptos" w:hAnsi="Aptos"/>
                <w:lang w:val="en-US"/>
              </w:rPr>
              <w:t>F.initiatives</w:t>
            </w:r>
            <w:proofErr w:type="spellEnd"/>
            <w:proofErr w:type="gram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F98F1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F231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33.895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62E4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C68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135.580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6FD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643B80" w14:textId="58A0EBF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4B92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6708AA7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79C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005A3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Polyconseil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92F72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2186D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32.715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DB10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C57B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130.862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E736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1DAC62" w14:textId="1C9F5CE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6AD20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B8BB61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7F7E9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28B3B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Cylad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8317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35B0C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32.000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CC84B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0C049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376.471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92A3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168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744DA6" w14:textId="32CD94C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51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3CD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82DB6E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4C70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E32B9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Inetum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0BD2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896ED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E1E0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83A8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136.364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3A2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FE273F" w14:textId="317C7B1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49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4730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24AF858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CE69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BF90F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SeaBird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7F84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C219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27.800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50A20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213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63AA2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130.516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84417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D01FDC" w14:textId="41285AA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97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632C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122286B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A1F05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8D4B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Epsa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D66F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831AD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27.744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A8BA0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1.100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F4E91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25.221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A010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3.200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A78CE0" w14:textId="67483A6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34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D421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0037F9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5E6C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C2C0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Ares &amp; Co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67DD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E6FA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26.097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FF72A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41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DD4D3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636.514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E964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44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1D072" w14:textId="6C32411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969CA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CC8F155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42990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64F5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Docaposte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IOT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F226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E7FF1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30E2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1.700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B3739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15.294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665E3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6.500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3A4A11" w14:textId="4A812B8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26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3823F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6EF3E5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DF169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73122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Algoé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8C0D7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DDA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25.716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EC465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5369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146.947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0BAA3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175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8CADF4" w14:textId="019404F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A648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580C9CF3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36C13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9FCE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Russell Reynolds Associates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BEE4D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5E03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25.314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BD93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58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CE6E7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436.450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70438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2.276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DADD98" w14:textId="53DA5110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</w:t>
            </w:r>
            <w:r w:rsidR="005A5F46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3E45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6777A347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EDF61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7763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iQo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4F51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32C2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C18A7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EAD1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183.333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7B964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0B187" w14:textId="179E3153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E767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7384A66B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FBD1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C64DE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Zenika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7B7C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4299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21.924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96F8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08FF9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43.847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42F4E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550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B993EA" w14:textId="68ACD21A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91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6C3D9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2016</w:t>
            </w:r>
          </w:p>
        </w:tc>
      </w:tr>
      <w:tr w:rsidR="002C1CEE" w:rsidRPr="003B5BE1" w14:paraId="6B3A8EF1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F156C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9AC62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Vertone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B12A1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A8F00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21.621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0DFCE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196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AD515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110.313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163B7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F41B60" w14:textId="53DC6E7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99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CAEED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2021</w:t>
            </w:r>
          </w:p>
        </w:tc>
      </w:tr>
      <w:tr w:rsidR="002C1CEE" w:rsidRPr="003B5BE1" w14:paraId="6B63618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A9AA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BD01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A2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B9B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87927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20.687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09E1B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256CE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159.127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CF5C3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128234" w14:textId="5CB123F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9C9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1B9B4CFA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A27F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F294F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Artimon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4961A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43E0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19.000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3C5DC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127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6367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149.606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C5572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ACD1FA" w14:textId="7A7351F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002BC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CE40CF4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E4DFB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108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66977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Proxiad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Nord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CC937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42AFD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17.554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FF8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226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9F2A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77.673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3E9A0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A7E293" w14:textId="41C8CF08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BE7A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2022</w:t>
            </w:r>
          </w:p>
        </w:tc>
      </w:tr>
      <w:tr w:rsidR="002C1CEE" w:rsidRPr="003B5BE1" w14:paraId="3E5A820E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1A12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109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20AEC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Tasmane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DD34E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32F0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6FE05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FEE17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220.779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1C8D5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6706CA" w14:textId="4B36C216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7C587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4F58F5B9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3C2F2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110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EA8DE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MeltOne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Advisory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5234A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BBAA6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16.995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84743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173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AB95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98.236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563A1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006B1D" w14:textId="702BB151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87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A05B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0D2EE8BC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D78A4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111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E1B2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Visiativ</w:t>
            </w:r>
            <w:proofErr w:type="spellEnd"/>
            <w:r w:rsidRPr="003B5BE1">
              <w:rPr>
                <w:rFonts w:ascii="Aptos" w:hAnsi="Aptos"/>
                <w:lang w:val="en-US"/>
              </w:rPr>
              <w:t xml:space="preserve"> Software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6E08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2FC57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14.289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B7A2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E2DA4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71.444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DCA95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1.400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593664" w14:textId="4995CD1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884E4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1A25BB6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334F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112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3391D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Twelve Consulting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6EC21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18D62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13.000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C824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F2EE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141.304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37C5A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92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5D701" w14:textId="412DDF19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36249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55F65286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93010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113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9B8CF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Advention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7B994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B3FF7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12.200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5BC3A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85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6CE40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143.529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75F4DB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1.000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3F547E" w14:textId="1F9E832F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9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9944EF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68BAB598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8C661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114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6F601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Quaternaire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5241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05B3B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12.000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C198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FCCDD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155.844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70F9C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77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C5217" w14:textId="34FFCA9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6244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7842F22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58772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115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A0A9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Advents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35051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</w:rPr>
            </w:pPr>
            <w:r w:rsidRPr="003B5BE1">
              <w:rPr>
                <w:rFonts w:ascii="Aptos" w:hAnsi="Aptos"/>
              </w:rPr>
              <w:t>Conseil en stratégie et management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113313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11.810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E1332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40B1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147.624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D9C2A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0E3A78" w14:textId="1B3A18BD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E5DC5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2023</w:t>
            </w:r>
          </w:p>
        </w:tc>
      </w:tr>
      <w:tr w:rsidR="002C1CEE" w:rsidRPr="003B5BE1" w14:paraId="2CACF8C2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4FFE35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116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D81AD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HR Path</w:t>
            </w:r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8A4694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C2768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11.777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90B6E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800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8496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14.722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521CD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1.300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5E9B9A" w14:textId="4724824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62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842C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2024</w:t>
            </w:r>
          </w:p>
        </w:tc>
      </w:tr>
      <w:tr w:rsidR="002C1CEE" w:rsidRPr="003B5BE1" w14:paraId="5136F920" w14:textId="77777777" w:rsidTr="007A0003">
        <w:trPr>
          <w:trHeight w:val="375"/>
          <w:tblCellSpacing w:w="15" w:type="dxa"/>
        </w:trPr>
        <w:tc>
          <w:tcPr>
            <w:tcW w:w="722" w:type="dxa"/>
            <w:tcBorders>
              <w:top w:val="single" w:sz="6" w:space="0" w:color="E0E0E0"/>
              <w:left w:val="single" w:sz="6" w:space="0" w:color="C6C6C6"/>
              <w:bottom w:val="single" w:sz="6" w:space="0" w:color="C6C6C6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CFE96C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117</w:t>
            </w:r>
          </w:p>
        </w:tc>
        <w:tc>
          <w:tcPr>
            <w:tcW w:w="1472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3A7786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proofErr w:type="spellStart"/>
            <w:r w:rsidRPr="003B5BE1">
              <w:rPr>
                <w:rFonts w:ascii="Aptos" w:hAnsi="Aptos"/>
                <w:lang w:val="en-US"/>
              </w:rPr>
              <w:t>Sémaphores</w:t>
            </w:r>
            <w:proofErr w:type="spellEnd"/>
          </w:p>
        </w:tc>
        <w:tc>
          <w:tcPr>
            <w:tcW w:w="2380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083EBA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ESN et conseil IT</w:t>
            </w:r>
          </w:p>
        </w:tc>
        <w:tc>
          <w:tcPr>
            <w:tcW w:w="1642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5B3778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11.518</w:t>
            </w:r>
          </w:p>
        </w:tc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6BBE8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1633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7902E7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38.392</w:t>
            </w:r>
          </w:p>
        </w:tc>
        <w:tc>
          <w:tcPr>
            <w:tcW w:w="1247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714B29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300</w:t>
            </w:r>
          </w:p>
        </w:tc>
        <w:tc>
          <w:tcPr>
            <w:tcW w:w="2077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5D254F" w14:textId="6305A0EE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100</w:t>
            </w:r>
            <w:r w:rsidR="007A0003">
              <w:rPr>
                <w:rFonts w:ascii="Aptos" w:hAnsi="Aptos"/>
                <w:lang w:val="en-US"/>
              </w:rPr>
              <w:t>%</w:t>
            </w:r>
          </w:p>
        </w:tc>
        <w:tc>
          <w:tcPr>
            <w:tcW w:w="1557" w:type="dxa"/>
            <w:tcBorders>
              <w:top w:val="single" w:sz="6" w:space="0" w:color="E0E0E0"/>
              <w:left w:val="single" w:sz="6" w:space="0" w:color="E0E0E0"/>
              <w:bottom w:val="single" w:sz="6" w:space="0" w:color="C6C6C6"/>
              <w:right w:val="single" w:sz="6" w:space="0" w:color="E0E0E0"/>
            </w:tcBorders>
            <w:shd w:val="clear" w:color="auto" w:fill="F7F6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6D1120" w14:textId="77777777" w:rsidR="003B5BE1" w:rsidRPr="003B5BE1" w:rsidRDefault="003B5BE1" w:rsidP="003B5BE1">
            <w:pPr>
              <w:spacing w:after="0" w:line="240" w:lineRule="auto"/>
              <w:jc w:val="both"/>
              <w:rPr>
                <w:rFonts w:ascii="Aptos" w:hAnsi="Aptos"/>
                <w:lang w:val="en-US"/>
              </w:rPr>
            </w:pPr>
            <w:r w:rsidRPr="003B5BE1">
              <w:rPr>
                <w:rFonts w:ascii="Aptos" w:hAnsi="Aptos"/>
                <w:lang w:val="en-US"/>
              </w:rPr>
              <w:t>2020</w:t>
            </w:r>
          </w:p>
        </w:tc>
      </w:tr>
    </w:tbl>
    <w:p w14:paraId="52333B2A" w14:textId="54D4E65D" w:rsidR="000C67C3" w:rsidRPr="009247B6" w:rsidRDefault="000C67C3" w:rsidP="00CD3534">
      <w:pPr>
        <w:spacing w:after="0" w:line="240" w:lineRule="auto"/>
        <w:jc w:val="both"/>
        <w:rPr>
          <w:rFonts w:ascii="Aptos" w:hAnsi="Aptos"/>
        </w:rPr>
      </w:pPr>
    </w:p>
    <w:sectPr w:rsidR="000C67C3" w:rsidRPr="009247B6" w:rsidSect="003B5B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 w:code="9"/>
      <w:pgMar w:top="1440" w:right="1417" w:bottom="1440" w:left="1417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11A5D" w14:textId="77777777" w:rsidR="00BB5C99" w:rsidRDefault="00BB5C9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94FA2A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5749B">
      <w:rPr>
        <w:lang w:val="en-US"/>
      </w:rPr>
      <w:t>202</w:t>
    </w:r>
    <w:r w:rsidR="00CD353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48610CF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5749B">
      <w:rPr>
        <w:lang w:val="en-US"/>
      </w:rPr>
      <w:t>202</w:t>
    </w:r>
    <w:r w:rsidR="00CD353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6EDA3" w14:textId="77777777" w:rsidR="00BB5C99" w:rsidRDefault="00BB5C9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3EC0" w14:textId="77777777" w:rsidR="00BB5C99" w:rsidRDefault="00BB5C9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A8ED95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340505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0505">
      <w:rPr>
        <w:noProof/>
      </w:rPr>
      <w:drawing>
        <wp:inline distT="0" distB="0" distL="0" distR="0" wp14:anchorId="254C3269" wp14:editId="12903995">
          <wp:extent cx="556591" cy="556591"/>
          <wp:effectExtent l="0" t="0" r="0" b="0"/>
          <wp:docPr id="1406668610" name="Image 1" descr="La Lettre du cons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Lettre du cons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374" cy="563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</w:t>
    </w:r>
    <w:r w:rsidR="00340505">
      <w:rPr>
        <w:rFonts w:ascii="Times New Roman" w:hAnsi="Times New Roman"/>
        <w:sz w:val="16"/>
        <w:szCs w:val="16"/>
        <w:lang w:val="en-US" w:eastAsia="en-US"/>
      </w:rPr>
      <w:tab/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40505">
      <w:rPr>
        <w:rFonts w:ascii="Times New Roman" w:hAnsi="Times New Roman"/>
        <w:sz w:val="16"/>
        <w:szCs w:val="16"/>
        <w:lang w:val="en-US" w:eastAsia="en-US"/>
      </w:rPr>
      <w:tab/>
    </w:r>
    <w:r w:rsidR="005F2E9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</w:t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BB5C99">
      <w:rPr>
        <w:rFonts w:ascii="Times New Roman" w:hAnsi="Times New Roman"/>
        <w:sz w:val="16"/>
        <w:szCs w:val="16"/>
        <w:lang w:val="en-US" w:eastAsia="en-US"/>
      </w:rPr>
      <w:tab/>
    </w:r>
    <w:r w:rsidR="00BB5C99">
      <w:rPr>
        <w:rFonts w:ascii="Times New Roman" w:hAnsi="Times New Roman"/>
        <w:sz w:val="16"/>
        <w:szCs w:val="16"/>
        <w:lang w:val="en-US" w:eastAsia="en-US"/>
      </w:rPr>
      <w:tab/>
    </w:r>
    <w:r w:rsidR="000C67C3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F2E9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A88AE7" wp14:editId="32E597F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CCFC0C">
              <wp:simplePos x="0" y="0"/>
              <wp:positionH relativeFrom="page">
                <wp:posOffset>2362200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D1D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6pt,54pt" to="639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1nNz2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55771"/>
    <w:multiLevelType w:val="multilevel"/>
    <w:tmpl w:val="B96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30691"/>
    <w:rsid w:val="000A55D2"/>
    <w:rsid w:val="000B0DEC"/>
    <w:rsid w:val="000C67C3"/>
    <w:rsid w:val="001B3543"/>
    <w:rsid w:val="00270E67"/>
    <w:rsid w:val="00294B9A"/>
    <w:rsid w:val="002B2E38"/>
    <w:rsid w:val="002C1CEE"/>
    <w:rsid w:val="00340505"/>
    <w:rsid w:val="003855F3"/>
    <w:rsid w:val="003B08A4"/>
    <w:rsid w:val="003B5BE1"/>
    <w:rsid w:val="003D3AE0"/>
    <w:rsid w:val="003D4C69"/>
    <w:rsid w:val="0045059A"/>
    <w:rsid w:val="005A5F46"/>
    <w:rsid w:val="005F2E96"/>
    <w:rsid w:val="00600105"/>
    <w:rsid w:val="00647160"/>
    <w:rsid w:val="007A0003"/>
    <w:rsid w:val="009247B6"/>
    <w:rsid w:val="00A5749B"/>
    <w:rsid w:val="00AA3062"/>
    <w:rsid w:val="00B36D74"/>
    <w:rsid w:val="00B859D4"/>
    <w:rsid w:val="00BB5C99"/>
    <w:rsid w:val="00C16B0D"/>
    <w:rsid w:val="00C34215"/>
    <w:rsid w:val="00CB1464"/>
    <w:rsid w:val="00CD3534"/>
    <w:rsid w:val="00D52444"/>
    <w:rsid w:val="00E26356"/>
    <w:rsid w:val="00E75440"/>
    <w:rsid w:val="00F2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3B5B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responsiveexpander">
    <w:name w:val="responsiveexpander"/>
    <w:basedOn w:val="Policepardfaut"/>
    <w:rsid w:val="003B5BE1"/>
  </w:style>
  <w:style w:type="character" w:styleId="Lienhypertexte">
    <w:name w:val="Hyperlink"/>
    <w:basedOn w:val="Policepardfaut"/>
    <w:uiPriority w:val="99"/>
    <w:unhideWhenUsed/>
    <w:rsid w:val="00BB5C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5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alettreduconseil.com/contact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alettreduconseil.com/article/methodologie-du-barometre-2025-des-cabinets-de-conseil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88D1-F019-4EFD-9E26-B7CD28B45C08}"/>
</file>

<file path=customXml/itemProps2.xml><?xml version="1.0" encoding="utf-8"?>
<ds:datastoreItem xmlns:ds="http://schemas.openxmlformats.org/officeDocument/2006/customXml" ds:itemID="{67900680-BCFE-497C-9D3F-986084CB0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22d43919-d95d-411a-a6b0-ce5da2f994b5"/>
    <ds:schemaRef ds:uri="http://schemas.openxmlformats.org/package/2006/metadata/core-properties"/>
    <ds:schemaRef ds:uri="b4f85049-4a25-4374-b908-0e8bdc42832f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1743</Words>
  <Characters>8860</Characters>
  <Application>Microsoft Office Word</Application>
  <DocSecurity>0</DocSecurity>
  <Lines>73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CHAILLEY Sandrine</cp:lastModifiedBy>
  <cp:revision>25</cp:revision>
  <dcterms:created xsi:type="dcterms:W3CDTF">2019-07-26T08:13:00Z</dcterms:created>
  <dcterms:modified xsi:type="dcterms:W3CDTF">2025-05-27T10:25:00Z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