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BD32C8" w:rsidR="00BD32C8" w:rsidP="790305EF" w:rsidRDefault="00BD32C8" w14:paraId="7C7A7D86" w14:textId="7275A0A2">
      <w:pPr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790305EF" w:rsidR="417E2B43">
        <w:rPr>
          <w:rFonts w:ascii="Times New Roman" w:hAnsi="Times New Roman" w:eastAsia="Times New Roman" w:cs="Times New Roman"/>
          <w:sz w:val="28"/>
          <w:szCs w:val="28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:rsidRPr="00BD32C8" w:rsidR="00BD32C8" w:rsidP="790305EF" w:rsidRDefault="00BD32C8" w14:paraId="5A6A4649" w14:textId="6093383E">
      <w:pPr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Pr="00BD32C8" w:rsidR="00BD32C8" w:rsidP="790305EF" w:rsidRDefault="00BD32C8" w14:paraId="3F425162" w14:textId="7F199DDA">
      <w:pPr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Pr="00BD32C8" w:rsidR="00BD32C8" w:rsidP="790305EF" w:rsidRDefault="00BD32C8" w14:paraId="16791A8A" w14:textId="71AAE6F5">
      <w:pPr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Pr="00BD32C8" w:rsidR="00BD32C8" w:rsidP="790305EF" w:rsidRDefault="00BD32C8" w14:paraId="22437DE1" w14:textId="674EE9DE">
      <w:pPr>
        <w:tabs>
          <w:tab w:val="left" w:leader="none" w:pos="4962"/>
        </w:tabs>
        <w:spacing w:after="0" w:line="360" w:lineRule="auto"/>
        <w:ind w:left="354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0305EF" w:rsidR="11CB9EC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УТВЕРЖДАЮ</w:t>
      </w:r>
    </w:p>
    <w:p w:rsidRPr="00BD32C8" w:rsidR="00BD32C8" w:rsidP="790305EF" w:rsidRDefault="00BD32C8" w14:paraId="5A93C9F3" w14:textId="64292099">
      <w:pPr>
        <w:tabs>
          <w:tab w:val="left" w:leader="none" w:pos="4962"/>
        </w:tabs>
        <w:spacing w:after="0" w:line="360" w:lineRule="auto"/>
        <w:ind w:left="354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0305EF" w:rsidR="11CB9EC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Руководитель организации ООО «КОДЭ»</w:t>
      </w:r>
    </w:p>
    <w:p w:rsidRPr="00BD32C8" w:rsidR="00BD32C8" w:rsidP="790305EF" w:rsidRDefault="00BD32C8" w14:paraId="28C0F7C6" w14:textId="3A18EF6D">
      <w:pPr>
        <w:tabs>
          <w:tab w:val="left" w:leader="none" w:pos="4962"/>
        </w:tabs>
        <w:spacing w:after="0" w:line="360" w:lineRule="auto"/>
        <w:ind w:left="354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0305EF" w:rsidR="11CB9EC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___________ Е.В. Гика</w:t>
      </w:r>
    </w:p>
    <w:p w:rsidRPr="00BD32C8" w:rsidR="00BD32C8" w:rsidP="790305EF" w:rsidRDefault="00BD32C8" w14:paraId="016E07D4" w14:textId="560D8BB4">
      <w:pPr>
        <w:tabs>
          <w:tab w:val="left" w:leader="none" w:pos="4962"/>
        </w:tabs>
        <w:spacing w:after="0" w:line="360" w:lineRule="auto"/>
        <w:ind w:left="354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0305EF" w:rsidR="11CB9EC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«___» __________ 2026 г.</w:t>
      </w:r>
    </w:p>
    <w:p w:rsidRPr="00BD32C8" w:rsidR="00BD32C8" w:rsidP="790305EF" w:rsidRDefault="00BD32C8" w14:paraId="5AC23C6A" w14:textId="539377FA">
      <w:pPr>
        <w:tabs>
          <w:tab w:val="left" w:leader="none" w:pos="4962"/>
        </w:tabs>
        <w:spacing w:after="0" w:line="360" w:lineRule="auto"/>
        <w:ind w:left="354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Pr="00BD32C8" w:rsidR="00BD32C8" w:rsidP="790305EF" w:rsidRDefault="00BD32C8" w14:paraId="027125E7" w14:textId="2F63D831">
      <w:pPr>
        <w:tabs>
          <w:tab w:val="left" w:leader="none" w:pos="4962"/>
        </w:tabs>
        <w:spacing w:after="0" w:line="360" w:lineRule="auto"/>
        <w:ind w:left="90" w:firstLine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0305EF" w:rsidR="11CB9EC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РУКОВОДСТВО СИСТЕМНОГО ПРОГРАММИСТА</w:t>
      </w:r>
    </w:p>
    <w:p w:rsidRPr="00BD32C8" w:rsidR="00BD32C8" w:rsidP="790305EF" w:rsidRDefault="00BD32C8" w14:paraId="196371FA" w14:textId="69F279F8">
      <w:pPr>
        <w:tabs>
          <w:tab w:val="left" w:leader="none" w:pos="4962"/>
        </w:tabs>
        <w:spacing w:after="0" w:line="360" w:lineRule="auto"/>
        <w:ind w:left="90" w:firstLine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0305EF" w:rsidR="11CB9EC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 подсистему учёта клиентов</w:t>
      </w:r>
      <w:r w:rsidRPr="790305EF" w:rsidR="154C06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</w:t>
      </w:r>
      <w:r w:rsidRPr="790305EF" w:rsidR="154C06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предприятия</w:t>
      </w:r>
    </w:p>
    <w:p w:rsidRPr="00BD32C8" w:rsidR="00BD32C8" w:rsidP="790305EF" w:rsidRDefault="00BD32C8" w14:paraId="0793C1BE" w14:textId="40B783FB">
      <w:pPr>
        <w:tabs>
          <w:tab w:val="left" w:leader="none" w:pos="4962"/>
        </w:tabs>
        <w:spacing w:after="0" w:line="360" w:lineRule="auto"/>
        <w:ind w:left="90" w:firstLine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90305EF" w:rsidR="11CB9EC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ООО «КОДЭ»</w:t>
      </w:r>
    </w:p>
    <w:p w:rsidRPr="00BD32C8" w:rsidR="00BD32C8" w:rsidP="790305EF" w:rsidRDefault="00BD32C8" w14:paraId="085A379B" w14:textId="68200EB3">
      <w:pPr>
        <w:pStyle w:val="a"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Pr="00BD32C8" w:rsidR="00BD32C8" w:rsidP="790305EF" w:rsidRDefault="00BD32C8" w14:paraId="69EEEE18" w14:textId="61A0035C">
      <w:pPr>
        <w:pStyle w:val="a"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Pr="00BD32C8" w:rsidR="00BD32C8" w:rsidP="790305EF" w:rsidRDefault="00BD32C8" w14:paraId="4B40B54C" w14:textId="0892B3BA">
      <w:pPr>
        <w:pStyle w:val="a"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790305EF" w:rsidR="4611F7D1">
        <w:rPr>
          <w:rFonts w:ascii="Times New Roman" w:hAnsi="Times New Roman" w:eastAsia="Times New Roman" w:cs="Times New Roman"/>
          <w:sz w:val="28"/>
          <w:szCs w:val="28"/>
        </w:rPr>
        <w:t xml:space="preserve">  </w:t>
      </w:r>
    </w:p>
    <w:p w:rsidRPr="00BD32C8" w:rsidR="00BD32C8" w:rsidP="790305EF" w:rsidRDefault="00BD32C8" w14:paraId="2FE9FE54" w14:textId="37B00A79">
      <w:pPr>
        <w:pStyle w:val="a"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790305EF" w:rsidR="1D37FC0D">
        <w:rPr>
          <w:rFonts w:ascii="Times New Roman" w:hAnsi="Times New Roman" w:eastAsia="Times New Roman" w:cs="Times New Roman"/>
          <w:sz w:val="28"/>
          <w:szCs w:val="28"/>
        </w:rPr>
        <w:t xml:space="preserve">Листов </w:t>
      </w:r>
      <w:r w:rsidRPr="790305EF" w:rsidR="32E45FB0">
        <w:rPr>
          <w:rFonts w:ascii="Times New Roman" w:hAnsi="Times New Roman" w:eastAsia="Times New Roman" w:cs="Times New Roman"/>
          <w:sz w:val="28"/>
          <w:szCs w:val="28"/>
        </w:rPr>
        <w:t>9</w:t>
      </w:r>
    </w:p>
    <w:p w:rsidRPr="00BD32C8" w:rsidR="00BD32C8" w:rsidP="790305EF" w:rsidRDefault="00BD32C8" w14:paraId="77D8285C" w14:textId="3EEEB288">
      <w:pPr>
        <w:pStyle w:val="a"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Pr="00BD32C8" w:rsidR="00BD32C8" w:rsidP="790305EF" w:rsidRDefault="00BD32C8" w14:paraId="5173E64A" w14:textId="028B0AB7">
      <w:pPr>
        <w:pStyle w:val="a"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Pr="00BD32C8" w:rsidR="00BD32C8" w:rsidP="790305EF" w:rsidRDefault="00BD32C8" w14:paraId="77F7FC75" w14:textId="33A8E6AC">
      <w:pPr>
        <w:pStyle w:val="a"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Pr="00BD32C8" w:rsidR="00BD32C8" w:rsidP="790305EF" w:rsidRDefault="00BD32C8" w14:paraId="19FF7195" w14:textId="2159BE23">
      <w:pPr>
        <w:pStyle w:val="a"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Pr="00BD32C8" w:rsidR="00BD32C8" w:rsidP="790305EF" w:rsidRDefault="00BD32C8" w14:paraId="7C4B7BC1" w14:textId="1D80DC32">
      <w:pPr>
        <w:pStyle w:val="a"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790305EF" w:rsidR="1D37FC0D">
        <w:rPr>
          <w:rFonts w:ascii="Times New Roman" w:hAnsi="Times New Roman" w:eastAsia="Times New Roman" w:cs="Times New Roman"/>
          <w:sz w:val="28"/>
          <w:szCs w:val="28"/>
        </w:rPr>
        <w:t xml:space="preserve">Калининград </w:t>
      </w:r>
    </w:p>
    <w:p w:rsidRPr="00BD32C8" w:rsidR="00BD32C8" w:rsidP="790305EF" w:rsidRDefault="00BD32C8" w14:paraId="72DAFB8E" w14:textId="7B9613FC">
      <w:pPr>
        <w:pStyle w:val="a"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790305EF" w:rsidR="1D37FC0D">
        <w:rPr>
          <w:rFonts w:ascii="Times New Roman" w:hAnsi="Times New Roman" w:eastAsia="Times New Roman" w:cs="Times New Roman"/>
          <w:sz w:val="28"/>
          <w:szCs w:val="28"/>
        </w:rPr>
        <w:t>2026</w:t>
      </w:r>
    </w:p>
    <w:p w:rsidRPr="00BD32C8" w:rsidR="00BD32C8" w:rsidP="790305EF" w:rsidRDefault="00BD32C8" w14:paraId="58C53323" w14:textId="65A28FE0">
      <w:pPr>
        <w:pStyle w:val="a"/>
        <w:spacing w:after="0" w:line="360" w:lineRule="auto"/>
        <w:ind/>
      </w:pPr>
      <w:r>
        <w:br w:type="page"/>
      </w:r>
    </w:p>
    <w:p w:rsidRPr="00BD32C8" w:rsidR="00BD32C8" w:rsidP="7A2573D8" w:rsidRDefault="00BD32C8" w14:paraId="673D96CA" w14:textId="7FBDBBDF">
      <w:pPr>
        <w:pStyle w:val="a"/>
        <w:spacing w:after="0" w:line="360" w:lineRule="auto"/>
        <w:ind w:firstLine="709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7A2573D8" w:rsidR="00BD32C8">
        <w:rPr>
          <w:rFonts w:ascii="Times New Roman" w:hAnsi="Times New Roman" w:cs="Times New Roman"/>
          <w:b w:val="1"/>
          <w:bCs w:val="1"/>
          <w:sz w:val="28"/>
          <w:szCs w:val="28"/>
        </w:rPr>
        <w:t>Глава 4. Руководство системного программиста</w:t>
      </w:r>
    </w:p>
    <w:p w:rsidRPr="00BD32C8" w:rsidR="00BD32C8" w:rsidP="00BD32C8" w:rsidRDefault="00BD32C8" w14:paraId="3B3AD35D" w14:textId="51BA6E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Подсистема состоит из трёх основных компонентов, каждый из которых запускается в отдельном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-контейнере. Взаимодействие между компонентами осуществляется через внутреннюю сеть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, что обеспечивает изоляцию и безопасность.</w:t>
      </w:r>
    </w:p>
    <w:p w:rsidRPr="00BD32C8" w:rsidR="00BD32C8" w:rsidP="00BD32C8" w:rsidRDefault="00BD32C8" w14:paraId="48538B51" w14:textId="2B03E4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Первый компонент —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(серверная часть на ASP.NET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8). Этот компонент реализует REST API, бизнес-логику, аутентификацию и авторизацию, почтовый парсер (фоновый сервис), генерацию документов и логирование. Компонент написан на языке C# и собран в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-образ на основе официального образа mcr.microsoft.com/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dotnet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/aspnet:8.0. Компонент слушает порт 5000 внутри контейнера и ожидает подключения к базе данных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. При запуске компонент автоматически применяет миграции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для создания или обновления структуры базы данных.</w:t>
      </w:r>
    </w:p>
    <w:p w:rsidRPr="00BD32C8" w:rsidR="00BD32C8" w:rsidP="00BD32C8" w:rsidRDefault="00BD32C8" w14:paraId="543DD664" w14:textId="0A02D0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Второй компонент —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(клиентская часть на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17). Этот компонент представляет собой собранное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-приложение, которое </w:t>
      </w:r>
      <w:r w:rsidR="00ED22CB">
        <w:rPr>
          <w:rFonts w:ascii="Times New Roman" w:hAnsi="Times New Roman" w:cs="Times New Roman"/>
          <w:sz w:val="28"/>
          <w:szCs w:val="28"/>
        </w:rPr>
        <w:t>переходит в</w:t>
      </w:r>
      <w:r w:rsidRPr="00BD32C8" w:rsidR="00ED22CB">
        <w:rPr>
          <w:rFonts w:ascii="Times New Roman" w:hAnsi="Times New Roman" w:cs="Times New Roman"/>
          <w:sz w:val="28"/>
          <w:szCs w:val="28"/>
        </w:rPr>
        <w:t xml:space="preserve"> веб-сервер</w:t>
      </w:r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. Файлы приложения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, CSS, HTML) статичны и не требуют дополнительной обработки на сервере.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настроен на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проксирование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запросов к API: все запросы, начинающиеся с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/, перенаправляются на бэкенд-контейнер, остальные запросы отдают статические файлы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-приложения. Компонент слушает порт 80 внутри контейнера и может быть проброшен на порт 80 или 443 хост-системы.</w:t>
      </w:r>
    </w:p>
    <w:p w:rsidRPr="00BD32C8" w:rsidR="00BD32C8" w:rsidP="00BD32C8" w:rsidRDefault="00BD32C8" w14:paraId="6356AD0B" w14:textId="412DD1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Третий компонент —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(система управления базами данных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1</w:t>
      </w:r>
      <w:r w:rsidR="00ED22CB">
        <w:rPr>
          <w:rFonts w:ascii="Times New Roman" w:hAnsi="Times New Roman" w:cs="Times New Roman"/>
          <w:sz w:val="28"/>
          <w:szCs w:val="28"/>
        </w:rPr>
        <w:t>7</w:t>
      </w:r>
      <w:r w:rsidRPr="00BD32C8">
        <w:rPr>
          <w:rFonts w:ascii="Times New Roman" w:hAnsi="Times New Roman" w:cs="Times New Roman"/>
          <w:sz w:val="28"/>
          <w:szCs w:val="28"/>
        </w:rPr>
        <w:t>). Этот компонент основан на официальном образе postgres:1</w:t>
      </w:r>
      <w:r w:rsidR="00ED22CB">
        <w:rPr>
          <w:rFonts w:ascii="Times New Roman" w:hAnsi="Times New Roman" w:cs="Times New Roman"/>
          <w:sz w:val="28"/>
          <w:szCs w:val="28"/>
        </w:rPr>
        <w:t>7</w:t>
      </w:r>
      <w:r w:rsidRPr="00BD32C8">
        <w:rPr>
          <w:rFonts w:ascii="Times New Roman" w:hAnsi="Times New Roman" w:cs="Times New Roman"/>
          <w:sz w:val="28"/>
          <w:szCs w:val="28"/>
        </w:rPr>
        <w:t>. Данн</w:t>
      </w:r>
      <w:bookmarkStart w:name="_GoBack" w:id="0"/>
      <w:bookmarkEnd w:id="0"/>
      <w:r w:rsidRPr="00BD32C8">
        <w:rPr>
          <w:rFonts w:ascii="Times New Roman" w:hAnsi="Times New Roman" w:cs="Times New Roman"/>
          <w:sz w:val="28"/>
          <w:szCs w:val="28"/>
        </w:rPr>
        <w:t xml:space="preserve">ые базы данных сохраняются в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-томе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postgres_data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, что обеспечивает их сохранность при перезапуске или обновлении контейнеров. Компонент слушает порт 5432 внутри контейнера и доступен только для бэкенд-контейнера, но не для внешней сети. При первом запуске автоматически создаётся база данных, пользователь и пароль, указанные в переменных окружения.</w:t>
      </w:r>
    </w:p>
    <w:p w:rsidRPr="00BD32C8" w:rsidR="00BD32C8" w:rsidP="00BD32C8" w:rsidRDefault="00BD32C8" w14:paraId="0F395C5C" w14:textId="77777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Pr="00BD32C8" w:rsidR="00BD32C8" w:rsidP="00BD32C8" w:rsidRDefault="00BD32C8" w14:paraId="5508BBC2" w14:textId="43C7E4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lastRenderedPageBreak/>
        <w:t>Дополнительно может быть запущен компонент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(опционально) —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-интерфейс для администрирования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, предназначенный для администраторов базы данных. Этот компонент не является обязательным для работы подсистемы и может быть запущен только при необходимости выполнения прямых SQL-запросов.</w:t>
      </w:r>
    </w:p>
    <w:p w:rsidRPr="00BD32C8" w:rsidR="00BD32C8" w:rsidP="00BD32C8" w:rsidRDefault="00BD32C8" w14:paraId="6E2B79C0" w14:textId="668CCB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Файловая структура подсистемы на сервере включает следующие директории. Директория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корневая директория приложения, содержащая файлы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), конфигурационные файлы (.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), SSL-сертификаты (при использовании HTTPS). Директория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директория для резервных копий базы данных и файловых вложений. Директория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documents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директория для хранения сгенерированных коммерческих предложений и счетов. Директория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директория для хранения логов приложения (структурированные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в формате JSON, ротация по дням).</w:t>
      </w:r>
    </w:p>
    <w:p w:rsidRPr="00BD32C8" w:rsidR="00BD32C8" w:rsidP="00BD32C8" w:rsidRDefault="00BD32C8" w14:paraId="14EAA3BA" w14:textId="7777777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D32C8">
        <w:rPr>
          <w:rFonts w:ascii="Times New Roman" w:hAnsi="Times New Roman" w:cs="Times New Roman"/>
          <w:b/>
          <w:sz w:val="28"/>
          <w:szCs w:val="28"/>
        </w:rPr>
        <w:t>4.4 Настройка программы</w:t>
      </w:r>
    </w:p>
    <w:p w:rsidRPr="00BD32C8" w:rsidR="00BD32C8" w:rsidP="00BD32C8" w:rsidRDefault="00BD32C8" w14:paraId="44F22038" w14:textId="426DEC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Настройка подсистемы производится через файл переменных </w:t>
      </w:r>
      <w:proofErr w:type="gramStart"/>
      <w:r w:rsidRPr="00BD32C8">
        <w:rPr>
          <w:rFonts w:ascii="Times New Roman" w:hAnsi="Times New Roman" w:cs="Times New Roman"/>
          <w:sz w:val="28"/>
          <w:szCs w:val="28"/>
        </w:rPr>
        <w:t>окружения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BD32C8">
        <w:rPr>
          <w:rFonts w:ascii="Times New Roman" w:hAnsi="Times New Roman" w:cs="Times New Roman"/>
          <w:sz w:val="28"/>
          <w:szCs w:val="28"/>
        </w:rPr>
        <w:t xml:space="preserve">, который располагается в корневой директории приложения (рядом с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). Этот файл содержит конфиденциальную информацию (пароли, ключи, токены доступа) и не должен попадать в систему контроля версий. Ниже приведён перечень основных переменных окружения с их описанием.</w:t>
      </w:r>
    </w:p>
    <w:p w:rsidRPr="00BD32C8" w:rsidR="00BD32C8" w:rsidP="00BD32C8" w:rsidRDefault="00BD32C8" w14:paraId="5A369FB7" w14:textId="0E20A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Переменные для настройки базы данных: POSTGRES_DB — имя базы данных (по умолчанию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kode_crm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»); POSTGRES_USER — имя пользователя базы данных; POSTGRES_PASSWORD — пароль пользователя базы данных (должен быть надёжным, не менее 12 символов, содержать цифры и специальные символы). Переменные для настройки бэкенд-приложения: ASPNETCORE_ENVIRONMENT — среда выполнения («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 для эксплуатации,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Development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для отладки);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ConnectionStrings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DefaultConnection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строка подключения к базе данных в формате: </w:t>
      </w:r>
      <w:r w:rsidRPr="00BD32C8">
        <w:rPr>
          <w:rFonts w:ascii="Times New Roman" w:hAnsi="Times New Roman" w:cs="Times New Roman"/>
          <w:sz w:val="28"/>
          <w:szCs w:val="28"/>
        </w:rPr>
        <w:lastRenderedPageBreak/>
        <w:t xml:space="preserve">Host=postgres;Database=kode_crm;Username=kode_user;Password=secure_password;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Jwt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SecretKey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секретный ключ для подписи JWT-токенов (должен быть уникальным и длиной не менее 32 символов);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Jwt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Issuer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издатель токенов (обычно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Jwt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Audience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получатель токенов (обычно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KodeCRMClient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);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Jwt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ExpiryMinutes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` — время жизни токена в минутах (по умолчанию 1440 минут, то есть 24 часа).</w:t>
      </w:r>
    </w:p>
    <w:p w:rsidRPr="00BD32C8" w:rsidR="00BD32C8" w:rsidP="00BD32C8" w:rsidRDefault="00BD32C8" w14:paraId="3CAF1D19" w14:textId="163C39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Переменные для настройки почтового парсера: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ImapServer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адрес IMAP-сервера (например, «imap.yandex.ru»);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ImapPort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порт IMAP-сервера (993 для SSL/TLS);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ImapUsername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логин от почтового ящика (например, «sales@kode.ru»);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ImapPassword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пароль от почтового ящика;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SmtpServer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адрес SMTP-сервера (например, «smtp.yandex.ru»);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SmtpPort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порт SMTP-сервера (465 для SSL/TLS или 587 для STARTTLS);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SmtpUsername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логин для SMTP (обычно совпадает с IMAP-логином);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SmtpPassword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пароль для SMTP;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PollingIntervalMinutes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интервал проверки новых писем в минутах (по умолчанию 5). Переменные для настройки резервного копирования: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Enabled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включено ли автоматическое резервное копирование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IntervalHours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интервал между резервными копиями в часах (по умолчанию 24);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RetentionDays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количество дней хранения резервных копий (по умолчанию 30). Переменные для настройки логирования: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Serilog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MinimumLevel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минимальный уровень логирования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Information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Debug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Warning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Serilog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WriteTo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путь к файлам логов (по умолчанию «/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-.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»).</w:t>
      </w:r>
    </w:p>
    <w:p w:rsidRPr="00BD32C8" w:rsidR="00BD32C8" w:rsidP="00BD32C8" w:rsidRDefault="00BD32C8" w14:paraId="78CD9F78" w14:textId="1F6BEA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Все переменные окружения, содержащие пароли и секретные ключи, должны быть защищены от несанкционированного доступа. Рекомендуется установить права доступа к </w:t>
      </w:r>
      <w:proofErr w:type="gramStart"/>
      <w:r w:rsidRPr="00BD32C8">
        <w:rPr>
          <w:rFonts w:ascii="Times New Roman" w:hAnsi="Times New Roman" w:cs="Times New Roman"/>
          <w:sz w:val="28"/>
          <w:szCs w:val="28"/>
        </w:rPr>
        <w:t>файлу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BD32C8">
        <w:rPr>
          <w:rFonts w:ascii="Times New Roman" w:hAnsi="Times New Roman" w:cs="Times New Roman"/>
          <w:sz w:val="28"/>
          <w:szCs w:val="28"/>
        </w:rPr>
        <w:t xml:space="preserve"> только для чтения пользователем, от которого запускаются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-контейнеры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chmod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600 .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).</w:t>
      </w:r>
    </w:p>
    <w:p w:rsidRPr="00BD32C8" w:rsidR="00BD32C8" w:rsidP="00BD32C8" w:rsidRDefault="00BD32C8" w14:paraId="036BC83E" w14:textId="7777777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D32C8">
        <w:rPr>
          <w:rFonts w:ascii="Times New Roman" w:hAnsi="Times New Roman" w:cs="Times New Roman"/>
          <w:b/>
          <w:sz w:val="28"/>
          <w:szCs w:val="28"/>
        </w:rPr>
        <w:t>4.5 Проверка программы</w:t>
      </w:r>
    </w:p>
    <w:p w:rsidRPr="00BD32C8" w:rsidR="00BD32C8" w:rsidP="00BD32C8" w:rsidRDefault="00BD32C8" w14:paraId="2E28F524" w14:textId="0A0433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lastRenderedPageBreak/>
        <w:t>После установки и настройки подсистемы необходимо выполнить проверку её работоспособности. Проверка проводится в следующем порядке.</w:t>
      </w:r>
    </w:p>
    <w:p w:rsidRPr="00BD32C8" w:rsidR="00BD32C8" w:rsidP="00BD32C8" w:rsidRDefault="00BD32C8" w14:paraId="6B0577F0" w14:textId="5E2F8C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Первым шагом проверяется доступность контейнеров. На сервере выполняется команда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, которая должна показывать три запущенных контейнера: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kode-backend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kode-frontend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kode-database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». Все контейнеры должны иметь статус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 и время работы не менее нескольких минут. Если какой-либо контейнер отсутствует или имеет статус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Exited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», необходимо просмотреть его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командой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имя_контейнера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&gt;.</w:t>
      </w:r>
    </w:p>
    <w:p w:rsidRPr="00BD32C8" w:rsidR="00BD32C8" w:rsidP="00BD32C8" w:rsidRDefault="00BD32C8" w14:paraId="18FD005B" w14:textId="613D1B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Вторым шагом проверяется доступность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-интерфейса. Пользователь открывает браузер и переходит по адресу http://&lt;IP-адрес_сервера&gt;/ (или https://&lt;доменное_имя&gt;/, если настроен HTTPS). Должна отображаться страница входа в систему. Если страница не загружается (ошибка 404 или 500), необходимо проверить, что порты правильно сконфигурированы в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и что межсетевой экран не блокирует доступ.</w:t>
      </w:r>
    </w:p>
    <w:p w:rsidRPr="00BD32C8" w:rsidR="00BD32C8" w:rsidP="00BD32C8" w:rsidRDefault="00BD32C8" w14:paraId="445DB478" w14:textId="191102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Третьим шагом проверяется аутентификация. Пользователь вводит учётные данные предустановленного администратора (логин: admin@kode.ru, пароль устанавливается при первом запуске через инициализационный скрипт). После успешного входа пользователь должен быть перенаправлен на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администратора. Если вход не удаётся, необходимо проверить, что база данных инициализирована (таблица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содержит хотя бы одну запись), с помощью подключения к базе данных через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psql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.</w:t>
      </w:r>
    </w:p>
    <w:p w:rsidRPr="00BD32C8" w:rsidR="00BD32C8" w:rsidP="00BD32C8" w:rsidRDefault="00BD32C8" w14:paraId="59E126ED" w14:textId="77777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Четвёртым шагом проверяется работа API. Администратор выполняет команду в терминале сервера: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curl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http://localhost:5000/api/health. Должен быть получен ответ {"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":"OK"}. Если ответ не получен, необходимо проверить, что бэкенд-контейнер запустился без ошибок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командой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kode-backend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). Также можно выполнить аутентификацию через API: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curl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-X POST http://localhost:5000/api/auth/login -H "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Content-Type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" -d '{"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":"admin@kode.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","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":"пароль"}'. В ответ должен прийти JSON с полем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».</w:t>
      </w:r>
    </w:p>
    <w:p w:rsidRPr="00BD32C8" w:rsidR="00BD32C8" w:rsidP="00BD32C8" w:rsidRDefault="00BD32C8" w14:paraId="2D9F28F1" w14:textId="77777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Pr="00BD32C8" w:rsidR="00BD32C8" w:rsidP="00BD32C8" w:rsidRDefault="00BD32C8" w14:paraId="684DB0AF" w14:textId="3C972A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lastRenderedPageBreak/>
        <w:t xml:space="preserve">Пятым шагом проверяется работа почтового парсера. На почтовый ящик sales@kode.ru отправляется тестовое письмо с любого внешнего адреса с темой «Тестовая заявка» и текстом «Это тестовое письмо для проверки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автозахвата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». В течение 10 минут после отправки необходимо зайти в подсистему под учётной записью администратора и перейти в раздел «Неразобранные письма» (или в список сделок). Если письмо обработано успешно, в списке сделок должна появиться новая сделка со статусом «Новый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лид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 и привязкой к новому клиенту. Если письмо не обработалось, необходимо проверить настройки почтового парсера в разделе администратора и убедиться, что сервер имеет доступ к почтовому серверу по IMAP.</w:t>
      </w:r>
    </w:p>
    <w:p w:rsidRPr="00BD32C8" w:rsidR="00BD32C8" w:rsidP="00BD32C8" w:rsidRDefault="00BD32C8" w14:paraId="56D316E0" w14:textId="0E4F5E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Шестым шагом проверяется генерация документов. Пользователь с ролью менеджера создаёт тестовую сделку, затем формирует коммерческое предложение. Должен быть сгенерирован PDF-файл, который можно скачать и открыть. Содержимое PDF должно соответствовать данным сделки (наименование клиента, сумма, перечень услуг). Если PDF не генерируется, необходимо проверить права на запись в директорию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documents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.</w:t>
      </w:r>
    </w:p>
    <w:p w:rsidRPr="00BD32C8" w:rsidR="00BD32C8" w:rsidP="00BD32C8" w:rsidRDefault="00BD32C8" w14:paraId="4C834C81" w14:textId="15EF01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Все перечисленные проверки считаются обязательными для успешного ввода подсистемы в эксплуатацию. Если хотя бы одна проверка не пройдена, необходимо вернуться к этапу настройки и устранить выявленные проблемы.</w:t>
      </w:r>
    </w:p>
    <w:p w:rsidRPr="00BD32C8" w:rsidR="00BD32C8" w:rsidP="00BD32C8" w:rsidRDefault="00BD32C8" w14:paraId="641AD33E" w14:textId="7777777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D32C8">
        <w:rPr>
          <w:rFonts w:ascii="Times New Roman" w:hAnsi="Times New Roman" w:cs="Times New Roman"/>
          <w:b/>
          <w:sz w:val="28"/>
          <w:szCs w:val="28"/>
        </w:rPr>
        <w:t>4.6 Сообщения системному программисту</w:t>
      </w:r>
    </w:p>
    <w:p w:rsidRPr="00BD32C8" w:rsidR="00BD32C8" w:rsidP="00BD32C8" w:rsidRDefault="00BD32C8" w14:paraId="122BBFBE" w14:textId="0D18E3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В процессе эксплуатации подсистемы системный программист может получать сообщения (в журнале событий, в логах приложения) о различных ситуациях. Ниже приведён перечень наиболее распространённых сообщений и рекомендации по их обработке.</w:t>
      </w:r>
    </w:p>
    <w:p w:rsidRPr="00BD32C8" w:rsidR="00BD32C8" w:rsidP="00BD32C8" w:rsidRDefault="00BD32C8" w14:paraId="25E4FF97" w14:textId="0EDEEC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Сообщение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Connection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timeout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expired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означает, что приложение не может подключиться к базе данных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в течение заданного тайм-аута (обычно 30 секунд). Рекомендуемые действия: проверить, запущен ли контейнер с базой данных (команда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|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grep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); проверить, совпадают ли параметры подключения в </w:t>
      </w:r>
      <w:proofErr w:type="gramStart"/>
      <w:r w:rsidRPr="00BD32C8">
        <w:rPr>
          <w:rFonts w:ascii="Times New Roman" w:hAnsi="Times New Roman" w:cs="Times New Roman"/>
          <w:sz w:val="28"/>
          <w:szCs w:val="28"/>
        </w:rPr>
        <w:t>файле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BD32C8">
        <w:rPr>
          <w:rFonts w:ascii="Times New Roman" w:hAnsi="Times New Roman" w:cs="Times New Roman"/>
          <w:sz w:val="28"/>
          <w:szCs w:val="28"/>
        </w:rPr>
        <w:t xml:space="preserve"> (имя хоста, </w:t>
      </w:r>
      <w:r w:rsidRPr="00BD32C8">
        <w:rPr>
          <w:rFonts w:ascii="Times New Roman" w:hAnsi="Times New Roman" w:cs="Times New Roman"/>
          <w:sz w:val="28"/>
          <w:szCs w:val="28"/>
        </w:rPr>
        <w:lastRenderedPageBreak/>
        <w:t xml:space="preserve">порт, имя пользователя, пароль); проверить, не занят ли порт 5432 другим процессом на сервере; при необходимости перезапустить контейнеры командой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restart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.</w:t>
      </w:r>
    </w:p>
    <w:p w:rsidRPr="00BD32C8" w:rsidR="00BD32C8" w:rsidP="00BD32C8" w:rsidRDefault="00BD32C8" w14:paraId="4930F5A2" w14:textId="191AEE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Сообщение «IMAP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connection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authentication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означает, что почтовый парсер не может подключиться к почтовому серверу для чтения писем. Рекомендуемые действия: проверить правильность логина и пароля для почтового ящика sales@kode.ru (возможно, пароль изменился или истёк срок действия); проверить, не включена ли двухфакторная аутентификация на почтовом ящике — для работы через IMAP необходимо создать пароль приложения; проверить сетевую доступность IMAP-сервера командой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telnet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imap.yandex.ru 993; проверить настройки шифрования (должен быть SSL/TLS, порт 993).</w:t>
      </w:r>
    </w:p>
    <w:p w:rsidRPr="00BD32C8" w:rsidR="00BD32C8" w:rsidP="00BD32C8" w:rsidRDefault="00BD32C8" w14:paraId="6444B77C" w14:textId="393E8F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Сообщение «PDF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generation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insufficient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disk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space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означает, что на сервере закончилось свободное место на диске, и система не может сохранить сгенерированный документ. Рекомендуемые действия: проверить свободное место командой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df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-h; удалить старые резервные копии из директории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; удалить устаревшие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из директории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; при необходимости увеличить дисковое пространство сервера.</w:t>
      </w:r>
    </w:p>
    <w:p w:rsidRPr="00BD32C8" w:rsidR="00BD32C8" w:rsidP="00BD32C8" w:rsidRDefault="00BD32C8" w14:paraId="20DC5A08" w14:textId="3004F0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Сообщение «JWT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validation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expired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означает, что пользователь попытался выполнить действие с истёкшим JWT-токеном. Это не является ошибкой, а нормальным поведением системы после 24 часов бездействия (или после истечения времени жизни токена). Пользователю необходимо повторно войти в систему. Если сообщение появляется слишком часто (несколько раз в час), можно увеличить значение переменной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Jwt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ExpiryMinutes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в </w:t>
      </w:r>
      <w:proofErr w:type="gramStart"/>
      <w:r w:rsidRPr="00BD32C8">
        <w:rPr>
          <w:rFonts w:ascii="Times New Roman" w:hAnsi="Times New Roman" w:cs="Times New Roman"/>
          <w:sz w:val="28"/>
          <w:szCs w:val="28"/>
        </w:rPr>
        <w:t>файле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BD32C8">
        <w:rPr>
          <w:rFonts w:ascii="Times New Roman" w:hAnsi="Times New Roman" w:cs="Times New Roman"/>
          <w:sz w:val="28"/>
          <w:szCs w:val="28"/>
        </w:rPr>
        <w:t>.</w:t>
      </w:r>
    </w:p>
    <w:p w:rsidRPr="00BD32C8" w:rsidR="00BD32C8" w:rsidP="00BD32C8" w:rsidRDefault="00BD32C8" w14:paraId="238F58F2" w14:textId="48900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Сообщение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Deal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transition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not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allowed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означает, что пользователь (обычно менеджер) попытался перевести сделку из одного статуса в другой, минуя промежуточные этапы. Например, пытается перевести из «Нового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лида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сразу в «Счёт выставлен». Это не ошибка системы, а бизнес-правило. </w:t>
      </w:r>
      <w:r w:rsidRPr="00BD32C8">
        <w:rPr>
          <w:rFonts w:ascii="Times New Roman" w:hAnsi="Times New Roman" w:cs="Times New Roman"/>
          <w:sz w:val="28"/>
          <w:szCs w:val="28"/>
        </w:rPr>
        <w:lastRenderedPageBreak/>
        <w:t>Системный программист может изменить допустимые переходы через интерфейс администратора (раздел «Настройка статусов»), если заказчик утвердит такие изменения. Рекомендуется согласовывать любые изменения со стороны разработчика.</w:t>
      </w:r>
    </w:p>
    <w:p w:rsidRPr="00BD32C8" w:rsidR="00BD32C8" w:rsidP="00BD32C8" w:rsidRDefault="00BD32C8" w14:paraId="28D71835" w14:textId="577392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Сообщение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migration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migrations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означает, что при попытке автоматического применения миграций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произошла ошибка. Рекомендуемые действия: войти в контейнер бэкенда командой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exec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kode-backend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; вручную выполнить миграцию командой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dotnet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ef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connection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"Host=</w:t>
      </w:r>
      <w:proofErr w:type="gramStart"/>
      <w:r w:rsidRPr="00BD32C8">
        <w:rPr>
          <w:rFonts w:ascii="Times New Roman" w:hAnsi="Times New Roman" w:cs="Times New Roman"/>
          <w:sz w:val="28"/>
          <w:szCs w:val="28"/>
        </w:rPr>
        <w:t>postgres;Database</w:t>
      </w:r>
      <w:proofErr w:type="gramEnd"/>
      <w:r w:rsidRPr="00BD32C8">
        <w:rPr>
          <w:rFonts w:ascii="Times New Roman" w:hAnsi="Times New Roman" w:cs="Times New Roman"/>
          <w:sz w:val="28"/>
          <w:szCs w:val="28"/>
        </w:rPr>
        <w:t>=kode_crm;Username=kode_user;Password=...; просмотреть детали ошибки в логах; при необходимости обратиться к разработчику.</w:t>
      </w:r>
    </w:p>
    <w:p w:rsidRPr="00BD32C8" w:rsidR="00BD32C8" w:rsidP="00BD32C8" w:rsidRDefault="00BD32C8" w14:paraId="4B885657" w14:textId="07BD67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Сообщение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storage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authentication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 означает, что автоматическое резервное копирование в облачное хранилище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Drive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Яндекс.Диск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Dropbox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) не удалось — истёк срок действия токена доступа или токен был отозван. Рекомендуемые действия: зайти в раздел администратора «Настройки резервного копирования»; повторно авторизоваться через облачный сервис (сгенерировать новый токен); если резервное копирование не является критичным, временно отключить его, установив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Enabled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.</w:t>
      </w:r>
    </w:p>
    <w:p w:rsidRPr="00BD32C8" w:rsidR="00BD32C8" w:rsidP="00BD32C8" w:rsidRDefault="00BD32C8" w14:paraId="58630E0D" w14:textId="486530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Системный программист должен регулярно (не реже одного раза в неделю) просматривать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подсистемы для выявления потенциальных проблем до того, как они повлияют на пользователей.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хранятся в директории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в файлах с </w:t>
      </w:r>
      <w:proofErr w:type="gramStart"/>
      <w:r w:rsidRPr="00BD32C8">
        <w:rPr>
          <w:rFonts w:ascii="Times New Roman" w:hAnsi="Times New Roman" w:cs="Times New Roman"/>
          <w:sz w:val="28"/>
          <w:szCs w:val="28"/>
        </w:rPr>
        <w:t>расширением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json</w:t>
      </w:r>
      <w:proofErr w:type="spellEnd"/>
      <w:proofErr w:type="gramEnd"/>
      <w:r w:rsidRPr="00BD32C8">
        <w:rPr>
          <w:rFonts w:ascii="Times New Roman" w:hAnsi="Times New Roman" w:cs="Times New Roman"/>
          <w:sz w:val="28"/>
          <w:szCs w:val="28"/>
        </w:rPr>
        <w:t xml:space="preserve">. Для удобного просмотра и анализа логов рекомендуется использовать утилиту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jq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, например: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/log-2026-05-12.json |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jq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D32C8">
        <w:rPr>
          <w:rFonts w:ascii="Times New Roman" w:hAnsi="Times New Roman" w:cs="Times New Roman"/>
          <w:sz w:val="28"/>
          <w:szCs w:val="28"/>
        </w:rPr>
        <w:t>'.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Message</w:t>
      </w:r>
      <w:proofErr w:type="spellEnd"/>
      <w:proofErr w:type="gramEnd"/>
      <w:r w:rsidRPr="00BD32C8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Level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'.</w:t>
      </w:r>
    </w:p>
    <w:sectPr w:rsidRPr="00BD32C8" w:rsidR="00BD32C8">
      <w:pgSz w:w="11906" w:h="16838" w:orient="portrait"/>
      <w:pgMar w:top="1134" w:right="850" w:bottom="1134" w:left="1701" w:header="708" w:footer="708" w:gutter="0"/>
      <w:cols w:space="708"/>
      <w:docGrid w:linePitch="360"/>
      <w:titlePg w:val="1"/>
      <w:headerReference w:type="default" r:id="R886325bd9325414f"/>
      <w:headerReference w:type="first" r:id="Rd0327f3128874dbf"/>
      <w:footerReference w:type="default" r:id="R314ca2ea92814d6d"/>
      <w:footerReference w:type="first" r:id="R99c8958763234e3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p w:rsidR="790305EF" w:rsidP="790305EF" w:rsidRDefault="790305EF" w14:paraId="2B927972" w14:textId="06A49B63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a1"/>
      <w:bidiVisual w:val="0"/>
      <w:tblW w:w="0" w:type="auto"/>
      <w:tblLook w:val="06A0" w:firstRow="1" w:lastRow="0" w:firstColumn="1" w:lastColumn="0" w:noHBand="1" w:noVBand="1"/>
    </w:tblPr>
    <w:tblGrid>
      <w:gridCol w:w="1869"/>
      <w:gridCol w:w="1869"/>
      <w:gridCol w:w="1869"/>
      <w:gridCol w:w="1869"/>
      <w:gridCol w:w="1869"/>
    </w:tblGrid>
    <w:tr w:rsidR="790305EF" w:rsidTr="790305EF" w14:paraId="1EE1F9B1">
      <w:trPr>
        <w:trHeight w:val="555"/>
      </w:trPr>
      <w:tc>
        <w:tcPr>
          <w:tcW w:w="1869" w:type="dxa"/>
          <w:tcMar/>
          <w:vAlign w:val="center"/>
        </w:tcPr>
        <w:p w:rsidR="790305EF" w:rsidP="790305EF" w:rsidRDefault="790305EF" w14:paraId="1FF8AA96" w14:textId="54167F78">
          <w:pPr>
            <w:pStyle w:val="Header"/>
            <w:bidi w:val="0"/>
            <w:jc w:val="center"/>
          </w:pPr>
          <w:r w:rsidR="790305EF">
            <w:rPr/>
            <w:t>Изм.</w:t>
          </w:r>
        </w:p>
      </w:tc>
      <w:tc>
        <w:tcPr>
          <w:tcW w:w="1869" w:type="dxa"/>
          <w:tcMar/>
          <w:vAlign w:val="center"/>
        </w:tcPr>
        <w:p w:rsidR="790305EF" w:rsidP="790305EF" w:rsidRDefault="790305EF" w14:paraId="067918D7" w14:textId="6864467B">
          <w:pPr>
            <w:pStyle w:val="Header"/>
            <w:bidi w:val="0"/>
            <w:jc w:val="center"/>
          </w:pPr>
          <w:r w:rsidR="790305EF">
            <w:rPr/>
            <w:t>Лист</w:t>
          </w:r>
        </w:p>
      </w:tc>
      <w:tc>
        <w:tcPr>
          <w:tcW w:w="1869" w:type="dxa"/>
          <w:tcMar/>
          <w:vAlign w:val="center"/>
        </w:tcPr>
        <w:p w:rsidR="790305EF" w:rsidP="790305EF" w:rsidRDefault="790305EF" w14:paraId="6F77EB61" w14:textId="7AC309EE">
          <w:pPr>
            <w:pStyle w:val="Header"/>
            <w:bidi w:val="0"/>
            <w:jc w:val="center"/>
          </w:pPr>
          <w:r w:rsidR="790305EF">
            <w:rPr/>
            <w:t>№ документа</w:t>
          </w:r>
        </w:p>
      </w:tc>
      <w:tc>
        <w:tcPr>
          <w:tcW w:w="1869" w:type="dxa"/>
          <w:tcMar/>
          <w:vAlign w:val="center"/>
        </w:tcPr>
        <w:p w:rsidR="790305EF" w:rsidP="790305EF" w:rsidRDefault="790305EF" w14:paraId="1484BFB8" w14:textId="4AD490DA">
          <w:pPr>
            <w:pStyle w:val="Header"/>
            <w:bidi w:val="0"/>
            <w:jc w:val="center"/>
          </w:pPr>
          <w:r w:rsidR="790305EF">
            <w:rPr/>
            <w:t>Подп.</w:t>
          </w:r>
        </w:p>
      </w:tc>
      <w:tc>
        <w:tcPr>
          <w:tcW w:w="1869" w:type="dxa"/>
          <w:tcMar/>
          <w:vAlign w:val="center"/>
        </w:tcPr>
        <w:p w:rsidR="790305EF" w:rsidP="790305EF" w:rsidRDefault="790305EF" w14:paraId="309B3892" w14:textId="333EC7B2">
          <w:pPr>
            <w:pStyle w:val="Header"/>
            <w:bidi w:val="0"/>
            <w:jc w:val="center"/>
          </w:pPr>
          <w:r w:rsidR="790305EF">
            <w:rPr/>
            <w:t>Дата</w:t>
          </w:r>
        </w:p>
      </w:tc>
    </w:tr>
    <w:tr w:rsidR="790305EF" w:rsidTr="790305EF" w14:paraId="7245D8AC">
      <w:trPr>
        <w:trHeight w:val="600"/>
      </w:trPr>
      <w:tc>
        <w:tcPr>
          <w:tcW w:w="1869" w:type="dxa"/>
          <w:tcMar/>
          <w:vAlign w:val="center"/>
        </w:tcPr>
        <w:p w:rsidR="790305EF" w:rsidP="790305EF" w:rsidRDefault="790305EF" w14:paraId="0378682E" w14:textId="0F6E103B">
          <w:pPr>
            <w:pStyle w:val="Header"/>
            <w:bidi w:val="0"/>
            <w:jc w:val="center"/>
          </w:pPr>
          <w:r w:rsidR="790305EF">
            <w:rPr/>
            <w:t>Разраб.</w:t>
          </w:r>
        </w:p>
      </w:tc>
      <w:tc>
        <w:tcPr>
          <w:tcW w:w="1869" w:type="dxa"/>
          <w:tcMar/>
          <w:vAlign w:val="center"/>
        </w:tcPr>
        <w:p w:rsidR="790305EF" w:rsidP="790305EF" w:rsidRDefault="790305EF" w14:paraId="4667F785" w14:textId="741DA698">
          <w:pPr>
            <w:pStyle w:val="Header"/>
            <w:bidi w:val="0"/>
            <w:jc w:val="center"/>
          </w:pPr>
        </w:p>
      </w:tc>
      <w:tc>
        <w:tcPr>
          <w:tcW w:w="1869" w:type="dxa"/>
          <w:tcMar/>
          <w:vAlign w:val="center"/>
        </w:tcPr>
        <w:p w:rsidR="790305EF" w:rsidP="790305EF" w:rsidRDefault="790305EF" w14:paraId="61C37932" w14:textId="587CAA82">
          <w:pPr>
            <w:pStyle w:val="Header"/>
            <w:bidi w:val="0"/>
            <w:jc w:val="center"/>
          </w:pPr>
        </w:p>
      </w:tc>
      <w:tc>
        <w:tcPr>
          <w:tcW w:w="1869" w:type="dxa"/>
          <w:tcMar/>
          <w:vAlign w:val="center"/>
        </w:tcPr>
        <w:p w:rsidR="790305EF" w:rsidP="790305EF" w:rsidRDefault="790305EF" w14:paraId="12F7ADAD" w14:textId="6A6C53A1">
          <w:pPr>
            <w:pStyle w:val="Header"/>
            <w:bidi w:val="0"/>
            <w:jc w:val="center"/>
          </w:pPr>
        </w:p>
      </w:tc>
      <w:tc>
        <w:tcPr>
          <w:tcW w:w="1869" w:type="dxa"/>
          <w:tcMar/>
          <w:vAlign w:val="center"/>
        </w:tcPr>
        <w:p w:rsidR="790305EF" w:rsidP="790305EF" w:rsidRDefault="790305EF" w14:paraId="1718E005" w14:textId="6A19B1EA">
          <w:pPr>
            <w:pStyle w:val="Header"/>
            <w:bidi w:val="0"/>
            <w:jc w:val="center"/>
          </w:pPr>
        </w:p>
      </w:tc>
    </w:tr>
    <w:tr w:rsidR="790305EF" w:rsidTr="790305EF" w14:paraId="4E1817DF">
      <w:trPr>
        <w:trHeight w:val="510"/>
      </w:trPr>
      <w:tc>
        <w:tcPr>
          <w:tcW w:w="1869" w:type="dxa"/>
          <w:tcMar/>
          <w:vAlign w:val="center"/>
        </w:tcPr>
        <w:p w:rsidR="790305EF" w:rsidP="790305EF" w:rsidRDefault="790305EF" w14:paraId="76E5C152" w14:textId="4EFA236A">
          <w:pPr>
            <w:pStyle w:val="Header"/>
            <w:bidi w:val="0"/>
            <w:jc w:val="center"/>
          </w:pPr>
          <w:r w:rsidR="790305EF">
            <w:rPr/>
            <w:t>Пров.</w:t>
          </w:r>
        </w:p>
      </w:tc>
      <w:tc>
        <w:tcPr>
          <w:tcW w:w="1869" w:type="dxa"/>
          <w:tcMar/>
          <w:vAlign w:val="center"/>
        </w:tcPr>
        <w:p w:rsidR="790305EF" w:rsidP="790305EF" w:rsidRDefault="790305EF" w14:paraId="50E36788" w14:textId="5D03823C">
          <w:pPr>
            <w:pStyle w:val="Header"/>
            <w:bidi w:val="0"/>
            <w:jc w:val="center"/>
          </w:pPr>
        </w:p>
      </w:tc>
      <w:tc>
        <w:tcPr>
          <w:tcW w:w="1869" w:type="dxa"/>
          <w:tcMar/>
          <w:vAlign w:val="center"/>
        </w:tcPr>
        <w:p w:rsidR="790305EF" w:rsidP="790305EF" w:rsidRDefault="790305EF" w14:paraId="4929F887" w14:textId="2B806845">
          <w:pPr>
            <w:pStyle w:val="Header"/>
            <w:bidi w:val="0"/>
            <w:jc w:val="center"/>
          </w:pPr>
        </w:p>
      </w:tc>
      <w:tc>
        <w:tcPr>
          <w:tcW w:w="1869" w:type="dxa"/>
          <w:tcMar/>
          <w:vAlign w:val="center"/>
        </w:tcPr>
        <w:p w:rsidR="790305EF" w:rsidP="790305EF" w:rsidRDefault="790305EF" w14:paraId="065D2C21" w14:textId="5E4FD30E">
          <w:pPr>
            <w:pStyle w:val="Header"/>
            <w:bidi w:val="0"/>
            <w:jc w:val="center"/>
          </w:pPr>
        </w:p>
      </w:tc>
      <w:tc>
        <w:tcPr>
          <w:tcW w:w="1869" w:type="dxa"/>
          <w:tcMar/>
          <w:vAlign w:val="center"/>
        </w:tcPr>
        <w:p w:rsidR="790305EF" w:rsidP="790305EF" w:rsidRDefault="790305EF" w14:paraId="02DED382" w14:textId="714DF646">
          <w:pPr>
            <w:pStyle w:val="Header"/>
            <w:bidi w:val="0"/>
            <w:jc w:val="center"/>
          </w:pPr>
        </w:p>
      </w:tc>
    </w:tr>
    <w:tr w:rsidR="790305EF" w:rsidTr="790305EF" w14:paraId="01859EDA">
      <w:trPr>
        <w:trHeight w:val="480"/>
      </w:trPr>
      <w:tc>
        <w:tcPr>
          <w:tcW w:w="1869" w:type="dxa"/>
          <w:tcMar/>
          <w:vAlign w:val="center"/>
        </w:tcPr>
        <w:p w:rsidR="790305EF" w:rsidP="790305EF" w:rsidRDefault="790305EF" w14:paraId="19EB4C81" w14:textId="6B92A454">
          <w:pPr>
            <w:pStyle w:val="Header"/>
            <w:bidi w:val="0"/>
            <w:jc w:val="center"/>
          </w:pPr>
          <w:r w:rsidR="790305EF">
            <w:rPr/>
            <w:t>Н.контр.</w:t>
          </w:r>
        </w:p>
      </w:tc>
      <w:tc>
        <w:tcPr>
          <w:tcW w:w="1869" w:type="dxa"/>
          <w:tcMar/>
          <w:vAlign w:val="center"/>
        </w:tcPr>
        <w:p w:rsidR="790305EF" w:rsidP="790305EF" w:rsidRDefault="790305EF" w14:paraId="2538754C" w14:textId="21AF694B">
          <w:pPr>
            <w:pStyle w:val="Header"/>
            <w:bidi w:val="0"/>
            <w:jc w:val="center"/>
          </w:pPr>
        </w:p>
      </w:tc>
      <w:tc>
        <w:tcPr>
          <w:tcW w:w="1869" w:type="dxa"/>
          <w:tcMar/>
          <w:vAlign w:val="center"/>
        </w:tcPr>
        <w:p w:rsidR="790305EF" w:rsidP="790305EF" w:rsidRDefault="790305EF" w14:paraId="4EC18DB0" w14:textId="30AE1FDE">
          <w:pPr>
            <w:pStyle w:val="Header"/>
            <w:bidi w:val="0"/>
            <w:jc w:val="center"/>
          </w:pPr>
        </w:p>
      </w:tc>
      <w:tc>
        <w:tcPr>
          <w:tcW w:w="1869" w:type="dxa"/>
          <w:tcMar/>
          <w:vAlign w:val="center"/>
        </w:tcPr>
        <w:p w:rsidR="790305EF" w:rsidP="790305EF" w:rsidRDefault="790305EF" w14:paraId="2EBFD6AC" w14:textId="6E14C2CC">
          <w:pPr>
            <w:pStyle w:val="Header"/>
            <w:bidi w:val="0"/>
            <w:jc w:val="center"/>
          </w:pPr>
        </w:p>
      </w:tc>
      <w:tc>
        <w:tcPr>
          <w:tcW w:w="1869" w:type="dxa"/>
          <w:tcMar/>
          <w:vAlign w:val="center"/>
        </w:tcPr>
        <w:p w:rsidR="790305EF" w:rsidP="790305EF" w:rsidRDefault="790305EF" w14:paraId="0149D77A" w14:textId="65DE3AD6">
          <w:pPr>
            <w:pStyle w:val="Header"/>
            <w:bidi w:val="0"/>
            <w:jc w:val="center"/>
          </w:pPr>
        </w:p>
      </w:tc>
    </w:tr>
    <w:tr w:rsidR="790305EF" w:rsidTr="790305EF" w14:paraId="42B4A6D1">
      <w:trPr>
        <w:trHeight w:val="495"/>
      </w:trPr>
      <w:tc>
        <w:tcPr>
          <w:tcW w:w="1869" w:type="dxa"/>
          <w:tcMar/>
          <w:vAlign w:val="center"/>
        </w:tcPr>
        <w:p w:rsidR="790305EF" w:rsidP="790305EF" w:rsidRDefault="790305EF" w14:paraId="0D0F7305" w14:textId="2D80674C">
          <w:pPr>
            <w:pStyle w:val="Header"/>
            <w:bidi w:val="0"/>
            <w:ind w:left="-115"/>
            <w:jc w:val="center"/>
          </w:pPr>
          <w:r w:rsidR="790305EF">
            <w:rPr/>
            <w:t>Утв.</w:t>
          </w:r>
        </w:p>
      </w:tc>
      <w:tc>
        <w:tcPr>
          <w:tcW w:w="1869" w:type="dxa"/>
          <w:tcMar/>
          <w:vAlign w:val="center"/>
        </w:tcPr>
        <w:p w:rsidR="790305EF" w:rsidP="790305EF" w:rsidRDefault="790305EF" w14:paraId="0058EAA7" w14:textId="1A7F72FC">
          <w:pPr>
            <w:pStyle w:val="Header"/>
            <w:bidi w:val="0"/>
            <w:jc w:val="center"/>
          </w:pPr>
        </w:p>
      </w:tc>
      <w:tc>
        <w:tcPr>
          <w:tcW w:w="1869" w:type="dxa"/>
          <w:tcMar/>
          <w:vAlign w:val="center"/>
        </w:tcPr>
        <w:p w:rsidR="790305EF" w:rsidP="790305EF" w:rsidRDefault="790305EF" w14:paraId="0D81D187" w14:textId="289BF0A3">
          <w:pPr>
            <w:pStyle w:val="Header"/>
            <w:bidi w:val="0"/>
            <w:jc w:val="center"/>
          </w:pPr>
        </w:p>
      </w:tc>
      <w:tc>
        <w:tcPr>
          <w:tcW w:w="1869" w:type="dxa"/>
          <w:tcMar/>
          <w:vAlign w:val="center"/>
        </w:tcPr>
        <w:p w:rsidR="790305EF" w:rsidP="790305EF" w:rsidRDefault="790305EF" w14:paraId="7D797CD7" w14:textId="59335FBA">
          <w:pPr>
            <w:pStyle w:val="Header"/>
            <w:bidi w:val="0"/>
            <w:jc w:val="center"/>
          </w:pPr>
        </w:p>
      </w:tc>
      <w:tc>
        <w:tcPr>
          <w:tcW w:w="1869" w:type="dxa"/>
          <w:tcMar/>
          <w:vAlign w:val="center"/>
        </w:tcPr>
        <w:p w:rsidR="790305EF" w:rsidP="790305EF" w:rsidRDefault="790305EF" w14:paraId="493607AB" w14:textId="102B0F86">
          <w:pPr>
            <w:pStyle w:val="Header"/>
            <w:bidi w:val="0"/>
            <w:ind w:right="-115"/>
            <w:jc w:val="center"/>
          </w:pPr>
        </w:p>
      </w:tc>
    </w:tr>
  </w:tbl>
  <w:p w:rsidR="790305EF" w:rsidP="790305EF" w:rsidRDefault="790305EF" w14:paraId="11C7E414" w14:textId="2DF5C46B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a1"/>
      <w:bidiVisual w:val="0"/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90305EF" w:rsidTr="790305EF" w14:paraId="0254DEBD">
      <w:trPr>
        <w:trHeight w:val="300"/>
      </w:trPr>
      <w:tc>
        <w:tcPr>
          <w:tcW w:w="3115" w:type="dxa"/>
          <w:tcMar/>
        </w:tcPr>
        <w:p w:rsidR="790305EF" w:rsidP="790305EF" w:rsidRDefault="790305EF" w14:paraId="41DE721A" w14:textId="4169BF03">
          <w:pPr>
            <w:pStyle w:val="Header"/>
            <w:bidi w:val="0"/>
            <w:ind w:left="-115"/>
            <w:jc w:val="left"/>
          </w:pPr>
        </w:p>
      </w:tc>
      <w:tc>
        <w:tcPr>
          <w:tcW w:w="3115" w:type="dxa"/>
          <w:tcMar/>
        </w:tcPr>
        <w:p w:rsidR="790305EF" w:rsidP="790305EF" w:rsidRDefault="790305EF" w14:paraId="6EE2008E" w14:textId="0089BA12">
          <w:pPr>
            <w:pStyle w:val="Header"/>
            <w:bidi w:val="0"/>
            <w:jc w:val="center"/>
          </w:pPr>
        </w:p>
      </w:tc>
      <w:tc>
        <w:tcPr>
          <w:tcW w:w="3115" w:type="dxa"/>
          <w:tcMar/>
        </w:tcPr>
        <w:p w:rsidR="790305EF" w:rsidP="790305EF" w:rsidRDefault="790305EF" w14:paraId="2EC317E4" w14:textId="0D6B4709">
          <w:pPr>
            <w:pStyle w:val="Header"/>
            <w:bidi w:val="0"/>
            <w:ind w:right="-115"/>
            <w:jc w:val="right"/>
          </w:pPr>
        </w:p>
      </w:tc>
    </w:tr>
  </w:tbl>
  <w:p w:rsidR="790305EF" w:rsidP="790305EF" w:rsidRDefault="790305EF" w14:paraId="68CAAF20" w14:textId="686B4DF4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a1"/>
      <w:bidiVisual w:val="0"/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90305EF" w:rsidTr="790305EF" w14:paraId="0AADB983">
      <w:trPr>
        <w:trHeight w:val="300"/>
      </w:trPr>
      <w:tc>
        <w:tcPr>
          <w:tcW w:w="3115" w:type="dxa"/>
          <w:tcMar/>
        </w:tcPr>
        <w:p w:rsidR="790305EF" w:rsidP="790305EF" w:rsidRDefault="790305EF" w14:paraId="4C3819A4" w14:textId="339CD4CC">
          <w:pPr>
            <w:pStyle w:val="Header"/>
            <w:bidi w:val="0"/>
            <w:ind w:left="-115"/>
            <w:jc w:val="left"/>
          </w:pPr>
        </w:p>
      </w:tc>
      <w:tc>
        <w:tcPr>
          <w:tcW w:w="3115" w:type="dxa"/>
          <w:tcMar/>
        </w:tcPr>
        <w:p w:rsidR="790305EF" w:rsidP="790305EF" w:rsidRDefault="790305EF" w14:paraId="60697AD6" w14:textId="616551FB">
          <w:pPr>
            <w:pStyle w:val="Header"/>
            <w:bidi w:val="0"/>
            <w:jc w:val="center"/>
          </w:pPr>
        </w:p>
      </w:tc>
      <w:tc>
        <w:tcPr>
          <w:tcW w:w="3115" w:type="dxa"/>
          <w:tcMar/>
        </w:tcPr>
        <w:p w:rsidR="790305EF" w:rsidP="790305EF" w:rsidRDefault="790305EF" w14:paraId="25C8D0AE" w14:textId="679736B8">
          <w:pPr>
            <w:pStyle w:val="Header"/>
            <w:bidi w:val="0"/>
            <w:ind w:right="-115"/>
            <w:jc w:val="right"/>
          </w:pPr>
        </w:p>
      </w:tc>
    </w:tr>
  </w:tbl>
  <w:p w:rsidR="790305EF" w:rsidP="790305EF" w:rsidRDefault="790305EF" w14:paraId="38A55F2A" w14:textId="6EB2393E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9E0"/>
    <w:rsid w:val="0050570E"/>
    <w:rsid w:val="00A6ADCB"/>
    <w:rsid w:val="00AD29E0"/>
    <w:rsid w:val="00BD32C8"/>
    <w:rsid w:val="00D16AF8"/>
    <w:rsid w:val="00ED22CB"/>
    <w:rsid w:val="098ECEC6"/>
    <w:rsid w:val="0A7023C8"/>
    <w:rsid w:val="0B7076FD"/>
    <w:rsid w:val="0F67D7D2"/>
    <w:rsid w:val="11CB9ECA"/>
    <w:rsid w:val="14045372"/>
    <w:rsid w:val="154C069F"/>
    <w:rsid w:val="19FE06C5"/>
    <w:rsid w:val="1D37FC0D"/>
    <w:rsid w:val="262E4D7C"/>
    <w:rsid w:val="2D5B5596"/>
    <w:rsid w:val="2F016BB8"/>
    <w:rsid w:val="32E45FB0"/>
    <w:rsid w:val="378C6EAF"/>
    <w:rsid w:val="3FCBB483"/>
    <w:rsid w:val="3FFDEBB2"/>
    <w:rsid w:val="417E2B43"/>
    <w:rsid w:val="4611F7D1"/>
    <w:rsid w:val="52DE73A4"/>
    <w:rsid w:val="633C89DF"/>
    <w:rsid w:val="6882AFA3"/>
    <w:rsid w:val="789A39BC"/>
    <w:rsid w:val="790305EF"/>
    <w:rsid w:val="7A2573D8"/>
    <w:rsid w:val="7B84EDCA"/>
    <w:rsid w:val="7FB1B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513B0"/>
  <w15:chartTrackingRefBased/>
  <w15:docId w15:val="{E9C2D4F7-2D68-47B1-9D7B-FDD7EA824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790305EF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790305EF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a1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280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886325bd9325414f" /><Relationship Type="http://schemas.openxmlformats.org/officeDocument/2006/relationships/header" Target="header2.xml" Id="Rd0327f3128874dbf" /><Relationship Type="http://schemas.openxmlformats.org/officeDocument/2006/relationships/footer" Target="footer.xml" Id="R314ca2ea92814d6d" /><Relationship Type="http://schemas.openxmlformats.org/officeDocument/2006/relationships/footer" Target="footer2.xml" Id="R99c8958763234e32" /></Relationships>
</file>

<file path=word/theme/theme1.xml><?xml version="1.0" encoding="utf-8"?>
<a:theme xmlns:a="http://schemas.openxmlformats.org/drawingml/2006/main" xmlns:thm15="http://schemas.microsoft.com/office/thememl/2012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Студент Колледж</dc:creator>
  <keywords/>
  <dc:description/>
  <lastModifiedBy>Роман Хоменко</lastModifiedBy>
  <revision>5</revision>
  <dcterms:created xsi:type="dcterms:W3CDTF">2026-05-12T06:34:00.0000000Z</dcterms:created>
  <dcterms:modified xsi:type="dcterms:W3CDTF">2026-05-18T07:26:20.3011827Z</dcterms:modified>
</coreProperties>
</file>