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Layout w:type="fixed"/>
      </w:tblPr>
      <w:tblGrid>
        <w:gridCol w:w="3178"/>
        <w:gridCol w:w="3178"/>
        <w:gridCol w:w="3178"/>
      </w:tblGrid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1000000">
            <w:pPr>
              <w:spacing w:after="0" w:before="0" w:line="276" w:lineRule="auto"/>
              <w:ind w:firstLine="0" w:left="0" w:right="1"/>
              <w:jc w:val="left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Код ПК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2000000">
            <w:pPr>
              <w:spacing w:after="0" w:before="0" w:line="276" w:lineRule="auto"/>
              <w:ind w:firstLine="0" w:left="0" w:right="1"/>
              <w:jc w:val="left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Реализовано в приложении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3000000">
            <w:pPr>
              <w:spacing w:after="0" w:before="0" w:line="276" w:lineRule="auto"/>
              <w:ind w:firstLine="0" w:left="0" w:right="1"/>
              <w:jc w:val="left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Документация в ВКР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4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1.1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5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Блок-схемы алгоритмов модулей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6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2.4, Приложение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7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1.2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8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Исходный код всех модулей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9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2.4, Приложение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A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1.3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B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Отладка в IDE (точки останова, логи)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C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3 (раздел тестирования)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D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1.4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E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Юнит-тесты (PyTest / NUnit / xUnit)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F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3.3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0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1.5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1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Рефакторинг, индексы БД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2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2.5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3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1.6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4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REST API (если есть по ТЗ)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5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2.4 (или указать «не требуется»)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6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2.1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Диаграмма компонентов, требования к интерфейсам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8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2.1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9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2.2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A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Сборка и интеграция модулей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B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2.5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C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2.3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D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Сквозная отладка (E2E-сценарии)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E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3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F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2.4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0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Тест-кейсы и тестовые наборы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1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3.2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2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2.5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3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Линтер (Pylint / SonarLint), стандарт кода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4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2.4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5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4.1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6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Инсталлятор, конфигурационные файлы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7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4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8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4.2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9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Замеры времени отклика, нагрузочное тестирование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A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3 (п. 3.3–3.4)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B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4.3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C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Настраиваемые поля и справочники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D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2.4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E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4.4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F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Аутентификация (JWT/сессии), роли, логирование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0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2.5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1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11.1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2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Анализ документов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3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2.1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4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11.2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5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ER-диаграмма (логическая модель)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6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2.3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7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11.3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8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Таблицы, представления, процедуры, триггеры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9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2.3, Приложение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A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11.4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B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Реализация БД в PostgreSQL / MySQL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C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2.3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D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11.5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E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Резервное копирование, управление пользователями БД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F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4</w:t>
            </w:r>
          </w:p>
        </w:tc>
      </w:tr>
      <w:tr>
        <w:trPr>
          <w:trHeight w:hRule="atLeast" w:val="725"/>
        </w:trPr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0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ПК 11.6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1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Хэширование паролей, GRANT, аудит</w:t>
            </w:r>
          </w:p>
        </w:tc>
        <w:tc>
          <w:tcPr>
            <w:tcW w:type="dxa" w:w="317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2000000">
            <w:pPr>
              <w:spacing w:after="0" w:before="0" w:line="276" w:lineRule="auto"/>
              <w:ind w:firstLine="0" w:left="0" w:right="1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Глава 2.5</w:t>
            </w:r>
          </w:p>
        </w:tc>
      </w:tr>
    </w:tbl>
    <w:p w14:paraId="43000000">
      <w:pPr>
        <w:rPr>
          <w:rFonts w:ascii="Times New Roman" w:hAnsi="Times New Roman"/>
          <w:sz w:val="28"/>
        </w:rPr>
      </w:pP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Default Paragraph Font"/>
    <w:link w:val="Style_18_ch"/>
  </w:style>
  <w:style w:styleId="Style_18_ch" w:type="character">
    <w:name w:val="Default Paragraph Font"/>
    <w:link w:val="Style_18"/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  <w:style w:styleId="Style_22" w:type="table">
    <w:name w:val="Table Grid"/>
    <w:basedOn w:val="Style_23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2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2026-04-27T18:14:10Z</dcterms:modified>
</cp:coreProperties>
</file>