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GastuCover"/>
        <w:jc w:val="center"/>
      </w:pPr>
      <w:r>
        <w:t>Manual Técnico del Sistema</w:t>
        <w:br/>
      </w:r>
    </w:p>
    <w:p>
      <w:pPr>
        <w:pStyle w:val="GastuCoverSub"/>
        <w:jc w:val="center"/>
      </w:pPr>
      <w:r>
        <w:t>GastuApp: Gestión Financiera Inteligente</w:t>
      </w:r>
    </w:p>
    <w:p>
      <w:pPr>
        <w:jc w:val="center"/>
      </w:pPr>
      <w:r>
        <w:br/>
        <w:br/>
        <w:br/>
        <w:br/>
        <w:br/>
        <w:br/>
        <w:t>Documentación Oficial de Arquitectura, Infraestructura y Código</w:t>
        <w:br/>
        <w:t>Actualizado: 2026</w:t>
      </w:r>
    </w:p>
    <w:p>
      <w:r>
        <w:br w:type="page"/>
      </w:r>
    </w:p>
    <w:p>
      <w:pPr>
        <w:pStyle w:val="GastuH1"/>
      </w:pPr>
      <w:r>
        <w:t>1. Introducción y Arquitectura</w:t>
      </w:r>
    </w:p>
    <w:p>
      <w:pPr/>
      <w:r>
        <w:t>GastuApp se sustenta sobre el ecosistema de Python empleando el framework Django 5.2 bajo el patrón arquitectónico MVT (Model-View-Template). La aplicación fue concebida como un monolito altamente modular, donde el desacoplamiento se logra mediante el sistema de eventos internos (Django Signals). Esto permite que el registro de una transacción financiera dispare procesos asíncronos (como el cálculo de presupuestos o emisión de notificaciones en tiempo real) sin generar dependencias circulares entre módulos.</w:t>
      </w:r>
    </w:p>
    <w:p>
      <w:r>
        <w:br/>
      </w:r>
    </w:p>
    <w:p>
      <w:pPr>
        <w:pStyle w:val="GastuH2"/>
      </w:pPr>
      <w:r>
        <w:t>Distribución de Módulos (Apps)</w:t>
      </w:r>
    </w:p>
    <w:tbl>
      <w:tblPr>
        <w:tblStyle w:val="TableGrid"/>
        <w:tblW w:type="auto" w:w="0"/>
        <w:tblLook w:firstColumn="1" w:firstRow="1" w:lastColumn="0" w:lastRow="0" w:noHBand="0" w:noVBand="1" w:val="04A0"/>
      </w:tblPr>
      <w:tblGrid>
        <w:gridCol w:w="4320"/>
        <w:gridCol w:w="4320"/>
      </w:tblGrid>
      <w:tr>
        <w:tc>
          <w:tcPr>
            <w:tcW w:type="dxa" w:w="4320"/>
            <w:shd w:fill="10b981"/>
          </w:tcPr>
          <w:p>
            <w:r>
              <w:t>Módulo / App Django</w:t>
            </w:r>
          </w:p>
        </w:tc>
        <w:tc>
          <w:tcPr>
            <w:tcW w:type="dxa" w:w="4320"/>
            <w:shd w:fill="10b981"/>
          </w:tcPr>
          <w:p>
            <w:r>
              <w:t>Responsabilidad Técnica</w:t>
            </w:r>
          </w:p>
        </w:tc>
      </w:tr>
      <w:tr>
        <w:tc>
          <w:tcPr>
            <w:tcW w:type="dxa" w:w="4320"/>
          </w:tcPr>
          <w:p>
            <w:r>
              <w:t>usuarios</w:t>
            </w:r>
          </w:p>
        </w:tc>
        <w:tc>
          <w:tcPr>
            <w:tcW w:type="dxa" w:w="4320"/>
          </w:tcPr>
          <w:p>
            <w:r>
              <w:t>Autenticación (ModelBackend &amp; OAuth), manejo de JWT/Sesiones, perfiles, roles y middleware de seguridad.</w:t>
            </w:r>
          </w:p>
        </w:tc>
      </w:tr>
      <w:tr>
        <w:tc>
          <w:tcPr>
            <w:tcW w:type="dxa" w:w="4320"/>
          </w:tcPr>
          <w:p>
            <w:r>
              <w:t>movimientos</w:t>
            </w:r>
          </w:p>
        </w:tc>
        <w:tc>
          <w:tcPr>
            <w:tcW w:type="dxa" w:w="4320"/>
          </w:tcPr>
          <w:p>
            <w:r>
              <w:t>Motor transaccional principal. CRUD de ingresos y egresos vinculados a categorías.</w:t>
            </w:r>
          </w:p>
        </w:tc>
      </w:tr>
      <w:tr>
        <w:tc>
          <w:tcPr>
            <w:tcW w:type="dxa" w:w="4320"/>
          </w:tcPr>
          <w:p>
            <w:r>
              <w:t>agente_financiero</w:t>
            </w:r>
          </w:p>
        </w:tc>
        <w:tc>
          <w:tcPr>
            <w:tcW w:type="dxa" w:w="4320"/>
          </w:tcPr>
          <w:p>
            <w:r>
              <w:t>Integración con API REST Groq LLM para inferencia e inteligencia artificial generativa.</w:t>
            </w:r>
          </w:p>
        </w:tc>
      </w:tr>
      <w:tr>
        <w:tc>
          <w:tcPr>
            <w:tcW w:type="dxa" w:w="4320"/>
          </w:tcPr>
          <w:p>
            <w:r>
              <w:t>notificaciones</w:t>
            </w:r>
          </w:p>
        </w:tc>
        <w:tc>
          <w:tcPr>
            <w:tcW w:type="dxa" w:w="4320"/>
          </w:tcPr>
          <w:p>
            <w:r>
              <w:t>Manejo de WebSockets (Django Channels) para dispatching en tiempo real al cliente.</w:t>
            </w:r>
          </w:p>
        </w:tc>
      </w:tr>
      <w:tr>
        <w:tc>
          <w:tcPr>
            <w:tcW w:type="dxa" w:w="4320"/>
          </w:tcPr>
          <w:p>
            <w:r>
              <w:t>panel_admin</w:t>
            </w:r>
          </w:p>
        </w:tc>
        <w:tc>
          <w:tcPr>
            <w:tcW w:type="dxa" w:w="4320"/>
          </w:tcPr>
          <w:p>
            <w:r>
              <w:t>Rutas segregadas con protección decorativa para métricas y administración global.</w:t>
            </w:r>
          </w:p>
        </w:tc>
      </w:tr>
    </w:tbl>
    <w:p>
      <w:r>
        <w:br/>
      </w:r>
    </w:p>
    <w:p>
      <w:pPr>
        <w:pStyle w:val="GastuH1"/>
      </w:pPr>
      <w:r>
        <w:t>2. Stack Tecnológico</w:t>
      </w:r>
    </w:p>
    <w:p>
      <w:pPr/>
      <w:r>
        <w:t>La infraestructura tecnológica seleccionada garantiza rendimiento, escalabilidad y facilidad de mantenimiento.</w:t>
      </w:r>
    </w:p>
    <w:tbl>
      <w:tblPr>
        <w:tblStyle w:val="TableGrid"/>
        <w:tblW w:type="auto" w:w="0"/>
        <w:tblLook w:firstColumn="1" w:firstRow="1" w:lastColumn="0" w:lastRow="0" w:noHBand="0" w:noVBand="1" w:val="04A0"/>
      </w:tblPr>
      <w:tblGrid>
        <w:gridCol w:w="2880"/>
        <w:gridCol w:w="2880"/>
        <w:gridCol w:w="2880"/>
      </w:tblGrid>
      <w:tr>
        <w:tc>
          <w:tcPr>
            <w:tcW w:type="dxa" w:w="2880"/>
            <w:shd w:fill="0f172a"/>
          </w:tcPr>
          <w:p>
            <w:r>
              <w:rPr>
                <w:color w:val="FFFFFF"/>
              </w:rPr>
              <w:t>Tecnología</w:t>
            </w:r>
          </w:p>
        </w:tc>
        <w:tc>
          <w:tcPr>
            <w:tcW w:type="dxa" w:w="2880"/>
            <w:shd w:fill="0f172a"/>
          </w:tcPr>
          <w:p>
            <w:r>
              <w:rPr>
                <w:color w:val="FFFFFF"/>
              </w:rPr>
              <w:t>Propósito</w:t>
            </w:r>
          </w:p>
        </w:tc>
        <w:tc>
          <w:tcPr>
            <w:tcW w:type="dxa" w:w="2880"/>
            <w:shd w:fill="0f172a"/>
          </w:tcPr>
          <w:p>
            <w:r>
              <w:rPr>
                <w:color w:val="FFFFFF"/>
              </w:rPr>
              <w:t>Entorno</w:t>
            </w:r>
          </w:p>
        </w:tc>
      </w:tr>
      <w:tr>
        <w:tc>
          <w:tcPr>
            <w:tcW w:type="dxa" w:w="2880"/>
          </w:tcPr>
          <w:p>
            <w:r>
              <w:t>Python 3.10+</w:t>
            </w:r>
          </w:p>
        </w:tc>
        <w:tc>
          <w:tcPr>
            <w:tcW w:type="dxa" w:w="2880"/>
          </w:tcPr>
          <w:p>
            <w:r>
              <w:t>Lenguaje Core del backend</w:t>
            </w:r>
          </w:p>
        </w:tc>
        <w:tc>
          <w:tcPr>
            <w:tcW w:type="dxa" w:w="2880"/>
          </w:tcPr>
          <w:p>
            <w:r>
              <w:t>Todos</w:t>
            </w:r>
          </w:p>
        </w:tc>
      </w:tr>
      <w:tr>
        <w:tc>
          <w:tcPr>
            <w:tcW w:type="dxa" w:w="2880"/>
          </w:tcPr>
          <w:p>
            <w:r>
              <w:t>Django 5.2</w:t>
            </w:r>
          </w:p>
        </w:tc>
        <w:tc>
          <w:tcPr>
            <w:tcW w:type="dxa" w:w="2880"/>
          </w:tcPr>
          <w:p>
            <w:r>
              <w:t>Web Framework principal</w:t>
            </w:r>
          </w:p>
        </w:tc>
        <w:tc>
          <w:tcPr>
            <w:tcW w:type="dxa" w:w="2880"/>
          </w:tcPr>
          <w:p>
            <w:r>
              <w:t>Todos</w:t>
            </w:r>
          </w:p>
        </w:tc>
      </w:tr>
      <w:tr>
        <w:tc>
          <w:tcPr>
            <w:tcW w:type="dxa" w:w="2880"/>
          </w:tcPr>
          <w:p>
            <w:r>
              <w:t>PostgreSQL</w:t>
            </w:r>
          </w:p>
        </w:tc>
        <w:tc>
          <w:tcPr>
            <w:tcW w:type="dxa" w:w="2880"/>
          </w:tcPr>
          <w:p>
            <w:r>
              <w:t>Motor de Base de Datos Relacional</w:t>
            </w:r>
          </w:p>
        </w:tc>
        <w:tc>
          <w:tcPr>
            <w:tcW w:type="dxa" w:w="2880"/>
          </w:tcPr>
          <w:p>
            <w:r>
              <w:t>Producción (Supabase)</w:t>
            </w:r>
          </w:p>
        </w:tc>
      </w:tr>
      <w:tr>
        <w:tc>
          <w:tcPr>
            <w:tcW w:type="dxa" w:w="2880"/>
          </w:tcPr>
          <w:p>
            <w:r>
              <w:t>SQLite</w:t>
            </w:r>
          </w:p>
        </w:tc>
        <w:tc>
          <w:tcPr>
            <w:tcW w:type="dxa" w:w="2880"/>
          </w:tcPr>
          <w:p>
            <w:r>
              <w:t>Motor Ligero BD</w:t>
            </w:r>
          </w:p>
        </w:tc>
        <w:tc>
          <w:tcPr>
            <w:tcW w:type="dxa" w:w="2880"/>
          </w:tcPr>
          <w:p>
            <w:r>
              <w:t>Desarrollo Local</w:t>
            </w:r>
          </w:p>
        </w:tc>
      </w:tr>
      <w:tr>
        <w:tc>
          <w:tcPr>
            <w:tcW w:type="dxa" w:w="2880"/>
          </w:tcPr>
          <w:p>
            <w:r>
              <w:t>Tailwind CSS</w:t>
            </w:r>
          </w:p>
        </w:tc>
        <w:tc>
          <w:tcPr>
            <w:tcW w:type="dxa" w:w="2880"/>
          </w:tcPr>
          <w:p>
            <w:r>
              <w:t>Framework de Estilos y Utilidades</w:t>
            </w:r>
          </w:p>
        </w:tc>
        <w:tc>
          <w:tcPr>
            <w:tcW w:type="dxa" w:w="2880"/>
          </w:tcPr>
          <w:p>
            <w:r>
              <w:t>Todos</w:t>
            </w:r>
          </w:p>
        </w:tc>
      </w:tr>
      <w:tr>
        <w:tc>
          <w:tcPr>
            <w:tcW w:type="dxa" w:w="2880"/>
          </w:tcPr>
          <w:p>
            <w:r>
              <w:t>Daphne / ASGI</w:t>
            </w:r>
          </w:p>
        </w:tc>
        <w:tc>
          <w:tcPr>
            <w:tcW w:type="dxa" w:w="2880"/>
          </w:tcPr>
          <w:p>
            <w:r>
              <w:t>Servidor de aplicaciones WebSockets</w:t>
            </w:r>
          </w:p>
        </w:tc>
        <w:tc>
          <w:tcPr>
            <w:tcW w:type="dxa" w:w="2880"/>
          </w:tcPr>
          <w:p>
            <w:r>
              <w:t>Producción</w:t>
            </w:r>
          </w:p>
        </w:tc>
      </w:tr>
      <w:tr>
        <w:tc>
          <w:tcPr>
            <w:tcW w:type="dxa" w:w="2880"/>
          </w:tcPr>
          <w:p>
            <w:r>
              <w:t>Groq API</w:t>
            </w:r>
          </w:p>
        </w:tc>
        <w:tc>
          <w:tcPr>
            <w:tcW w:type="dxa" w:w="2880"/>
          </w:tcPr>
          <w:p>
            <w:r>
              <w:t>LLM Inteligencia Artificial</w:t>
            </w:r>
          </w:p>
        </w:tc>
        <w:tc>
          <w:tcPr>
            <w:tcW w:type="dxa" w:w="2880"/>
          </w:tcPr>
          <w:p>
            <w:r>
              <w:t>Producción / Desarrollo</w:t>
            </w:r>
          </w:p>
        </w:tc>
      </w:tr>
    </w:tbl>
    <w:p>
      <w:r>
        <w:br/>
      </w:r>
    </w:p>
    <w:p>
      <w:pPr>
        <w:pStyle w:val="GastuH1"/>
      </w:pPr>
      <w:r>
        <w:t>3. Modelo de Datos Entidad-Relación</w:t>
      </w:r>
    </w:p>
    <w:p>
      <w:pPr/>
      <w:r>
        <w:t>La base de datos sigue la tercera forma normal (3NF) y garantiza la integridad referencial. El modelo hereda abstracciones desde "ModeloBase" para auditoría global (fechas de creación y actualización).</w:t>
      </w:r>
    </w:p>
    <w:tbl>
      <w:tblPr>
        <w:tblStyle w:val="TableGrid"/>
        <w:tblW w:type="auto" w:w="0"/>
        <w:tblLook w:firstColumn="1" w:firstRow="1" w:lastColumn="0" w:lastRow="0" w:noHBand="0" w:noVBand="1" w:val="04A0"/>
      </w:tblPr>
      <w:tblGrid>
        <w:gridCol w:w="2880"/>
        <w:gridCol w:w="2880"/>
        <w:gridCol w:w="2880"/>
      </w:tblGrid>
      <w:tr>
        <w:tc>
          <w:tcPr>
            <w:tcW w:type="dxa" w:w="2880"/>
            <w:shd w:fill="10b981"/>
          </w:tcPr>
          <w:p>
            <w:r>
              <w:t>Entidad Principal</w:t>
            </w:r>
          </w:p>
        </w:tc>
        <w:tc>
          <w:tcPr>
            <w:tcW w:type="dxa" w:w="2880"/>
            <w:shd w:fill="10b981"/>
          </w:tcPr>
          <w:p>
            <w:r>
              <w:t>Relaciones</w:t>
            </w:r>
          </w:p>
        </w:tc>
        <w:tc>
          <w:tcPr>
            <w:tcW w:type="dxa" w:w="2880"/>
            <w:shd w:fill="10b981"/>
          </w:tcPr>
          <w:p>
            <w:r>
              <w:t>Reglas de Negocio / Restricciones</w:t>
            </w:r>
          </w:p>
        </w:tc>
      </w:tr>
      <w:tr>
        <w:tc>
          <w:tcPr>
            <w:tcW w:type="dxa" w:w="2880"/>
          </w:tcPr>
          <w:p>
            <w:r>
              <w:t>Usuario (AbstractUser)</w:t>
            </w:r>
          </w:p>
        </w:tc>
        <w:tc>
          <w:tcPr>
            <w:tcW w:type="dxa" w:w="2880"/>
          </w:tcPr>
          <w:p>
            <w:r>
              <w:t>1:1 con Preferencias</w:t>
              <w:br/>
              <w:t>1:N con Movimientos</w:t>
            </w:r>
          </w:p>
        </w:tc>
        <w:tc>
          <w:tcPr>
            <w:tcW w:type="dxa" w:w="2880"/>
          </w:tcPr>
          <w:p>
            <w:r>
              <w:t>Email es UNIQUE y PRIMARY_FIELD de autenticación. Incluye enum de roles (ADMIN/USER).</w:t>
            </w:r>
          </w:p>
        </w:tc>
      </w:tr>
      <w:tr>
        <w:tc>
          <w:tcPr>
            <w:tcW w:type="dxa" w:w="2880"/>
          </w:tcPr>
          <w:p>
            <w:r>
              <w:t>Categoría</w:t>
            </w:r>
          </w:p>
        </w:tc>
        <w:tc>
          <w:tcPr>
            <w:tcW w:type="dxa" w:w="2880"/>
          </w:tcPr>
          <w:p>
            <w:r>
              <w:t>1:N con Movimientos</w:t>
            </w:r>
          </w:p>
        </w:tc>
        <w:tc>
          <w:tcPr>
            <w:tcW w:type="dxa" w:w="2880"/>
          </w:tcPr>
          <w:p>
            <w:r>
              <w:t>Usa PROTECT on_delete. No permite eliminación si existen movimientos financieros históricos atados.</w:t>
            </w:r>
          </w:p>
        </w:tc>
      </w:tr>
      <w:tr>
        <w:tc>
          <w:tcPr>
            <w:tcW w:type="dxa" w:w="2880"/>
          </w:tcPr>
          <w:p>
            <w:r>
              <w:t>Movimiento</w:t>
            </w:r>
          </w:p>
        </w:tc>
        <w:tc>
          <w:tcPr>
            <w:tcW w:type="dxa" w:w="2880"/>
          </w:tcPr>
          <w:p>
            <w:r>
              <w:t>N:1 con Usuario</w:t>
              <w:br/>
              <w:t>N:1 con Categoría</w:t>
            </w:r>
          </w:p>
        </w:tc>
        <w:tc>
          <w:tcPr>
            <w:tcW w:type="dxa" w:w="2880"/>
          </w:tcPr>
          <w:p>
            <w:r>
              <w:t>Almacena decimales de alta precisión (max_digits=12, decimal_places=2). Dispara Signals al crearse.</w:t>
            </w:r>
          </w:p>
        </w:tc>
      </w:tr>
      <w:tr>
        <w:tc>
          <w:tcPr>
            <w:tcW w:type="dxa" w:w="2880"/>
          </w:tcPr>
          <w:p>
            <w:r>
              <w:t>AhorroMeta</w:t>
            </w:r>
          </w:p>
        </w:tc>
        <w:tc>
          <w:tcPr>
            <w:tcW w:type="dxa" w:w="2880"/>
          </w:tcPr>
          <w:p>
            <w:r>
              <w:t>1:N con AporteAhorro</w:t>
            </w:r>
          </w:p>
        </w:tc>
        <w:tc>
          <w:tcPr>
            <w:tcW w:type="dxa" w:w="2880"/>
          </w:tcPr>
          <w:p>
            <w:r>
              <w:t>Calcula el porcentaje de progreso mediante triggers lógicos; bloquea aportes que sobrepasen el monto total.</w:t>
            </w:r>
          </w:p>
        </w:tc>
      </w:tr>
    </w:tbl>
    <w:p>
      <w:r>
        <w:br w:type="page"/>
      </w:r>
    </w:p>
    <w:p>
      <w:pPr>
        <w:pStyle w:val="GastuH1"/>
      </w:pPr>
      <w:r>
        <w:t>4. Seguridad y Control de Acceso</w:t>
      </w:r>
    </w:p>
    <w:p>
      <w:pPr/>
      <w:r>
        <w:t>La plataforma incorpora un estricto control de acceso y mitigación de vulnerabilidades OWASP Top 10.</w:t>
      </w:r>
    </w:p>
    <w:p>
      <w:pPr/>
      <w:r>
        <w:t>- CSRF Protection: Implementado de forma nativa en Django; ningún formulario POST es aceptado sin su token de sesión válido.</w:t>
        <w:br/>
        <w:t>- OAuth 2.0: Integración con "django-allauth" para permitir single sign-on (SSO) vía Google, delegando el manejo de contraseñas de estos usuarios al proveedor.</w:t>
        <w:br/>
        <w:t>- Segregación de Roles: Middleware personalizado ("AdminAreaMiddleware") que detecta la propiedad "rol" del usuario. Los intentos de elevación de privilegios hacia el panel /admin-panel/ son interceptados y redireccionados preventivamente.</w:t>
        <w:br/>
        <w:t>- Inyección SQL: Mitigada 100% por el uso del ORM de Django (QuerySets) y validaciones rigurosas a nivel de formulario.</w:t>
      </w:r>
    </w:p>
    <w:p>
      <w:r>
        <w:br/>
      </w:r>
    </w:p>
    <w:p>
      <w:pPr>
        <w:pStyle w:val="GastuH1"/>
      </w:pPr>
      <w:r>
        <w:t>5. Despliegue: Entorno de Desarrollo</w:t>
      </w:r>
    </w:p>
    <w:p>
      <w:pPr/>
      <w:r>
        <w:t>Guía de provisionamiento local para nuevos desarrolladores:</w:t>
      </w:r>
    </w:p>
    <w:tbl>
      <w:tblPr>
        <w:tblStyle w:val="TableGrid"/>
        <w:tblW w:type="auto" w:w="0"/>
        <w:tblLook w:firstColumn="1" w:firstRow="1" w:lastColumn="0" w:lastRow="0" w:noHBand="0" w:noVBand="1" w:val="04A0"/>
      </w:tblPr>
      <w:tblGrid>
        <w:gridCol w:w="4320"/>
        <w:gridCol w:w="4320"/>
      </w:tblGrid>
      <w:tr>
        <w:tc>
          <w:tcPr>
            <w:tcW w:type="dxa" w:w="4320"/>
            <w:shd w:fill="0f172a"/>
          </w:tcPr>
          <w:p>
            <w:r>
              <w:rPr>
                <w:color w:val="FFFFFF"/>
              </w:rPr>
              <w:t>Paso</w:t>
            </w:r>
          </w:p>
        </w:tc>
        <w:tc>
          <w:tcPr>
            <w:tcW w:type="dxa" w:w="4320"/>
            <w:shd w:fill="0f172a"/>
          </w:tcPr>
          <w:p>
            <w:r>
              <w:rPr>
                <w:color w:val="FFFFFF"/>
              </w:rPr>
              <w:t>Comando / Acción</w:t>
            </w:r>
          </w:p>
        </w:tc>
      </w:tr>
      <w:tr>
        <w:tc>
          <w:tcPr>
            <w:tcW w:type="dxa" w:w="4320"/>
          </w:tcPr>
          <w:p>
            <w:r>
              <w:t>1. Entorno Virtual</w:t>
            </w:r>
          </w:p>
        </w:tc>
        <w:tc>
          <w:tcPr>
            <w:tcW w:type="dxa" w:w="4320"/>
          </w:tcPr>
          <w:p>
            <w:r>
              <w:t>python -m venv venv</w:t>
              <w:br/>
              <w:t>source venv/bin/activate</w:t>
            </w:r>
          </w:p>
        </w:tc>
      </w:tr>
      <w:tr>
        <w:tc>
          <w:tcPr>
            <w:tcW w:type="dxa" w:w="4320"/>
          </w:tcPr>
          <w:p>
            <w:r>
              <w:t>2. Dependencias Backend</w:t>
            </w:r>
          </w:p>
        </w:tc>
        <w:tc>
          <w:tcPr>
            <w:tcW w:type="dxa" w:w="4320"/>
          </w:tcPr>
          <w:p>
            <w:r>
              <w:t>pip install -r requirements.txt</w:t>
            </w:r>
          </w:p>
        </w:tc>
      </w:tr>
      <w:tr>
        <w:tc>
          <w:tcPr>
            <w:tcW w:type="dxa" w:w="4320"/>
          </w:tcPr>
          <w:p>
            <w:r>
              <w:t>3. Variables de Entorno</w:t>
            </w:r>
          </w:p>
        </w:tc>
        <w:tc>
          <w:tcPr>
            <w:tcW w:type="dxa" w:w="4320"/>
          </w:tcPr>
          <w:p>
            <w:r>
              <w:t>Copiar .env.example a .env y configurar SECRET_KEY, DEBUG=True y USE_SQLITE=True.</w:t>
            </w:r>
          </w:p>
        </w:tc>
      </w:tr>
      <w:tr>
        <w:tc>
          <w:tcPr>
            <w:tcW w:type="dxa" w:w="4320"/>
          </w:tcPr>
          <w:p>
            <w:r>
              <w:t>4. Migraciones BD</w:t>
            </w:r>
          </w:p>
        </w:tc>
        <w:tc>
          <w:tcPr>
            <w:tcW w:type="dxa" w:w="4320"/>
          </w:tcPr>
          <w:p>
            <w:r>
              <w:t>python manage.py migrate</w:t>
            </w:r>
          </w:p>
        </w:tc>
      </w:tr>
      <w:tr>
        <w:tc>
          <w:tcPr>
            <w:tcW w:type="dxa" w:w="4320"/>
          </w:tcPr>
          <w:p>
            <w:r>
              <w:t>5. Motor Frontend (Tailwind)</w:t>
            </w:r>
          </w:p>
        </w:tc>
        <w:tc>
          <w:tcPr>
            <w:tcW w:type="dxa" w:w="4320"/>
          </w:tcPr>
          <w:p>
            <w:r>
              <w:t>python manage.py tailwind install</w:t>
              <w:br/>
              <w:t>python manage.py tailwind start</w:t>
            </w:r>
          </w:p>
        </w:tc>
      </w:tr>
      <w:tr>
        <w:tc>
          <w:tcPr>
            <w:tcW w:type="dxa" w:w="4320"/>
          </w:tcPr>
          <w:p>
            <w:r>
              <w:t>6. Servidor Local (ASGI)</w:t>
            </w:r>
          </w:p>
        </w:tc>
        <w:tc>
          <w:tcPr>
            <w:tcW w:type="dxa" w:w="4320"/>
          </w:tcPr>
          <w:p>
            <w:r>
              <w:t>python manage.py runserver</w:t>
            </w:r>
          </w:p>
        </w:tc>
      </w:tr>
    </w:tbl>
    <w:p>
      <w:r>
        <w:br/>
      </w:r>
    </w:p>
    <w:p>
      <w:pPr>
        <w:pStyle w:val="GastuH1"/>
      </w:pPr>
      <w:r>
        <w:t>6. Despliegue: Producción e Infraestructura</w:t>
      </w:r>
    </w:p>
    <w:p>
      <w:pPr/>
      <w:r>
        <w:t>El entorno productivo, alojado en arquitecturas Serverless/PaaS (Render + Supabase), requiere variables críticas y optimizaciones específicas:</w:t>
      </w:r>
    </w:p>
    <w:p>
      <w:pPr/>
      <w:r>
        <w:t>- Assets Estáticos: Compresión y cacheado vía Whitenoise ("CompressedManifestStaticFilesStorage"). Se genera un manifiesto JSON en el build para validación criptográfica de archivos CSS/JS.</w:t>
        <w:br/>
        <w:t>- Conexión a Base de Datos (Pooler): Debido al consumo exhaustivo de conexiones en arquitecturas web sin estado, la variable "DATABASE_URL" apunta al puerto 6543 (Transaction Pooler) de Supabase (PgBouncer) en lugar del puerto 5432.</w:t>
        <w:br/>
        <w:t>- Proxy SSL Header: Debido al balanceador de carga de Render, se configuró "SECURE_PROXY_SSL_HEADER" en Django para forzar el reconocimiento del esquema HTTPS; mitigando así bloqueos de CORS y fallos en callbacks de OAuth.</w:t>
        <w:br/>
        <w:t>- WebSockets (Daphne): Para soportar las notificaciones en vivo, Gunicorn delega el procesamiento asíncrono a Daphne (workers ASGI).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stuCover">
    <w:name w:val="GastuCover"/>
    <w:rPr>
      <w:rFonts w:ascii="Arial" w:hAnsi="Arial"/>
      <w:b/>
      <w:color w:val="0F172A"/>
      <w:sz w:val="72"/>
    </w:rPr>
  </w:style>
  <w:style w:type="paragraph" w:customStyle="1" w:styleId="GastuCoverSub">
    <w:name w:val="GastuCoverSub"/>
    <w:rPr>
      <w:rFonts w:ascii="Arial" w:hAnsi="Arial"/>
      <w:color w:val="10B981"/>
      <w:sz w:val="36"/>
    </w:rPr>
  </w:style>
  <w:style w:type="paragraph" w:customStyle="1" w:styleId="GastuH1">
    <w:name w:val="GastuH1"/>
    <w:rPr>
      <w:rFonts w:ascii="Arial" w:hAnsi="Arial"/>
      <w:b/>
      <w:color w:val="0F172A"/>
      <w:sz w:val="36"/>
    </w:rPr>
  </w:style>
  <w:style w:type="paragraph" w:customStyle="1" w:styleId="GastuH2">
    <w:name w:val="GastuH2"/>
    <w:rPr>
      <w:rFonts w:ascii="Arial" w:hAnsi="Arial"/>
      <w:b/>
      <w:color w:val="10B981"/>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