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B1C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  <w:b/>
          <w:bCs/>
          <w:sz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highlight w:val="yellow"/>
          <w:lang w:val="en-US" w:eastAsia="zh-CN"/>
        </w:rPr>
        <w:t>一.方法：目前方法上的思路主要参考2025年GAE和2024年的两篇文献</w:t>
      </w:r>
    </w:p>
    <w:p w14:paraId="39684A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highlight w:val="yellow"/>
          <w:lang w:val="en-US" w:eastAsia="zh-CN"/>
        </w:rPr>
      </w:pPr>
    </w:p>
    <w:p w14:paraId="72ABDF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highlight w:val="none"/>
          <w:lang w:val="en-US" w:eastAsia="zh-CN"/>
        </w:rPr>
        <w:t>想要预测铜期货价格，目标暂时考虑预测国际铜（LME）的区间价格(最高价和最低价）。</w:t>
      </w:r>
    </w:p>
    <w:p w14:paraId="2DFEA1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firstLine="420" w:firstLineChars="0"/>
        <w:textAlignment w:val="auto"/>
        <w:rPr>
          <w:rFonts w:hint="default" w:ascii="宋体" w:hAnsi="宋体" w:eastAsia="宋体" w:cs="宋体"/>
          <w:b/>
          <w:bCs/>
          <w:sz w:val="24"/>
          <w:highlight w:val="none"/>
          <w:lang w:val="en-US" w:eastAsia="zh-CN"/>
        </w:rPr>
      </w:pPr>
    </w:p>
    <w:p w14:paraId="2F38BD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highlight w:val="none"/>
          <w:lang w:val="en-US" w:eastAsia="zh-CN"/>
        </w:rPr>
        <w:t>GAE参考文献1：</w:t>
      </w:r>
      <w:r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  <w:t>Understanding stock market instability via</w:t>
      </w:r>
    </w:p>
    <w:p w14:paraId="68B43A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  <w:t>graph auto-encoders</w:t>
      </w:r>
    </w:p>
    <w:p w14:paraId="269428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</w:pPr>
    </w:p>
    <w:p w14:paraId="1128B9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color w:val="0000FF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highlight w:val="none"/>
          <w:lang w:val="en-US" w:eastAsia="zh-CN"/>
        </w:rPr>
        <w:t>CNN参考文献2：</w:t>
      </w:r>
      <w:r>
        <w:rPr>
          <w:rFonts w:hint="default" w:ascii="Times New Roman" w:hAnsi="Times New Roman" w:eastAsia="宋体" w:cs="Times New Roman"/>
          <w:b/>
          <w:bCs/>
          <w:color w:val="0000FF"/>
          <w:sz w:val="24"/>
          <w:highlight w:val="none"/>
          <w:lang w:val="en-US" w:eastAsia="zh-CN"/>
        </w:rPr>
        <w:t>A novel interval dual convolutional neural network method for</w:t>
      </w:r>
    </w:p>
    <w:p w14:paraId="39859A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color w:val="0000FF"/>
          <w:sz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4"/>
          <w:highlight w:val="none"/>
          <w:lang w:val="en-US" w:eastAsia="zh-CN"/>
        </w:rPr>
        <w:t>interval-valued stock price prediction</w:t>
      </w:r>
    </w:p>
    <w:p w14:paraId="0ABB2E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color w:val="0000FF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highlight w:val="none"/>
          <w:lang w:val="en-US" w:eastAsia="zh-CN"/>
        </w:rPr>
        <w:t>（主要思路参照这篇文献，可以仔细看一看，这篇文章预测的是股票的区间价格,采用自身矩阵和相关矩阵，用两个CNN，最后拼接用MLP预测出最后结果）</w:t>
      </w:r>
    </w:p>
    <w:p w14:paraId="511D69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宋体" w:hAnsi="宋体" w:eastAsia="宋体" w:cs="宋体"/>
          <w:b/>
          <w:bCs/>
          <w:sz w:val="24"/>
          <w:highlight w:val="yellow"/>
          <w:lang w:val="en-US" w:eastAsia="zh-CN"/>
        </w:rPr>
      </w:pPr>
    </w:p>
    <w:p w14:paraId="0C7CE6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宋体" w:hAnsi="宋体" w:eastAsia="宋体" w:cs="宋体"/>
          <w:b/>
          <w:bCs/>
          <w:sz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highlight w:val="yellow"/>
          <w:lang w:val="en-US" w:eastAsia="zh-CN"/>
        </w:rPr>
        <w:t>目前主要数据构想如下：</w:t>
      </w:r>
    </w:p>
    <w:p w14:paraId="5FD20B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 xml:space="preserve">·  </w:t>
      </w:r>
      <w:r>
        <w:rPr>
          <w:rFonts w:hint="eastAsia" w:ascii="宋体" w:hAnsi="宋体" w:eastAsia="宋体" w:cs="宋体"/>
          <w:b/>
          <w:bCs/>
        </w:rPr>
        <w:t>自身矩阵（CNN 分支）：</w:t>
      </w:r>
      <w:r>
        <w:rPr>
          <w:rFonts w:hint="eastAsia" w:ascii="宋体" w:hAnsi="宋体" w:eastAsia="宋体" w:cs="宋体"/>
        </w:rPr>
        <w:t xml:space="preserve"> 输入铜期货的历史量价数据矩阵，利用CNN提取时序特征，输出一个定长的特征向量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</w:rPr>
              <m:t>V</m:t>
            </m:r>
            <m:ctrlPr>
              <w:rPr>
                <w:rFonts w:hint="eastAsia" w:ascii="Cambria Math" w:hAnsi="Cambria Math" w:eastAsia="宋体" w:cs="宋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</w:rPr>
            </m:ctrlPr>
          </m:sub>
        </m:sSub>
      </m:oMath>
      <w:r>
        <w:rPr>
          <w:rFonts w:hint="eastAsia" w:ascii="宋体" w:hAnsi="宋体" w:eastAsia="宋体" w:cs="宋体"/>
        </w:rPr>
        <w:t>。</w:t>
      </w:r>
    </w:p>
    <w:p w14:paraId="7EC75B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 xml:space="preserve">·  </w:t>
      </w:r>
      <w:r>
        <w:rPr>
          <w:rFonts w:hint="eastAsia" w:ascii="宋体" w:hAnsi="宋体" w:eastAsia="宋体" w:cs="宋体"/>
          <w:b/>
          <w:bCs/>
        </w:rPr>
        <w:t>相关矩阵（GAE 分支）：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/>
        </w:rPr>
        <w:t>用</w:t>
      </w:r>
      <w:r>
        <w:t>GAE</w:t>
      </w:r>
      <w:r>
        <w:rPr>
          <w:rFonts w:hint="eastAsia"/>
        </w:rPr>
        <w:t>构造多种关联产品的网络（利用过去</w:t>
      </w:r>
      <w:r>
        <w:t>T</w:t>
      </w:r>
      <w:r>
        <w:rPr>
          <w:rFonts w:hint="eastAsia"/>
        </w:rPr>
        <w:t>个交易日收益率的相关系数形成网络连边，节点是包含铜期货在内的多种关联产品，节点属性可以包含他们的一些价格特征</w:t>
      </w:r>
      <w:r>
        <w:rPr>
          <w:rFonts w:hint="eastAsia" w:ascii="宋体" w:hAnsi="宋体" w:eastAsia="宋体" w:cs="宋体"/>
        </w:rPr>
        <w:t xml:space="preserve">。GAE 的编码器提取出反映市场共振的图嵌入特征向量 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</w:rPr>
              <m:t>V</m:t>
            </m:r>
            <m:ctrlPr>
              <w:rPr>
                <w:rFonts w:hint="eastAsia" w:ascii="Cambria Math" w:hAnsi="Cambria Math" w:eastAsia="宋体" w:cs="宋体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</w:rPr>
            </m:ctrlPr>
          </m:sub>
        </m:sSub>
      </m:oMath>
      <w:r>
        <w:rPr>
          <w:rFonts w:hint="eastAsia" w:ascii="宋体" w:hAnsi="宋体" w:eastAsia="宋体" w:cs="宋体"/>
        </w:rPr>
        <w:t>。</w:t>
      </w:r>
    </w:p>
    <w:p w14:paraId="77453CF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hAnsi="Cambria Math" w:eastAsia="宋体" w:cs="宋体"/>
          <w:b/>
          <w:bCs/>
          <w:i w:val="0"/>
          <w:color w:val="0000FF"/>
          <w:sz w:val="24"/>
          <w:lang w:val="en-US" w:eastAsia="zh-CN"/>
        </w:rPr>
        <w:t>构建供给需求端矩阵（可能分开？）：</w:t>
      </w:r>
    </w:p>
    <w:p w14:paraId="6580D7B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textAlignment w:val="auto"/>
        <w:rPr>
          <w:rFonts w:hint="eastAsia" w:hAnsi="Cambria Math" w:eastAsia="宋体" w:cs="宋体"/>
          <w:i w:val="0"/>
          <w:sz w:val="24"/>
          <w:lang w:val="en-US" w:eastAsia="zh-CN"/>
        </w:rPr>
      </w:pPr>
      <w:r>
        <w:rPr>
          <w:rFonts w:hint="eastAsia" w:hAnsi="Cambria Math" w:eastAsia="宋体" w:cs="宋体"/>
          <w:i w:val="0"/>
          <w:sz w:val="24"/>
          <w:lang w:val="en-US" w:eastAsia="zh-CN"/>
        </w:rPr>
        <w:t>需求端：科技股中筛选相关性TOPm的股票</w:t>
      </w:r>
    </w:p>
    <w:p w14:paraId="08AE5A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hAnsi="Cambria Math" w:eastAsia="宋体" w:cs="宋体"/>
          <w:i w:val="0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AI 硬件（英伟达、台积电、伊顿），还要有新能源车（特斯拉、比亚迪）、电力电网设备</w:t>
      </w:r>
    </w:p>
    <w:p w14:paraId="73408A6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textAlignment w:val="auto"/>
        <w:rPr>
          <w:rFonts w:hint="eastAsia" w:hAnsi="Cambria Math" w:eastAsia="宋体" w:cs="宋体"/>
          <w:i w:val="0"/>
          <w:sz w:val="24"/>
          <w:lang w:val="en-US" w:eastAsia="zh-CN"/>
        </w:rPr>
      </w:pPr>
      <w:r>
        <w:rPr>
          <w:rFonts w:hint="eastAsia" w:hAnsi="Cambria Math" w:eastAsia="宋体" w:cs="宋体"/>
          <w:i w:val="0"/>
          <w:sz w:val="24"/>
          <w:lang w:val="en-US" w:eastAsia="zh-CN"/>
        </w:rPr>
        <w:t>供给端：</w:t>
      </w:r>
      <w:r>
        <w:rPr>
          <w:rFonts w:ascii="宋体" w:hAnsi="宋体" w:eastAsia="宋体" w:cs="宋体"/>
          <w:sz w:val="24"/>
          <w:szCs w:val="24"/>
        </w:rPr>
        <w:t>全球核心铜矿企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筛选</w:t>
      </w:r>
      <w:r>
        <w:rPr>
          <w:rFonts w:hint="eastAsia" w:hAnsi="Cambria Math" w:eastAsia="宋体" w:cs="宋体"/>
          <w:i w:val="0"/>
          <w:sz w:val="24"/>
          <w:lang w:val="en-US" w:eastAsia="zh-CN"/>
        </w:rPr>
        <w:t>相关性TOPm的股票【</w:t>
      </w:r>
      <w:r>
        <w:rPr>
          <w:rFonts w:ascii="宋体" w:hAnsi="宋体" w:eastAsia="宋体" w:cs="宋体"/>
          <w:sz w:val="24"/>
          <w:szCs w:val="24"/>
        </w:rPr>
        <w:t>紫金矿业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</w:p>
    <w:p w14:paraId="662CA7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hAnsi="Cambria Math" w:eastAsia="宋体" w:cs="宋体"/>
          <w:i w:val="0"/>
          <w:sz w:val="24"/>
          <w:lang w:val="en-US" w:eastAsia="zh-CN"/>
        </w:rPr>
      </w:pPr>
      <w:r>
        <w:rPr>
          <w:rFonts w:hint="eastAsia" w:hAnsi="Cambria Math" w:eastAsia="宋体" w:cs="宋体"/>
          <w:i w:val="0"/>
          <w:sz w:val="24"/>
          <w:lang w:val="en-US" w:eastAsia="zh-CN"/>
        </w:rPr>
        <w:t>把供给需求端进行拼接，构建图网络，同样用GAE</w:t>
      </w:r>
    </w:p>
    <w:p w14:paraId="0BCCB7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</w:pPr>
    </w:p>
    <w:p w14:paraId="21B9E8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最后多个矩阵一起拼接丢入MLP，预测最终的区间价格</w:t>
      </w:r>
    </w:p>
    <w:p w14:paraId="680A51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/>
          <w:lang w:val="en-US" w:eastAsia="zh-CN"/>
        </w:rPr>
      </w:pPr>
    </w:p>
    <w:p w14:paraId="632A84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/>
          <w:lang w:val="en-US" w:eastAsia="zh-CN"/>
        </w:rPr>
      </w:pPr>
    </w:p>
    <w:p w14:paraId="560E5083">
      <w:pPr>
        <w:numPr>
          <w:numId w:val="0"/>
        </w:numP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yellow"/>
          <w:lang w:val="en-US" w:eastAsia="zh-CN" w:bidi="ar"/>
        </w:rPr>
        <w:t>二、策略：预测完之后最后还想做一个策略部分，基于预测出的最高价最低价来进行交易，看当日买入还是卖出</w:t>
      </w:r>
    </w:p>
    <w:p w14:paraId="4281804A">
      <w:pPr>
        <w:numPr>
          <w:numId w:val="0"/>
        </w:numPr>
        <w:rPr>
          <w:rFonts w:hint="default"/>
          <w:lang w:val="en-US" w:eastAsia="zh-CN"/>
        </w:rPr>
      </w:pPr>
    </w:p>
    <w:p w14:paraId="1479DF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highlight w:val="none"/>
          <w:lang w:val="en-US" w:eastAsia="zh-CN"/>
        </w:rPr>
        <w:t>策略部分参考文献3：</w:t>
      </w:r>
      <w:r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  <w:t>Transformer-based forecasting for intraday trading in the Shanghai crude oil market: Analyzing open-high-low-close prices</w:t>
      </w:r>
    </w:p>
    <w:p w14:paraId="3ADA94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highlight w:val="none"/>
          <w:lang w:val="en-US" w:eastAsia="zh-CN"/>
        </w:rPr>
        <w:t>策略部分主要参照这篇文章，这篇文章预测的包括最高价最低价开盘价和收盘价，策略部分也涉及开盘价收盘价，但因为如果我们预测的话目前只考虑预测最高价和最低价，就需要再考虑一下其余思路。</w:t>
      </w:r>
    </w:p>
    <w:p w14:paraId="0C7DFA6B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  <w:t>参考文献4：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  <w:t>On the predictability of stock prices: A case for high and low prices,</w:t>
      </w:r>
    </w:p>
    <w:p w14:paraId="724621E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  <w:t>Journal of Banking &amp; Finance</w:t>
      </w:r>
    </w:p>
    <w:p w14:paraId="59DF2028">
      <w:pPr>
        <w:numPr>
          <w:numId w:val="0"/>
        </w:numPr>
        <w:ind w:firstLine="420" w:firstLineChars="0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  <w:t>这是股票最高价最低价的策略，但由于我们是期货市场，需要改进一下</w:t>
      </w:r>
    </w:p>
    <w:p w14:paraId="42AFA1B6">
      <w:pPr>
        <w:numPr>
          <w:numId w:val="0"/>
        </w:numPr>
        <w:rPr>
          <w:rFonts w:hint="default"/>
          <w:lang w:val="en-US" w:eastAsia="zh-CN"/>
        </w:rPr>
      </w:pPr>
    </w:p>
    <w:p w14:paraId="3163F60B">
      <w:pPr>
        <w:jc w:val="left"/>
        <w:rPr>
          <w:rFonts w:hint="default"/>
          <w:sz w:val="24"/>
          <w:szCs w:val="24"/>
          <w:highlight w:val="cyan"/>
          <w:lang w:val="en-US" w:eastAsia="zh-CN"/>
        </w:rPr>
      </w:pPr>
      <w:r>
        <w:rPr>
          <w:rFonts w:hint="eastAsia"/>
          <w:sz w:val="24"/>
          <w:szCs w:val="24"/>
          <w:highlight w:val="cyan"/>
          <w:lang w:val="en-US" w:eastAsia="zh-CN"/>
        </w:rPr>
        <w:t>目前设计策略部分如下：</w:t>
      </w:r>
    </w:p>
    <w:p w14:paraId="2ABDF034">
      <w:pPr>
        <w:jc w:val="left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 w14:paraId="497C5089">
      <w:pPr>
        <w:pStyle w:val="2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70" w:afterAutospacing="0" w:line="10" w:lineRule="atLeast"/>
        <w:rPr>
          <w:rFonts w:hint="default" w:ascii="Times New Roman" w:hAnsi="Times New Roman" w:eastAsia="宋体" w:cs="sans-serif"/>
          <w:color w:val="1F1F1F"/>
          <w:highlight w:val="yellow"/>
          <w:lang w:val="en-US" w:eastAsia="zh-CN"/>
        </w:rPr>
      </w:pPr>
      <w:r>
        <w:rPr>
          <w:rFonts w:hint="default" w:ascii="Times New Roman" w:hAnsi="Times New Roman" w:cs="sans-serif"/>
          <w:color w:val="1F1F1F"/>
          <w:highlight w:val="yellow"/>
        </w:rPr>
        <w:t>1. 基准策略：收盘到收盘策略</w:t>
      </w:r>
      <w:r>
        <w:rPr>
          <w:rFonts w:hint="eastAsia" w:ascii="Times New Roman" w:hAnsi="Times New Roman" w:cs="sans-serif"/>
          <w:color w:val="1F1F1F"/>
          <w:highlight w:val="yellow"/>
          <w:lang w:eastAsia="zh-CN"/>
        </w:rPr>
        <w:t>（</w:t>
      </w:r>
      <w:r>
        <w:rPr>
          <w:rFonts w:hint="eastAsia" w:ascii="Times New Roman" w:hAnsi="Times New Roman" w:cs="sans-serif"/>
          <w:color w:val="1F1F1F"/>
          <w:highlight w:val="yellow"/>
          <w:lang w:val="en-US" w:eastAsia="zh-CN"/>
        </w:rPr>
        <w:t>可能）  对应收盘至收盘</w:t>
      </w:r>
    </w:p>
    <w:p w14:paraId="12C3C8BD">
      <w:pPr>
        <w:pStyle w:val="3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firstLine="482" w:firstLineChars="20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b/>
          <w:bCs/>
          <w:color w:val="1F1F1F"/>
        </w:rPr>
        <w:t>做多逻辑</w:t>
      </w:r>
      <w:r>
        <w:rPr>
          <w:rFonts w:ascii="Times New Roman" w:hAnsi="Times New Roman" w:eastAsia="宋体" w:cs="sans-serif"/>
          <w:color w:val="1F1F1F"/>
        </w:rPr>
        <w:t>：如果预测明天的</w:t>
      </w:r>
      <w:r>
        <w:rPr>
          <w:rFonts w:hint="eastAsia" w:ascii="Times New Roman" w:hAnsi="Times New Roman" w:eastAsia="宋体" w:cs="sans-serif"/>
          <w:color w:val="1F1F1F"/>
          <w:lang w:val="en-US" w:eastAsia="zh-CN"/>
        </w:rPr>
        <w:t>最低价</w:t>
      </w:r>
      <m:oMath>
        <m:r>
          <m:rPr/>
          <w:rPr>
            <w:rFonts w:ascii="Times New Roman" w:hAnsi="Times New Roman" w:eastAsia="宋体"/>
          </w:rPr>
          <m:t>&gt;</m:t>
        </m:r>
      </m:oMath>
      <w:r>
        <w:rPr>
          <w:rFonts w:ascii="Times New Roman" w:hAnsi="Times New Roman" w:eastAsia="宋体" w:cs="sans-serif"/>
          <w:color w:val="1F1F1F"/>
        </w:rPr>
        <w:t xml:space="preserve">今天的收盘价，就在今天收盘时买入做多，明天收盘时平仓 。 </w:t>
      </w:r>
    </w:p>
    <w:p w14:paraId="7337AAF9">
      <w:pPr>
        <w:pStyle w:val="3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firstLine="482" w:firstLineChars="20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b/>
          <w:bCs/>
          <w:color w:val="1F1F1F"/>
        </w:rPr>
        <w:t>做空逻辑</w:t>
      </w:r>
      <w:r>
        <w:rPr>
          <w:rFonts w:ascii="Times New Roman" w:hAnsi="Times New Roman" w:eastAsia="宋体" w:cs="sans-serif"/>
          <w:color w:val="1F1F1F"/>
        </w:rPr>
        <w:t>：如果预测明天的</w:t>
      </w:r>
      <w:r>
        <w:rPr>
          <w:rFonts w:hint="eastAsia" w:ascii="Times New Roman" w:hAnsi="Times New Roman" w:eastAsia="宋体" w:cs="sans-serif"/>
          <w:color w:val="1F1F1F"/>
          <w:lang w:val="en-US" w:eastAsia="zh-CN"/>
        </w:rPr>
        <w:t>最高价</w:t>
      </w:r>
      <m:oMath>
        <m:r>
          <m:rPr>
            <m:sty m:val="p"/>
          </m:rPr>
          <w:rPr>
            <w:rFonts w:ascii="Times New Roman" w:hAnsi="Times New Roman" w:eastAsia="宋体" w:cs="sans-serif"/>
            <w:color w:val="1F1F1F"/>
            <w:lang w:bidi="ar"/>
          </w:rPr>
          <m:t xml:space="preserve"> &lt; </m:t>
        </m:r>
      </m:oMath>
      <w:r>
        <w:rPr>
          <w:rFonts w:ascii="Times New Roman" w:hAnsi="Times New Roman" w:eastAsia="宋体" w:cs="sans-serif"/>
          <w:color w:val="1F1F1F"/>
        </w:rPr>
        <w:t xml:space="preserve">今天的收盘价，就在今天收盘时卖出做空，明天收盘时平仓 。 </w:t>
      </w:r>
    </w:p>
    <w:p w14:paraId="699DAAE9">
      <w:pPr>
        <w:jc w:val="left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b/>
          <w:bCs/>
          <w:color w:val="1F1F1F"/>
        </w:rPr>
        <w:t>持仓时间</w:t>
      </w:r>
      <w:r>
        <w:rPr>
          <w:rFonts w:ascii="Times New Roman" w:hAnsi="Times New Roman" w:eastAsia="宋体" w:cs="sans-serif"/>
          <w:color w:val="1F1F1F"/>
        </w:rPr>
        <w:t>：24小时 。</w:t>
      </w:r>
    </w:p>
    <w:p w14:paraId="4ACEFD9B">
      <w:pPr>
        <w:jc w:val="left"/>
        <w:rPr>
          <w:rFonts w:ascii="Times New Roman" w:hAnsi="Times New Roman" w:eastAsia="宋体" w:cs="sans-serif"/>
          <w:color w:val="1F1F1F"/>
        </w:rPr>
      </w:pPr>
    </w:p>
    <w:p w14:paraId="79106608">
      <w:pPr>
        <w:numPr>
          <w:ilvl w:val="0"/>
          <w:numId w:val="3"/>
        </w:numPr>
        <w:rPr>
          <w:rFonts w:hint="eastAsia"/>
          <w:b/>
          <w:bCs/>
          <w:sz w:val="24"/>
          <w:szCs w:val="24"/>
          <w:highlight w:val="yellow"/>
        </w:rPr>
      </w:pPr>
      <w:r>
        <w:rPr>
          <w:rFonts w:hint="eastAsia"/>
          <w:b/>
          <w:bCs/>
          <w:sz w:val="24"/>
          <w:szCs w:val="24"/>
          <w:highlight w:val="yellow"/>
        </w:rPr>
        <w:t>当日内交易</w:t>
      </w:r>
    </w:p>
    <w:p w14:paraId="1F1A5711">
      <w:pPr>
        <w:pStyle w:val="3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firstLine="480" w:firstLineChars="20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color w:val="1F1F1F"/>
        </w:rPr>
        <w:t>这是全篇最复杂、收益最高的日内网格策略。它只吃日内振幅。为了增加成交率，作者先用两个极小的修正参数（</w:t>
      </w:r>
      <m:oMath>
        <m:r>
          <m:rPr/>
          <w:rPr>
            <w:rFonts w:ascii="Times New Roman" w:hAnsi="Times New Roman" w:eastAsia="宋体"/>
          </w:rPr>
          <m:t>α=0.24%,β=0.36%</m:t>
        </m:r>
      </m:oMath>
      <w:r>
        <w:rPr>
          <w:rFonts w:ascii="Times New Roman" w:hAnsi="Times New Roman" w:eastAsia="宋体" w:cs="sans-serif"/>
          <w:color w:val="1F1F1F"/>
        </w:rPr>
        <w:t>）把预测的区间稍微缩窄了一点 ：</w:t>
      </w:r>
    </w:p>
    <w:p w14:paraId="0C6906D5">
      <w:pPr>
        <w:pStyle w:val="3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color w:val="1F1F1F"/>
        </w:rPr>
        <w:t xml:space="preserve"> 修正后的挂单低点：</w:t>
      </w:r>
      <m:oMath>
        <m:sSubSup>
          <m:sSubSupPr>
            <m:ctrlPr>
              <w:rPr>
                <w:rFonts w:ascii="Cambria Math" w:hAnsi="Cambria Math" w:eastAsia="宋体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 w:eastAsia="宋体"/>
                  </w:rPr>
                </m:ctrlPr>
              </m:accPr>
              <m:e>
                <m:r>
                  <m:rPr/>
                  <w:rPr>
                    <w:rFonts w:ascii="Times New Roman" w:hAnsi="Times New Roman" w:eastAsia="宋体"/>
                  </w:rPr>
                  <m:t>x</m:t>
                </m:r>
                <m:ctrlPr>
                  <w:rPr>
                    <w:rFonts w:ascii="Cambria Math" w:hAnsi="Cambria Math" w:eastAsia="宋体"/>
                  </w:rPr>
                </m:ctrlPr>
              </m:e>
            </m:acc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b>
          <m:sup>
            <m:r>
              <m:rPr/>
              <w:rPr>
                <w:rFonts w:ascii="Times New Roman" w:hAnsi="Times New Roman" w:eastAsia="宋体"/>
              </w:rPr>
              <m:t>(l)</m:t>
            </m:r>
            <m:ctrlPr>
              <w:rPr>
                <w:rFonts w:ascii="Cambria Math" w:hAnsi="Cambria Math" w:eastAsia="宋体"/>
              </w:rPr>
            </m:ctrlPr>
          </m:sup>
        </m:sSubSup>
        <m:r>
          <m:rPr/>
          <w:rPr>
            <w:rFonts w:ascii="Times New Roman" w:hAnsi="Times New Roman" w:eastAsia="宋体"/>
          </w:rPr>
          <m:t>=</m:t>
        </m:r>
        <m:sSubSup>
          <m:sSubSupPr>
            <m:ctrlPr>
              <w:rPr>
                <w:rFonts w:ascii="Cambria Math" w:hAnsi="Cambria Math" w:eastAsia="宋体"/>
              </w:rPr>
            </m:ctrlPr>
          </m:sSubSupPr>
          <m:e>
            <m:acc>
              <m:accPr>
                <m:ctrlPr>
                  <w:rPr>
                    <w:rFonts w:ascii="Cambria Math" w:hAnsi="Cambria Math" w:eastAsia="宋体"/>
                  </w:rPr>
                </m:ctrlPr>
              </m:accPr>
              <m:e>
                <m:r>
                  <m:rPr/>
                  <w:rPr>
                    <w:rFonts w:ascii="Times New Roman" w:hAnsi="Times New Roman" w:eastAsia="宋体"/>
                  </w:rPr>
                  <m:t>x</m:t>
                </m:r>
                <m:ctrlPr>
                  <w:rPr>
                    <w:rFonts w:ascii="Cambria Math" w:hAnsi="Cambria Math" w:eastAsia="宋体"/>
                  </w:rPr>
                </m:ctrlPr>
              </m:e>
            </m:acc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b>
          <m:sup>
            <m:r>
              <m:rPr/>
              <w:rPr>
                <w:rFonts w:ascii="Times New Roman" w:hAnsi="Times New Roman" w:eastAsia="宋体"/>
              </w:rPr>
              <m:t>(l)</m:t>
            </m:r>
            <m:ctrlPr>
              <w:rPr>
                <w:rFonts w:ascii="Cambria Math" w:hAnsi="Cambria Math" w:eastAsia="宋体"/>
              </w:rPr>
            </m:ctrlPr>
          </m:sup>
        </m:sSubSup>
        <m:r>
          <m:rPr/>
          <w:rPr>
            <w:rFonts w:ascii="Times New Roman" w:hAnsi="Times New Roman" w:eastAsia="宋体"/>
          </w:rPr>
          <m:t>×(1+α)</m:t>
        </m:r>
      </m:oMath>
      <w:r>
        <w:rPr>
          <w:rFonts w:ascii="Times New Roman" w:hAnsi="Times New Roman" w:eastAsia="宋体" w:cs="sans-serif"/>
          <w:color w:val="1F1F1F"/>
        </w:rPr>
        <w:t>修正后的挂单高点：</w:t>
      </w:r>
      <m:oMath>
        <m:sSubSup>
          <m:sSubSupPr>
            <m:ctrlPr>
              <w:rPr>
                <w:rFonts w:ascii="Cambria Math" w:hAnsi="Cambria Math" w:eastAsia="宋体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 w:eastAsia="宋体"/>
                  </w:rPr>
                </m:ctrlPr>
              </m:accPr>
              <m:e>
                <m:r>
                  <m:rPr/>
                  <w:rPr>
                    <w:rFonts w:ascii="Times New Roman" w:hAnsi="Times New Roman" w:eastAsia="宋体"/>
                  </w:rPr>
                  <m:t>x</m:t>
                </m:r>
                <m:ctrlPr>
                  <w:rPr>
                    <w:rFonts w:ascii="Cambria Math" w:hAnsi="Cambria Math" w:eastAsia="宋体"/>
                  </w:rPr>
                </m:ctrlPr>
              </m:e>
            </m:acc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b>
          <m:sup>
            <m:r>
              <m:rPr/>
              <w:rPr>
                <w:rFonts w:ascii="Times New Roman" w:hAnsi="Times New Roman" w:eastAsia="宋体"/>
              </w:rPr>
              <m:t>(h)</m:t>
            </m:r>
            <m:ctrlPr>
              <w:rPr>
                <w:rFonts w:ascii="Cambria Math" w:hAnsi="Cambria Math" w:eastAsia="宋体"/>
              </w:rPr>
            </m:ctrlPr>
          </m:sup>
        </m:sSubSup>
        <m:r>
          <m:rPr/>
          <w:rPr>
            <w:rFonts w:ascii="Times New Roman" w:hAnsi="Times New Roman" w:eastAsia="宋体"/>
          </w:rPr>
          <m:t>=</m:t>
        </m:r>
        <m:sSubSup>
          <m:sSubSupPr>
            <m:ctrlPr>
              <w:rPr>
                <w:rFonts w:ascii="Cambria Math" w:hAnsi="Cambria Math" w:eastAsia="宋体"/>
              </w:rPr>
            </m:ctrlPr>
          </m:sSubSupPr>
          <m:e>
            <m:acc>
              <m:accPr>
                <m:ctrlPr>
                  <w:rPr>
                    <w:rFonts w:ascii="Cambria Math" w:hAnsi="Cambria Math" w:eastAsia="宋体"/>
                  </w:rPr>
                </m:ctrlPr>
              </m:accPr>
              <m:e>
                <m:r>
                  <m:rPr/>
                  <w:rPr>
                    <w:rFonts w:ascii="Times New Roman" w:hAnsi="Times New Roman" w:eastAsia="宋体"/>
                  </w:rPr>
                  <m:t>x</m:t>
                </m:r>
                <m:ctrlPr>
                  <w:rPr>
                    <w:rFonts w:ascii="Cambria Math" w:hAnsi="Cambria Math" w:eastAsia="宋体"/>
                  </w:rPr>
                </m:ctrlPr>
              </m:e>
            </m:acc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b>
          <m:sup>
            <m:r>
              <m:rPr/>
              <w:rPr>
                <w:rFonts w:ascii="Times New Roman" w:hAnsi="Times New Roman" w:eastAsia="宋体"/>
              </w:rPr>
              <m:t>(h)</m:t>
            </m:r>
            <m:ctrlPr>
              <w:rPr>
                <w:rFonts w:ascii="Cambria Math" w:hAnsi="Cambria Math" w:eastAsia="宋体"/>
              </w:rPr>
            </m:ctrlPr>
          </m:sup>
        </m:sSubSup>
        <m:r>
          <m:rPr/>
          <w:rPr>
            <w:rFonts w:ascii="Times New Roman" w:hAnsi="Times New Roman" w:eastAsia="宋体"/>
          </w:rPr>
          <m:t>×(1−β)</m:t>
        </m:r>
      </m:oMath>
    </w:p>
    <w:p w14:paraId="4A226740">
      <w:pPr>
        <w:pStyle w:val="3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firstLine="480" w:firstLineChars="20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color w:val="1F1F1F"/>
        </w:rPr>
        <w:t xml:space="preserve">实盘中会遇到 </w:t>
      </w:r>
      <w:r>
        <w:rPr>
          <w:rFonts w:ascii="Times New Roman" w:hAnsi="Times New Roman" w:eastAsia="宋体" w:cs="sans-serif"/>
          <w:b/>
          <w:bCs/>
          <w:color w:val="1F1F1F"/>
        </w:rPr>
        <w:t>4种情景</w:t>
      </w:r>
      <w:r>
        <w:rPr>
          <w:rFonts w:ascii="Times New Roman" w:hAnsi="Times New Roman" w:eastAsia="宋体" w:cs="sans-serif"/>
          <w:color w:val="1F1F1F"/>
        </w:rPr>
        <w:t>：</w:t>
      </w:r>
    </w:p>
    <w:p w14:paraId="57B47F03">
      <w:pPr>
        <w:pStyle w:val="3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b/>
          <w:bCs/>
          <w:color w:val="1F1F1F"/>
        </w:rPr>
        <w:t xml:space="preserve">情景(a) </w:t>
      </w:r>
      <w:r>
        <w:rPr>
          <w:rFonts w:hint="eastAsia" w:ascii="Times New Roman" w:hAnsi="Times New Roman" w:eastAsia="宋体" w:cs="sans-serif"/>
          <w:b/>
          <w:bCs/>
          <w:color w:val="1F1F1F"/>
        </w:rPr>
        <w:t>均触发</w:t>
      </w:r>
      <w:r>
        <w:rPr>
          <w:rFonts w:ascii="Times New Roman" w:hAnsi="Times New Roman" w:eastAsia="宋体" w:cs="sans-serif"/>
          <w:color w:val="1F1F1F"/>
        </w:rPr>
        <w:t>：真实最低价</w:t>
      </w:r>
      <m:oMath>
        <m:r>
          <m:rPr/>
          <w:rPr>
            <w:rFonts w:ascii="Cambria Math" w:hAnsi="Cambria Math" w:eastAsia="宋体"/>
          </w:rPr>
          <m:t>≤</m:t>
        </m:r>
      </m:oMath>
      <w:r>
        <w:rPr>
          <w:rFonts w:ascii="Times New Roman" w:hAnsi="Times New Roman" w:eastAsia="宋体" w:cs="sans-serif"/>
          <w:color w:val="1F1F1F"/>
        </w:rPr>
        <w:t>预测低点，且真实最高价</w:t>
      </w:r>
      <m:oMath>
        <m:r>
          <m:rPr/>
          <w:rPr>
            <w:rFonts w:ascii="Cambria Math" w:hAnsi="Cambria Math" w:eastAsia="宋体"/>
          </w:rPr>
          <m:t>≥</m:t>
        </m:r>
      </m:oMath>
      <w:r>
        <w:rPr>
          <w:rFonts w:ascii="Times New Roman" w:hAnsi="Times New Roman" w:eastAsia="宋体" w:cs="sans-serif"/>
          <w:color w:val="1F1F1F"/>
        </w:rPr>
        <w:t xml:space="preserve">预测高点 。 </w:t>
      </w:r>
    </w:p>
    <w:p w14:paraId="2417D69D">
      <w:pPr>
        <w:pStyle w:val="3"/>
        <w:widowControl/>
        <w:numPr>
          <w:ilvl w:val="0"/>
          <w:numId w:val="4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left="84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i/>
          <w:iCs/>
          <w:color w:val="1F1F1F"/>
        </w:rPr>
        <w:t>先跌后涨</w:t>
      </w:r>
      <w:r>
        <w:rPr>
          <w:rFonts w:ascii="Times New Roman" w:hAnsi="Times New Roman" w:eastAsia="宋体" w:cs="sans-serif"/>
          <w:color w:val="1F1F1F"/>
        </w:rPr>
        <w:t xml:space="preserve">：在预测低点做多，反弹到预测高点平仓 。 </w:t>
      </w:r>
    </w:p>
    <w:p w14:paraId="4859CFBE">
      <w:pPr>
        <w:pStyle w:val="3"/>
        <w:widowControl/>
        <w:numPr>
          <w:ilvl w:val="0"/>
          <w:numId w:val="5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left="84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i/>
          <w:iCs/>
          <w:color w:val="1F1F1F"/>
        </w:rPr>
        <w:t>先涨后跌</w:t>
      </w:r>
      <w:r>
        <w:rPr>
          <w:rFonts w:ascii="Times New Roman" w:hAnsi="Times New Roman" w:eastAsia="宋体" w:cs="sans-serif"/>
          <w:color w:val="1F1F1F"/>
        </w:rPr>
        <w:t>：在预测高点做空，回落到预测低点平仓 。</w:t>
      </w:r>
    </w:p>
    <w:p w14:paraId="48F1F778">
      <w:pPr>
        <w:pStyle w:val="3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b/>
          <w:bCs/>
          <w:color w:val="1F1F1F"/>
        </w:rPr>
        <w:t>情景(b) 只触发做多</w:t>
      </w:r>
      <w:r>
        <w:rPr>
          <w:rFonts w:ascii="Times New Roman" w:hAnsi="Times New Roman" w:eastAsia="宋体" w:cs="sans-serif"/>
          <w:color w:val="1F1F1F"/>
        </w:rPr>
        <w:t xml:space="preserve">：真实最低价跌破了预测低点，但高点没上去 。 </w:t>
      </w:r>
    </w:p>
    <w:p w14:paraId="0ABE4C46">
      <w:pPr>
        <w:pStyle w:val="3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firstLine="480" w:firstLineChars="20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color w:val="1F1F1F"/>
        </w:rPr>
        <w:t xml:space="preserve">在预测低点做多，拿到底，下午 15:00 以真实收盘价强制平仓 。 </w:t>
      </w:r>
    </w:p>
    <w:p w14:paraId="2D255469">
      <w:pPr>
        <w:pStyle w:val="3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b/>
          <w:bCs/>
          <w:color w:val="1F1F1F"/>
        </w:rPr>
        <w:t>情景(c) 只触发做空</w:t>
      </w:r>
      <w:r>
        <w:rPr>
          <w:rFonts w:ascii="Times New Roman" w:hAnsi="Times New Roman" w:eastAsia="宋体" w:cs="sans-serif"/>
          <w:color w:val="1F1F1F"/>
        </w:rPr>
        <w:t xml:space="preserve">：真实最高价冲破了预测高点，但低点没下来 。 </w:t>
      </w:r>
    </w:p>
    <w:p w14:paraId="0E7303BB">
      <w:pPr>
        <w:pStyle w:val="3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firstLine="480" w:firstLineChars="20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color w:val="1F1F1F"/>
        </w:rPr>
        <w:t>在预测高点做空，拿到底，下午 15:00 强制平仓 。</w:t>
      </w:r>
    </w:p>
    <w:p w14:paraId="2564E513">
      <w:pPr>
        <w:pStyle w:val="3"/>
        <w:widowControl/>
        <w:numPr>
          <w:ilvl w:val="0"/>
          <w:numId w:val="2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b/>
          <w:bCs/>
          <w:color w:val="1F1F1F"/>
        </w:rPr>
        <w:t xml:space="preserve">情景(d) </w:t>
      </w:r>
      <w:r>
        <w:rPr>
          <w:rFonts w:hint="eastAsia" w:ascii="Times New Roman" w:hAnsi="Times New Roman" w:eastAsia="宋体" w:cs="sans-serif"/>
          <w:b/>
          <w:bCs/>
          <w:color w:val="1F1F1F"/>
        </w:rPr>
        <w:t>无触发</w:t>
      </w:r>
      <w:r>
        <w:rPr>
          <w:rFonts w:ascii="Times New Roman" w:hAnsi="Times New Roman" w:eastAsia="宋体" w:cs="sans-serif"/>
          <w:color w:val="1F1F1F"/>
        </w:rPr>
        <w:t>：真实走势完全没碰到预测的高低点。</w:t>
      </w:r>
    </w:p>
    <w:p w14:paraId="3E5BDA9F">
      <w:pPr>
        <w:pStyle w:val="3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spacing w:beforeAutospacing="0" w:after="86" w:afterAutospacing="0" w:line="10" w:lineRule="atLeast"/>
        <w:ind w:firstLine="480" w:firstLineChars="200"/>
        <w:rPr>
          <w:rFonts w:ascii="Times New Roman" w:hAnsi="Times New Roman" w:eastAsia="宋体" w:cs="sans-serif"/>
          <w:color w:val="1F1F1F"/>
        </w:rPr>
      </w:pPr>
      <w:r>
        <w:rPr>
          <w:rFonts w:ascii="Times New Roman" w:hAnsi="Times New Roman" w:eastAsia="宋体" w:cs="sans-serif"/>
          <w:color w:val="1F1F1F"/>
        </w:rPr>
        <w:t xml:space="preserve">当天不交易。 </w:t>
      </w:r>
    </w:p>
    <w:p w14:paraId="04DB85F1">
      <w:pPr>
        <w:numPr>
          <w:ilvl w:val="0"/>
          <w:numId w:val="3"/>
        </w:num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均值回归（基于文献区间策略修改） （设置开盘价为止盈点）</w:t>
      </w:r>
    </w:p>
    <w:p w14:paraId="3151CB9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在每天开盘时，利用真实开盘价（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  <w:szCs w:val="32"/>
          <w:lang w:val="en-US" w:eastAsia="zh-CN"/>
        </w:rPr>
        <w:t>）和预测极差（</w:t>
      </w:r>
      <m:oMath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</m:acc>
        <m:r>
          <m:rPr/>
          <w:rPr>
            <w:rFonts w:hint="default" w:ascii="Cambria Math" w:hAnsi="Cambria Math"/>
            <w:sz w:val="24"/>
          </w:rPr>
          <m:t>=</m:t>
        </m:r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H</m:t>
            </m:r>
            <m:ctrlPr>
              <w:rPr>
                <w:rFonts w:ascii="Cambria Math" w:hAnsi="Cambria Math"/>
                <w:sz w:val="24"/>
              </w:rPr>
            </m:ctrlPr>
          </m:e>
        </m:acc>
        <m:r>
          <m:rPr/>
          <w:rPr>
            <w:rFonts w:hint="default" w:ascii="Cambria Math" w:hAnsi="Cambria Math"/>
            <w:sz w:val="24"/>
          </w:rPr>
          <m:t>−</m:t>
        </m:r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/>
          <w:sz w:val="24"/>
          <w:szCs w:val="32"/>
          <w:lang w:val="en-US" w:eastAsia="zh-CN"/>
        </w:rPr>
        <w:t>）构建两条固定轨道：中心点 = 当天真实开盘价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eastAsia="zh-CN"/>
        </w:rPr>
        <w:t>；</w:t>
      </w:r>
      <w:r>
        <w:rPr>
          <w:rFonts w:hint="default"/>
          <w:sz w:val="24"/>
          <w:szCs w:val="32"/>
          <w:lang w:val="en-US" w:eastAsia="zh-CN"/>
        </w:rPr>
        <w:t xml:space="preserve">预测上轨 (阻力位) =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+</m:t>
        </m:r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eastAsia" w:hAnsi="Cambria Math"/>
          <w:i w:val="0"/>
          <w:sz w:val="24"/>
          <w:lang w:eastAsia="zh-CN"/>
        </w:rPr>
        <w:t>；</w:t>
      </w:r>
      <w:r>
        <w:rPr>
          <w:rFonts w:hint="default"/>
          <w:sz w:val="24"/>
          <w:szCs w:val="32"/>
          <w:lang w:val="en-US" w:eastAsia="zh-CN"/>
        </w:rPr>
        <w:t>预测下轨 (支撑位) =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−</m:t>
        </m:r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</w:p>
    <w:p w14:paraId="7FDB0176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情景(a) 均触发：</w:t>
      </w:r>
      <w:r>
        <w:rPr>
          <w:rFonts w:hint="default"/>
          <w:sz w:val="24"/>
          <w:szCs w:val="32"/>
          <w:lang w:val="en-US" w:eastAsia="zh-CN"/>
        </w:rPr>
        <w:t>盘中真实最高价突破了预测上轨，且真实最低价跌破了预测下轨。</w:t>
      </w:r>
    </w:p>
    <w:p w14:paraId="34CBDEA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先涨后跌：</w:t>
      </w:r>
      <w:r>
        <w:rPr>
          <w:rFonts w:hint="default"/>
          <w:sz w:val="24"/>
          <w:szCs w:val="32"/>
          <w:lang w:val="en-US" w:eastAsia="zh-CN"/>
        </w:rPr>
        <w:t>在向上突破预测上轨时做空，随后价格继续向下穿透预测下轨，则在此处平仓。</w:t>
      </w:r>
    </w:p>
    <w:p w14:paraId="6EB2C82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先跌后涨：</w:t>
      </w:r>
      <w:r>
        <w:rPr>
          <w:rFonts w:hint="default"/>
          <w:sz w:val="24"/>
          <w:szCs w:val="32"/>
          <w:lang w:val="en-US" w:eastAsia="zh-CN"/>
        </w:rPr>
        <w:t>在向下穿透预测下轨时做多，价格继续向上突破预测上轨，则在此处平仓。</w:t>
      </w:r>
    </w:p>
    <w:p w14:paraId="2A3074B3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情景(b) 只触发做多：</w:t>
      </w:r>
      <w:r>
        <w:rPr>
          <w:rFonts w:hint="default"/>
          <w:sz w:val="24"/>
          <w:szCs w:val="32"/>
          <w:lang w:val="en-US" w:eastAsia="zh-CN"/>
        </w:rPr>
        <w:t>盘中真实最低价跌破了预测下轨，但最高价没上去（未触及上轨）。</w:t>
      </w:r>
    </w:p>
    <w:p w14:paraId="76A0A165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在向下穿透预测下轨时做多。若盘中成功反弹至当天</w:t>
      </w:r>
      <w:r>
        <w:rPr>
          <w:rFonts w:hint="default"/>
          <w:b/>
          <w:bCs/>
          <w:sz w:val="24"/>
          <w:szCs w:val="32"/>
          <w:lang w:val="en-US" w:eastAsia="zh-CN"/>
        </w:rPr>
        <w:t>开盘价</w:t>
      </w:r>
      <w:r>
        <w:rPr>
          <w:rFonts w:hint="default"/>
          <w:sz w:val="24"/>
          <w:szCs w:val="32"/>
          <w:lang w:val="en-US" w:eastAsia="zh-CN"/>
        </w:rPr>
        <w:t>，则止盈平仓；若走势极弱一直未反弹到开盘价，则拿到底，下午 15:00 以真实</w:t>
      </w:r>
      <w:r>
        <w:rPr>
          <w:rFonts w:hint="default"/>
          <w:b/>
          <w:bCs/>
          <w:sz w:val="24"/>
          <w:szCs w:val="32"/>
          <w:lang w:val="en-US" w:eastAsia="zh-CN"/>
        </w:rPr>
        <w:t>收盘价</w:t>
      </w:r>
      <w:r>
        <w:rPr>
          <w:rFonts w:hint="default"/>
          <w:sz w:val="24"/>
          <w:szCs w:val="32"/>
          <w:lang w:val="en-US" w:eastAsia="zh-CN"/>
        </w:rPr>
        <w:t>强制平仓。</w:t>
      </w:r>
    </w:p>
    <w:p w14:paraId="691ECDF1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情景(c) 只触发做空：</w:t>
      </w:r>
      <w:r>
        <w:rPr>
          <w:rFonts w:hint="default"/>
          <w:sz w:val="24"/>
          <w:szCs w:val="32"/>
          <w:lang w:val="en-US" w:eastAsia="zh-CN"/>
        </w:rPr>
        <w:t>盘中真实最高价突破了预测上轨，但最低价没下来（未触及下轨）。</w:t>
      </w:r>
    </w:p>
    <w:p w14:paraId="3CFDD9EB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在向上突破预测上轨时做空。若盘中成功回落至当天开盘价，则止盈平仓；若走势极强一直未回落到开盘价，则拿到底，下午 15:00 以真实收盘价强制平仓。</w:t>
      </w:r>
    </w:p>
    <w:p w14:paraId="4A9E078D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情景(d) 无触发：</w:t>
      </w:r>
      <w:r>
        <w:rPr>
          <w:rFonts w:hint="default"/>
          <w:sz w:val="24"/>
          <w:szCs w:val="32"/>
          <w:lang w:val="en-US" w:eastAsia="zh-CN"/>
        </w:rPr>
        <w:t>盘中真实走势完全在“预测下轨”与“预测上轨”构成的区间内震荡（未触碰上下轨）。</w:t>
      </w:r>
    </w:p>
    <w:p w14:paraId="54CD1975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当天不交易。</w:t>
      </w:r>
    </w:p>
    <w:p w14:paraId="4284685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highlight w:val="yellow"/>
          <w:lang w:val="en-US" w:eastAsia="zh-CN"/>
        </w:rPr>
      </w:pPr>
    </w:p>
    <w:p w14:paraId="4CCB8EF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highlight w:val="yellow"/>
          <w:lang w:val="en-US" w:eastAsia="zh-CN"/>
        </w:rPr>
      </w:pPr>
      <w:r>
        <w:rPr>
          <w:rFonts w:hint="eastAsia"/>
          <w:sz w:val="24"/>
          <w:szCs w:val="32"/>
          <w:highlight w:val="yellow"/>
          <w:lang w:val="en-US" w:eastAsia="zh-CN"/>
        </w:rPr>
        <w:t>4.利用中点策略</w:t>
      </w:r>
    </w:p>
    <w:p w14:paraId="1CED277B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Cambria Math"/>
          <w:i w:val="0"/>
          <w:sz w:val="24"/>
        </w:rPr>
      </w:pPr>
      <w:r>
        <w:rPr>
          <w:rFonts w:hint="default"/>
          <w:sz w:val="24"/>
          <w:szCs w:val="32"/>
          <w:lang w:val="en-US" w:eastAsia="zh-CN"/>
        </w:rPr>
        <w:t>利用预测的最高价（</w:t>
      </w:r>
      <m:oMath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H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/>
          <w:sz w:val="24"/>
          <w:szCs w:val="32"/>
          <w:lang w:val="en-US" w:eastAsia="zh-CN"/>
        </w:rPr>
        <w:t>）和最低价（</w:t>
      </w:r>
      <m:oMath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/>
          <w:sz w:val="24"/>
          <w:szCs w:val="32"/>
          <w:lang w:val="en-US" w:eastAsia="zh-CN"/>
        </w:rPr>
        <w:t>）计算预测中点</w:t>
      </w:r>
      <m:oMath>
        <m:r>
          <m:rPr/>
          <w:rPr>
            <w:rFonts w:hint="default" w:ascii="Cambria Math" w:hAnsi="Cambria Math"/>
            <w:sz w:val="24"/>
          </w:rPr>
          <m:t>M=(</m:t>
        </m:r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H</m:t>
            </m:r>
            <m:ctrlPr>
              <w:rPr>
                <w:rFonts w:ascii="Cambria Math" w:hAnsi="Cambria Math"/>
                <w:sz w:val="24"/>
              </w:rPr>
            </m:ctrlPr>
          </m:e>
        </m:acc>
        <m:r>
          <m:rPr/>
          <w:rPr>
            <w:rFonts w:hint="default" w:ascii="Cambria Math" w:hAnsi="Cambria Math"/>
            <w:sz w:val="24"/>
          </w:rPr>
          <m:t>+</m:t>
        </m:r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</m:acc>
        <m:r>
          <m:rPr/>
          <w:rPr>
            <w:rFonts w:hint="default" w:ascii="Cambria Math" w:hAnsi="Cambria Math"/>
            <w:sz w:val="24"/>
          </w:rPr>
          <m:t>)/2</m:t>
        </m:r>
      </m:oMath>
    </w:p>
    <w:p w14:paraId="3FC9CF6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获取当天的真实开盘价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  <w:szCs w:val="32"/>
          <w:lang w:val="en-US" w:eastAsia="zh-CN"/>
        </w:rPr>
        <w:t>，直接与预测中点</w:t>
      </w:r>
      <m:oMath>
        <m:r>
          <m:rPr/>
          <w:rPr>
            <w:rFonts w:hint="default" w:ascii="Cambria Math" w:hAnsi="Cambria Math"/>
            <w:sz w:val="24"/>
          </w:rPr>
          <m:t>M</m:t>
        </m:r>
      </m:oMath>
      <w:r>
        <w:rPr>
          <w:rFonts w:hint="default"/>
          <w:sz w:val="24"/>
          <w:szCs w:val="32"/>
          <w:lang w:val="en-US" w:eastAsia="zh-CN"/>
        </w:rPr>
        <w:t>进行大小对比：</w:t>
      </w:r>
    </w:p>
    <w:p w14:paraId="6F605F56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情景(A) 高开低走预期（</w:t>
      </w:r>
      <m:oMath>
        <m:sSub>
          <m:sSubPr>
            <m:ctrlPr>
              <w:rPr>
                <w:rFonts w:hint="default" w:ascii="Cambria Math" w:hAnsi="Cambria Math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b/>
                <w:bCs/>
                <w:sz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</w:rPr>
          <m:t>&gt;M</m:t>
        </m:r>
      </m:oMath>
      <w:r>
        <w:rPr>
          <w:rFonts w:hint="default"/>
          <w:b/>
          <w:bCs/>
          <w:sz w:val="24"/>
          <w:szCs w:val="32"/>
          <w:lang w:val="en-US" w:eastAsia="zh-CN"/>
        </w:rPr>
        <w:t>）</w:t>
      </w:r>
    </w:p>
    <w:p w14:paraId="128B5A2C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逻辑：</w:t>
      </w:r>
      <w:r>
        <w:rPr>
          <w:rFonts w:hint="default"/>
          <w:sz w:val="24"/>
          <w:szCs w:val="32"/>
          <w:lang w:val="en-US" w:eastAsia="zh-CN"/>
        </w:rPr>
        <w:t>开盘价在预测中点之上，说明早盘多头情绪过热，价格被高估。</w:t>
      </w:r>
    </w:p>
    <w:p w14:paraId="0F163CAA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开仓：</w:t>
      </w:r>
      <w:r>
        <w:rPr>
          <w:rFonts w:hint="default"/>
          <w:sz w:val="24"/>
          <w:szCs w:val="32"/>
          <w:lang w:val="en-US" w:eastAsia="zh-CN"/>
        </w:rPr>
        <w:t>在开盘的瞬间，直接以开盘价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  <w:szCs w:val="32"/>
          <w:lang w:val="en-US" w:eastAsia="zh-CN"/>
        </w:rPr>
        <w:t>市价做空。</w:t>
      </w:r>
    </w:p>
    <w:p w14:paraId="7DC10634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平仓：</w:t>
      </w:r>
    </w:p>
    <w:p w14:paraId="19C915B7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止盈：</w:t>
      </w:r>
      <w:r>
        <w:rPr>
          <w:rFonts w:hint="default"/>
          <w:sz w:val="24"/>
          <w:szCs w:val="32"/>
          <w:lang w:val="en-US" w:eastAsia="zh-CN"/>
        </w:rPr>
        <w:t>若盘中真实价格按预期回落，触碰或向下穿透预测中点</w:t>
      </w:r>
      <m:oMath>
        <m:r>
          <m:rPr/>
          <w:rPr>
            <w:rFonts w:hint="default" w:ascii="Cambria Math" w:hAnsi="Cambria Math"/>
            <w:sz w:val="24"/>
          </w:rPr>
          <m:t>M</m:t>
        </m:r>
      </m:oMath>
      <w:r>
        <w:rPr>
          <w:rFonts w:hint="default"/>
          <w:sz w:val="24"/>
          <w:szCs w:val="32"/>
          <w:lang w:val="en-US" w:eastAsia="zh-CN"/>
        </w:rPr>
        <w:t>时，空单立即平仓。</w:t>
      </w:r>
    </w:p>
    <w:p w14:paraId="02EC1B6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强平：</w:t>
      </w:r>
      <w:r>
        <w:rPr>
          <w:rFonts w:hint="default"/>
          <w:sz w:val="24"/>
          <w:szCs w:val="32"/>
          <w:lang w:val="en-US" w:eastAsia="zh-CN"/>
        </w:rPr>
        <w:t xml:space="preserve">若走势极强，全天单边上涨，始终未回落到中点 </w:t>
      </w:r>
      <m:oMath>
        <m:r>
          <m:rPr/>
          <w:rPr>
            <w:rFonts w:hint="default" w:ascii="Cambria Math" w:hAnsi="Cambria Math"/>
            <w:sz w:val="24"/>
          </w:rPr>
          <m:t>M</m:t>
        </m:r>
      </m:oMath>
      <w:r>
        <w:rPr>
          <w:rFonts w:hint="default"/>
          <w:sz w:val="24"/>
          <w:szCs w:val="32"/>
          <w:lang w:val="en-US" w:eastAsia="zh-CN"/>
        </w:rPr>
        <w:t xml:space="preserve">，则以真实收盘价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  <w:szCs w:val="32"/>
          <w:lang w:val="en-US" w:eastAsia="zh-CN"/>
        </w:rPr>
        <w:t>强制平仓。</w:t>
      </w:r>
    </w:p>
    <w:p w14:paraId="5FF43B13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情景(B) 低开高走预期（</w:t>
      </w:r>
      <m:oMath>
        <m:sSub>
          <m:sSubPr>
            <m:ctrlPr>
              <w:rPr>
                <w:rFonts w:hint="default" w:ascii="Cambria Math" w:hAnsi="Cambria Math"/>
                <w:b/>
                <w:bCs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b/>
                <w:bCs/>
                <w:sz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b/>
                <w:bCs/>
                <w:sz w:val="24"/>
              </w:rPr>
            </m:ctrlPr>
          </m:sub>
        </m:sSub>
      </m:oMath>
      <w:r>
        <w:rPr>
          <w:rFonts w:hint="default"/>
          <w:b/>
          <w:bCs/>
          <w:sz w:val="24"/>
          <w:szCs w:val="32"/>
          <w:lang w:val="en-US" w:eastAsia="zh-CN"/>
        </w:rPr>
        <w:t xml:space="preserve"> &lt; </w:t>
      </w:r>
      <m:oMath>
        <m:r>
          <m:rPr>
            <m:sty m:val="bi"/>
          </m:rPr>
          <w:rPr>
            <w:rFonts w:hint="default" w:ascii="Cambria Math" w:hAnsi="Cambria Math"/>
            <w:sz w:val="24"/>
          </w:rPr>
          <m:t>M</m:t>
        </m:r>
      </m:oMath>
      <w:r>
        <w:rPr>
          <w:rFonts w:hint="default"/>
          <w:b/>
          <w:bCs/>
          <w:sz w:val="24"/>
          <w:szCs w:val="32"/>
          <w:lang w:val="en-US" w:eastAsia="zh-CN"/>
        </w:rPr>
        <w:t>）</w:t>
      </w:r>
    </w:p>
    <w:p w14:paraId="524AD9AB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逻辑：</w:t>
      </w:r>
      <w:r>
        <w:rPr>
          <w:rFonts w:hint="default"/>
          <w:sz w:val="24"/>
          <w:szCs w:val="32"/>
          <w:lang w:val="en-US" w:eastAsia="zh-CN"/>
        </w:rPr>
        <w:t>开盘价在预测中点之下，说明早盘空头过度宣泄，价格被低估。</w:t>
      </w:r>
    </w:p>
    <w:p w14:paraId="56FA5A3A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开仓：</w:t>
      </w:r>
      <w:r>
        <w:rPr>
          <w:rFonts w:hint="default"/>
          <w:sz w:val="24"/>
          <w:szCs w:val="32"/>
          <w:lang w:val="en-US" w:eastAsia="zh-CN"/>
        </w:rPr>
        <w:t>在开盘的瞬间，直接以开盘价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O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  <w:szCs w:val="32"/>
          <w:lang w:val="en-US" w:eastAsia="zh-CN"/>
        </w:rPr>
        <w:t xml:space="preserve"> 市价做多。</w:t>
      </w:r>
    </w:p>
    <w:p w14:paraId="27B33AFA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平仓：</w:t>
      </w:r>
    </w:p>
    <w:p w14:paraId="7FF3362D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止盈：</w:t>
      </w:r>
      <w:r>
        <w:rPr>
          <w:rFonts w:hint="default"/>
          <w:sz w:val="24"/>
          <w:szCs w:val="32"/>
          <w:lang w:val="en-US" w:eastAsia="zh-CN"/>
        </w:rPr>
        <w:t xml:space="preserve">若盘中真实价格按预期反弹，触碰或向上穿透预测中点 </w:t>
      </w:r>
      <m:oMath>
        <m:r>
          <m:rPr/>
          <w:rPr>
            <w:rFonts w:hint="default" w:ascii="Cambria Math" w:hAnsi="Cambria Math"/>
            <w:sz w:val="24"/>
          </w:rPr>
          <m:t>M</m:t>
        </m:r>
      </m:oMath>
      <w:r>
        <w:rPr>
          <w:rFonts w:hint="default"/>
          <w:sz w:val="24"/>
          <w:szCs w:val="32"/>
          <w:lang w:val="en-US" w:eastAsia="zh-CN"/>
        </w:rPr>
        <w:t xml:space="preserve"> 时，多单立即平仓。</w:t>
      </w:r>
    </w:p>
    <w:p w14:paraId="21CF1B5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强平：</w:t>
      </w:r>
      <w:r>
        <w:rPr>
          <w:rFonts w:hint="default"/>
          <w:sz w:val="24"/>
          <w:szCs w:val="32"/>
          <w:lang w:val="en-US" w:eastAsia="zh-CN"/>
        </w:rPr>
        <w:t xml:space="preserve">若走势极弱，全天单边下跌，始终未反弹到中点 </w:t>
      </w:r>
      <m:oMath>
        <m:r>
          <m:rPr/>
          <w:rPr>
            <w:rFonts w:hint="default" w:ascii="Cambria Math" w:hAnsi="Cambria Math"/>
            <w:sz w:val="24"/>
          </w:rPr>
          <m:t>M</m:t>
        </m:r>
      </m:oMath>
      <w:r>
        <w:rPr>
          <w:rFonts w:hint="default"/>
          <w:sz w:val="24"/>
          <w:szCs w:val="32"/>
          <w:lang w:val="en-US" w:eastAsia="zh-CN"/>
        </w:rPr>
        <w:t>，则多单死拿到底</w:t>
      </w:r>
      <w:r>
        <w:rPr>
          <w:rFonts w:hint="eastAsia"/>
          <w:sz w:val="24"/>
          <w:szCs w:val="32"/>
          <w:lang w:val="en-US" w:eastAsia="zh-CN"/>
        </w:rPr>
        <w:t>,</w:t>
      </w:r>
      <w:r>
        <w:rPr>
          <w:rFonts w:hint="default"/>
          <w:sz w:val="24"/>
          <w:szCs w:val="32"/>
          <w:lang w:val="en-US" w:eastAsia="zh-CN"/>
        </w:rPr>
        <w:t xml:space="preserve"> 以真实收盘价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  <w:szCs w:val="32"/>
          <w:lang w:val="en-US" w:eastAsia="zh-CN"/>
        </w:rPr>
        <w:t xml:space="preserve"> 强制平仓。</w:t>
      </w:r>
    </w:p>
    <w:p w14:paraId="3B920D43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32"/>
          <w:lang w:val="en-US" w:eastAsia="zh-CN"/>
        </w:rPr>
      </w:pPr>
    </w:p>
    <w:p w14:paraId="5E3EB14F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情景(C) 放弃交易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：如果 </w:t>
      </w:r>
      <m:oMath>
        <m:r>
          <m:rPr/>
          <w:rPr>
            <w:rFonts w:hint="default" w:ascii="Cambria Math" w:hAnsi="Cambria Math" w:eastAsia="sans-serif"/>
            <w:sz w:val="24"/>
          </w:rPr>
          <m:t>|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O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t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−M|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特别小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，不足以覆盖手续费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，就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不进行交易（</w:t>
      </w:r>
      <w:r>
        <w:rPr>
          <w:rFonts w:hint="eastAsia"/>
          <w:sz w:val="24"/>
          <w:szCs w:val="32"/>
          <w:lang w:val="en-US" w:eastAsia="zh-CN"/>
        </w:rPr>
        <w:t>是否考虑手续费？）</w:t>
      </w:r>
    </w:p>
    <w:p w14:paraId="768A62A1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harisSI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yriad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9D30A"/>
    <w:multiLevelType w:val="singleLevel"/>
    <w:tmpl w:val="AFA9D30A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DD242F62"/>
    <w:multiLevelType w:val="multilevel"/>
    <w:tmpl w:val="DD242F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37F66B5"/>
    <w:multiLevelType w:val="singleLevel"/>
    <w:tmpl w:val="137F66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9A9BA56"/>
    <w:multiLevelType w:val="multilevel"/>
    <w:tmpl w:val="19A9BA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1FD7324F"/>
    <w:multiLevelType w:val="multilevel"/>
    <w:tmpl w:val="1FD732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2680599E"/>
    <w:multiLevelType w:val="singleLevel"/>
    <w:tmpl w:val="268059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C94AA1D"/>
    <w:multiLevelType w:val="singleLevel"/>
    <w:tmpl w:val="4C94AA1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AD68A10"/>
    <w:multiLevelType w:val="singleLevel"/>
    <w:tmpl w:val="7AD68A1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12429"/>
    <w:rsid w:val="05D1531A"/>
    <w:rsid w:val="0B2A380C"/>
    <w:rsid w:val="51A1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2026-06-04T11:12:00Z</dcterms:created>
  <dc:creator>安安～</dc:creator>
  <cp:lastModifiedBy>安安～</cp:lastModifiedBy>
  <dcterms:modified xsi:type="dcterms:W3CDTF">2026-06-04T11:33:44Z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714860A71EC7435C8B5EBD1DBAD2AEFC_11</vt:lpwstr>
  </property>
  <property fmtid="{D5CDD505-2E9C-101B-9397-08002B2CF9AE}" pid="4" name="KSOTemplateDocerSaveRecord">
    <vt:lpwstr>eyJoZGlkIjoiYjk5ODM0YmMxOWJiYWQyNDU4MGIzYWRmYTA0ZmI5NDciLCJ1c2VySWQiOiI2NTU2NzAxMjYifQ==</vt:lpwstr>
  </property>
</Properties>
</file>