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1976B" w14:textId="488AAA25" w:rsidR="002B4488" w:rsidRPr="002B4488" w:rsidRDefault="002B4488" w:rsidP="002B4488">
      <w:pPr>
        <w:framePr w:w="9360" w:h="2430" w:hRule="exact" w:hSpace="187" w:vSpace="187" w:wrap="notBeside" w:vAnchor="text" w:hAnchor="page" w:x="1304" w:y="223"/>
        <w:autoSpaceDE/>
        <w:autoSpaceDN/>
        <w:jc w:val="center"/>
        <w:rPr>
          <w:rFonts w:ascii="宋体" w:hAnsi="宋体" w:cs="宋体" w:hint="eastAsia"/>
          <w:sz w:val="24"/>
          <w:szCs w:val="24"/>
          <w:lang w:eastAsia="zh-CN"/>
        </w:rPr>
      </w:pPr>
      <w:r>
        <w:rPr>
          <w:color w:val="800080"/>
          <w:sz w:val="42"/>
          <w:lang w:eastAsia="zh-CN"/>
        </w:rPr>
        <w:t>虚拟人也有偏见：当我们让</w:t>
      </w:r>
      <w:r>
        <w:rPr>
          <w:color w:val="800080"/>
          <w:sz w:val="42"/>
          <w:lang w:eastAsia="zh-CN"/>
        </w:rPr>
        <w:t xml:space="preserve"> AI </w:t>
      </w:r>
      <w:r>
        <w:rPr>
          <w:color w:val="800080"/>
          <w:sz w:val="42"/>
          <w:lang w:eastAsia="zh-CN"/>
        </w:rPr>
        <w:t>替人类爱上另一个</w:t>
      </w:r>
      <w:r>
        <w:rPr>
          <w:color w:val="800080"/>
          <w:sz w:val="42"/>
          <w:lang w:eastAsia="zh-CN"/>
        </w:rPr>
        <w:t xml:space="preserve"> AI</w:t>
      </w:r>
      <w:r>
        <w:rPr>
          <w:color w:val="800080"/>
          <w:sz w:val="42"/>
          <w:lang w:eastAsia="zh-CN"/>
        </w:rPr>
        <w:br/>
      </w:r>
      <w:r>
        <w:rPr>
          <w:color w:val="800080"/>
          <w:sz w:val="26"/>
          <w:lang w:eastAsia="zh-CN"/>
        </w:rPr>
        <w:t>——</w:t>
      </w:r>
      <w:r w:rsidR="00197200" w:rsidRPr="00197200">
        <w:rPr>
          <w:color w:val="800080"/>
          <w:sz w:val="26"/>
          <w:lang w:eastAsia="zh-CN"/>
        </w:rPr>
        <w:t>生成式用户模拟的模型依赖与</w:t>
      </w:r>
      <w:r w:rsidR="00197200" w:rsidRPr="00197200">
        <w:rPr>
          <w:color w:val="800080"/>
          <w:sz w:val="26"/>
          <w:lang w:eastAsia="zh-CN"/>
        </w:rPr>
        <w:t>“</w:t>
      </w:r>
      <w:r w:rsidR="00197200" w:rsidRPr="00197200">
        <w:rPr>
          <w:color w:val="800080"/>
          <w:sz w:val="26"/>
          <w:lang w:eastAsia="zh-CN"/>
        </w:rPr>
        <w:t>千人一模</w:t>
      </w:r>
      <w:r w:rsidR="00197200" w:rsidRPr="00197200">
        <w:rPr>
          <w:color w:val="800080"/>
          <w:sz w:val="26"/>
          <w:lang w:eastAsia="zh-CN"/>
        </w:rPr>
        <w:t>”</w:t>
      </w:r>
      <w:r w:rsidR="00197200" w:rsidRPr="00197200">
        <w:rPr>
          <w:color w:val="800080"/>
          <w:sz w:val="26"/>
          <w:lang w:eastAsia="zh-CN"/>
        </w:rPr>
        <w:t>问题</w:t>
      </w:r>
    </w:p>
    <w:p w14:paraId="2CD9E6C1" w14:textId="53FDEF29" w:rsidR="00197200" w:rsidRPr="00DA4ADE" w:rsidRDefault="00197200" w:rsidP="00197200">
      <w:pPr>
        <w:framePr w:w="9072" w:h="2030" w:hRule="exact" w:hSpace="187" w:vSpace="187" w:wrap="notBeside" w:vAnchor="text" w:hAnchor="page" w:x="1555" w:y="2765"/>
        <w:autoSpaceDE/>
        <w:autoSpaceDN/>
        <w:spacing w:line="360" w:lineRule="auto"/>
        <w:jc w:val="center"/>
        <w:rPr>
          <w:rFonts w:ascii="宋体" w:hAnsi="宋体" w:cs="宋体" w:hint="eastAsia"/>
          <w:sz w:val="24"/>
          <w:szCs w:val="24"/>
          <w:lang w:eastAsia="zh-CN"/>
        </w:rPr>
      </w:pPr>
      <w:r>
        <w:rPr>
          <w:rFonts w:ascii="宋体" w:hAnsi="宋体" w:cs="宋体" w:hint="eastAsia"/>
          <w:b/>
          <w:bCs/>
          <w:sz w:val="24"/>
          <w:szCs w:val="24"/>
          <w:lang w:eastAsia="zh-CN"/>
        </w:rPr>
        <w:t>橘猫爱吃橘子</w:t>
      </w:r>
      <w:r>
        <w:rPr>
          <w:rFonts w:ascii="宋体" w:hAnsi="宋体" w:cs="宋体" w:hint="eastAsia"/>
          <w:b/>
          <w:bCs/>
          <w:sz w:val="24"/>
          <w:szCs w:val="24"/>
          <w:vertAlign w:val="superscript"/>
          <w:lang w:eastAsia="zh-CN"/>
        </w:rPr>
        <w:t>1</w:t>
      </w:r>
      <w:r>
        <w:rPr>
          <w:rFonts w:ascii="宋体" w:hAnsi="宋体" w:cs="宋体" w:hint="eastAsia"/>
          <w:sz w:val="24"/>
          <w:szCs w:val="24"/>
          <w:lang w:eastAsia="zh-CN"/>
        </w:rPr>
        <w:t xml:space="preserve"> ，</w:t>
      </w:r>
      <w:bookmarkStart w:id="0" w:name="_Hlk234146559"/>
      <w:r>
        <w:rPr>
          <w:rFonts w:ascii="宋体" w:hAnsi="宋体" w:cs="宋体" w:hint="eastAsia"/>
          <w:b/>
          <w:bCs/>
          <w:sz w:val="24"/>
          <w:szCs w:val="24"/>
          <w:lang w:eastAsia="zh-CN"/>
        </w:rPr>
        <w:t>考上然后装逼</w:t>
      </w:r>
      <w:bookmarkEnd w:id="0"/>
      <w:r w:rsidR="006E60F7">
        <w:rPr>
          <w:rFonts w:ascii="宋体" w:hAnsi="宋体" w:cs="宋体" w:hint="eastAsia"/>
          <w:b/>
          <w:bCs/>
          <w:sz w:val="24"/>
          <w:szCs w:val="24"/>
          <w:vertAlign w:val="superscript"/>
          <w:lang w:eastAsia="zh-CN"/>
        </w:rPr>
        <w:t>2</w:t>
      </w:r>
      <w:r>
        <w:rPr>
          <w:rFonts w:ascii="宋体" w:hAnsi="宋体" w:cs="宋体" w:hint="eastAsia"/>
          <w:b/>
          <w:bCs/>
          <w:sz w:val="24"/>
          <w:szCs w:val="24"/>
          <w:vertAlign w:val="superscript"/>
          <w:lang w:eastAsia="zh-CN"/>
        </w:rPr>
        <w:t>,*</w:t>
      </w:r>
    </w:p>
    <w:p w14:paraId="3E764438" w14:textId="3A78FD05" w:rsidR="00197200" w:rsidRPr="00DA4ADE" w:rsidRDefault="00197200" w:rsidP="00197200">
      <w:pPr>
        <w:framePr w:w="9072" w:h="2030" w:hRule="exact" w:hSpace="187" w:vSpace="187" w:wrap="notBeside" w:vAnchor="text" w:hAnchor="page" w:x="1555" w:y="2765"/>
        <w:autoSpaceDE/>
        <w:jc w:val="center"/>
        <w:rPr>
          <w:rFonts w:ascii="宋体" w:hAnsi="宋体" w:cs="宋体" w:hint="eastAsia"/>
          <w:sz w:val="24"/>
          <w:szCs w:val="24"/>
          <w:lang w:eastAsia="zh-CN"/>
        </w:rPr>
      </w:pPr>
      <w:r w:rsidRPr="00DA4ADE">
        <w:rPr>
          <w:rFonts w:ascii="宋体" w:hAnsi="宋体" w:cs="宋体" w:hint="eastAsia"/>
          <w:color w:val="000000"/>
          <w:sz w:val="18"/>
          <w:szCs w:val="18"/>
          <w:vertAlign w:val="superscript"/>
          <w:lang w:eastAsia="zh-CN"/>
        </w:rPr>
        <w:t>1</w:t>
      </w:r>
      <w:r>
        <w:rPr>
          <w:rFonts w:ascii="宋体" w:hAnsi="宋体" w:cs="宋体" w:hint="eastAsia"/>
          <w:color w:val="000000"/>
          <w:sz w:val="18"/>
          <w:szCs w:val="18"/>
          <w:lang w:eastAsia="zh-CN"/>
        </w:rPr>
        <w:t>浙江大学（科技版）</w:t>
      </w:r>
      <w:r w:rsidRPr="00DA4ADE">
        <w:rPr>
          <w:rFonts w:ascii="宋体" w:hAnsi="宋体" w:cs="宋体" w:hint="eastAsia"/>
          <w:color w:val="000000"/>
          <w:sz w:val="18"/>
          <w:szCs w:val="18"/>
          <w:lang w:eastAsia="zh-CN"/>
        </w:rPr>
        <w:t>，</w:t>
      </w:r>
      <w:r>
        <w:rPr>
          <w:rFonts w:ascii="宋体" w:hAnsi="宋体" w:cs="宋体" w:hint="eastAsia"/>
          <w:color w:val="000000"/>
          <w:sz w:val="18"/>
          <w:szCs w:val="18"/>
          <w:lang w:eastAsia="zh-CN"/>
        </w:rPr>
        <w:t>杭州</w:t>
      </w:r>
      <w:r w:rsidRPr="00DA4ADE">
        <w:rPr>
          <w:rFonts w:ascii="宋体" w:hAnsi="宋体" w:cs="宋体" w:hint="eastAsia"/>
          <w:color w:val="000000"/>
          <w:sz w:val="18"/>
          <w:szCs w:val="18"/>
          <w:lang w:eastAsia="zh-CN"/>
        </w:rPr>
        <w:t>，</w:t>
      </w:r>
      <w:r>
        <w:rPr>
          <w:rFonts w:ascii="宋体" w:hAnsi="宋体" w:cs="宋体" w:hint="eastAsia"/>
          <w:color w:val="000000"/>
          <w:sz w:val="18"/>
          <w:szCs w:val="18"/>
          <w:lang w:eastAsia="zh-CN"/>
        </w:rPr>
        <w:t>中国</w:t>
      </w:r>
    </w:p>
    <w:p w14:paraId="5A23E478" w14:textId="77777777" w:rsidR="00197200" w:rsidRPr="00DA4ADE" w:rsidRDefault="00197200" w:rsidP="00197200">
      <w:pPr>
        <w:framePr w:w="9072" w:h="2030" w:hRule="exact" w:hSpace="187" w:vSpace="187" w:wrap="notBeside" w:vAnchor="text" w:hAnchor="page" w:x="1555" w:y="2765"/>
        <w:autoSpaceDE/>
        <w:jc w:val="center"/>
        <w:rPr>
          <w:rFonts w:ascii="宋体" w:hAnsi="宋体" w:cs="宋体" w:hint="eastAsia"/>
          <w:sz w:val="24"/>
          <w:szCs w:val="24"/>
          <w:lang w:eastAsia="zh-CN"/>
        </w:rPr>
      </w:pPr>
      <w:r w:rsidRPr="00DA4ADE">
        <w:rPr>
          <w:rFonts w:ascii="CMR6" w:hAnsi="CMR6" w:cs="宋体"/>
          <w:color w:val="000000"/>
          <w:sz w:val="12"/>
          <w:szCs w:val="12"/>
          <w:vertAlign w:val="superscript"/>
          <w:lang w:eastAsia="zh-CN"/>
        </w:rPr>
        <w:t>2</w:t>
      </w:r>
      <w:r>
        <w:rPr>
          <w:rFonts w:ascii="宋体" w:hAnsi="宋体" w:cs="宋体" w:hint="eastAsia"/>
          <w:color w:val="000000"/>
          <w:sz w:val="18"/>
          <w:szCs w:val="18"/>
          <w:lang w:eastAsia="zh-CN"/>
        </w:rPr>
        <w:t>构石研究院杭州所</w:t>
      </w:r>
      <w:r w:rsidRPr="00DA4ADE">
        <w:rPr>
          <w:rFonts w:ascii="宋体" w:hAnsi="宋体" w:cs="宋体" w:hint="eastAsia"/>
          <w:color w:val="000000"/>
          <w:sz w:val="18"/>
          <w:szCs w:val="18"/>
          <w:lang w:eastAsia="zh-CN"/>
        </w:rPr>
        <w:t>，</w:t>
      </w:r>
      <w:r>
        <w:rPr>
          <w:rFonts w:ascii="宋体" w:hAnsi="宋体" w:cs="宋体" w:hint="eastAsia"/>
          <w:color w:val="000000"/>
          <w:sz w:val="18"/>
          <w:szCs w:val="18"/>
          <w:lang w:eastAsia="zh-CN"/>
        </w:rPr>
        <w:t>杭州</w:t>
      </w:r>
      <w:r w:rsidRPr="00DA4ADE">
        <w:rPr>
          <w:rFonts w:ascii="宋体" w:hAnsi="宋体" w:cs="宋体" w:hint="eastAsia"/>
          <w:color w:val="000000"/>
          <w:sz w:val="18"/>
          <w:szCs w:val="18"/>
          <w:lang w:eastAsia="zh-CN"/>
        </w:rPr>
        <w:t>，</w:t>
      </w:r>
      <w:r>
        <w:rPr>
          <w:rFonts w:ascii="宋体" w:hAnsi="宋体" w:cs="宋体" w:hint="eastAsia"/>
          <w:color w:val="000000"/>
          <w:sz w:val="18"/>
          <w:szCs w:val="18"/>
          <w:lang w:eastAsia="zh-CN"/>
        </w:rPr>
        <w:t>中国</w:t>
      </w:r>
    </w:p>
    <w:p w14:paraId="2E00BE6A" w14:textId="77777777" w:rsidR="00197200" w:rsidRPr="00DA4ADE" w:rsidRDefault="00197200" w:rsidP="00197200">
      <w:pPr>
        <w:framePr w:w="9072" w:h="2030" w:hRule="exact" w:hSpace="187" w:vSpace="187" w:wrap="notBeside" w:vAnchor="text" w:hAnchor="page" w:x="1555" w:y="2765"/>
        <w:autoSpaceDE/>
        <w:jc w:val="center"/>
        <w:rPr>
          <w:rFonts w:ascii="宋体" w:hAnsi="宋体" w:cs="宋体" w:hint="eastAsia"/>
          <w:sz w:val="24"/>
          <w:szCs w:val="24"/>
          <w:lang w:eastAsia="zh-CN"/>
        </w:rPr>
      </w:pPr>
      <w:r w:rsidRPr="00DA4ADE">
        <w:rPr>
          <w:rFonts w:ascii="宋体" w:hAnsi="宋体" w:cs="宋体" w:hint="eastAsia"/>
          <w:color w:val="000000"/>
          <w:sz w:val="18"/>
          <w:szCs w:val="18"/>
          <w:lang w:eastAsia="zh-CN"/>
        </w:rPr>
        <w:t>通讯作者：</w:t>
      </w:r>
      <w:r w:rsidRPr="000B0B05">
        <w:rPr>
          <w:rFonts w:ascii="宋体" w:hAnsi="宋体" w:cs="宋体" w:hint="eastAsia"/>
          <w:color w:val="000000"/>
          <w:sz w:val="18"/>
          <w:szCs w:val="18"/>
          <w:lang w:eastAsia="zh-CN"/>
        </w:rPr>
        <w:t>考上然后装逼</w:t>
      </w:r>
      <w:r w:rsidRPr="00DA4ADE">
        <w:rPr>
          <w:rFonts w:ascii="宋体" w:hAnsi="宋体" w:cs="宋体" w:hint="eastAsia"/>
          <w:color w:val="000000"/>
          <w:sz w:val="18"/>
          <w:szCs w:val="18"/>
          <w:lang w:eastAsia="zh-CN"/>
        </w:rPr>
        <w:t>（</w:t>
      </w:r>
      <w:r w:rsidRPr="00DA4ADE">
        <w:rPr>
          <w:rFonts w:ascii="LMRoman9-Regular-Identity-H" w:hAnsi="LMRoman9-Regular-Identity-H" w:cs="宋体"/>
          <w:color w:val="000000"/>
          <w:sz w:val="18"/>
          <w:szCs w:val="18"/>
          <w:lang w:eastAsia="zh-CN"/>
        </w:rPr>
        <w:t xml:space="preserve">e-mail: </w:t>
      </w:r>
      <w:r>
        <w:rPr>
          <w:rFonts w:ascii="LMRoman9-Regular-Identity-H" w:hAnsi="LMRoman9-Regular-Identity-H" w:cs="宋体" w:hint="eastAsia"/>
          <w:color w:val="000000"/>
          <w:sz w:val="18"/>
          <w:szCs w:val="18"/>
          <w:lang w:eastAsia="zh-CN"/>
        </w:rPr>
        <w:t>zonghao286</w:t>
      </w:r>
      <w:r w:rsidRPr="00DA4ADE">
        <w:rPr>
          <w:rFonts w:ascii="LMRoman9-Regular-Identity-H" w:hAnsi="LMRoman9-Regular-Identity-H" w:cs="宋体"/>
          <w:color w:val="000000"/>
          <w:sz w:val="18"/>
          <w:szCs w:val="18"/>
          <w:lang w:eastAsia="zh-CN"/>
        </w:rPr>
        <w:t>@</w:t>
      </w:r>
      <w:r>
        <w:rPr>
          <w:rFonts w:ascii="LMRoman9-Regular-Identity-H" w:hAnsi="LMRoman9-Regular-Identity-H" w:cs="宋体" w:hint="eastAsia"/>
          <w:color w:val="000000"/>
          <w:sz w:val="18"/>
          <w:szCs w:val="18"/>
          <w:lang w:eastAsia="zh-CN"/>
        </w:rPr>
        <w:t>gmail</w:t>
      </w:r>
      <w:r w:rsidRPr="00DA4ADE">
        <w:rPr>
          <w:rFonts w:ascii="LMRoman9-Regular-Identity-H" w:hAnsi="LMRoman9-Regular-Identity-H" w:cs="宋体"/>
          <w:color w:val="000000"/>
          <w:sz w:val="18"/>
          <w:szCs w:val="18"/>
          <w:lang w:eastAsia="zh-CN"/>
        </w:rPr>
        <w:t>.com</w:t>
      </w:r>
      <w:r w:rsidRPr="00DA4ADE">
        <w:rPr>
          <w:rFonts w:ascii="宋体" w:hAnsi="宋体" w:cs="宋体" w:hint="eastAsia"/>
          <w:color w:val="000000"/>
          <w:sz w:val="18"/>
          <w:szCs w:val="18"/>
          <w:lang w:eastAsia="zh-CN"/>
        </w:rPr>
        <w:t>）</w:t>
      </w:r>
    </w:p>
    <w:p w14:paraId="6D95B4C8" w14:textId="77777777" w:rsidR="00197200" w:rsidRDefault="00197200" w:rsidP="00197200">
      <w:pPr>
        <w:framePr w:w="9072" w:h="2030" w:hRule="exact" w:hSpace="187" w:vSpace="187" w:wrap="notBeside" w:vAnchor="text" w:hAnchor="page" w:x="1555" w:y="2765"/>
        <w:autoSpaceDE/>
        <w:jc w:val="center"/>
        <w:rPr>
          <w:rFonts w:ascii="宋体" w:hAnsi="宋体" w:cs="宋体" w:hint="eastAsia"/>
          <w:sz w:val="24"/>
          <w:szCs w:val="24"/>
          <w:lang w:eastAsia="zh-CN"/>
        </w:rPr>
      </w:pPr>
      <w:r w:rsidRPr="00DA4ADE">
        <w:rPr>
          <w:rFonts w:ascii="宋体" w:hAnsi="宋体" w:cs="宋体" w:hint="eastAsia"/>
          <w:color w:val="000000"/>
          <w:sz w:val="18"/>
          <w:szCs w:val="18"/>
          <w:lang w:eastAsia="zh-CN"/>
        </w:rPr>
        <w:t>本研究由</w:t>
      </w:r>
      <w:r>
        <w:rPr>
          <w:rFonts w:ascii="宋体" w:hAnsi="宋体" w:cs="宋体" w:hint="eastAsia"/>
          <w:color w:val="000000"/>
          <w:sz w:val="18"/>
          <w:szCs w:val="18"/>
          <w:lang w:eastAsia="zh-CN"/>
        </w:rPr>
        <w:t>每天都不知道吃什么</w:t>
      </w:r>
      <w:r w:rsidRPr="00DA4ADE">
        <w:rPr>
          <w:rFonts w:ascii="宋体" w:hAnsi="宋体" w:cs="宋体" w:hint="eastAsia"/>
          <w:color w:val="000000"/>
          <w:sz w:val="18"/>
          <w:szCs w:val="18"/>
          <w:lang w:eastAsia="zh-CN"/>
        </w:rPr>
        <w:t>基金资助（项目编号：</w:t>
      </w:r>
      <w:r>
        <w:rPr>
          <w:rFonts w:ascii="LMRoman9-Regular-Identity-H" w:hAnsi="LMRoman9-Regular-Identity-H" w:cs="宋体" w:hint="eastAsia"/>
          <w:color w:val="000000"/>
          <w:sz w:val="18"/>
          <w:szCs w:val="18"/>
          <w:lang w:eastAsia="zh-CN"/>
        </w:rPr>
        <w:t>GPT-501020</w:t>
      </w:r>
      <w:r w:rsidRPr="00DA4ADE">
        <w:rPr>
          <w:rFonts w:ascii="宋体" w:hAnsi="宋体" w:cs="宋体" w:hint="eastAsia"/>
          <w:color w:val="000000"/>
          <w:sz w:val="18"/>
          <w:szCs w:val="18"/>
          <w:lang w:eastAsia="zh-CN"/>
        </w:rPr>
        <w:t>）</w:t>
      </w:r>
    </w:p>
    <w:p w14:paraId="557CAF2C" w14:textId="77777777" w:rsidR="00D912C2" w:rsidRDefault="009B78FF" w:rsidP="00D912C2">
      <w:pPr>
        <w:autoSpaceDE/>
        <w:autoSpaceDN/>
        <w:rPr>
          <w:b/>
          <w:color w:val="800080"/>
          <w:sz w:val="21"/>
          <w:lang w:eastAsia="zh-CN"/>
        </w:rPr>
      </w:pPr>
      <w:r>
        <w:rPr>
          <w:b/>
          <w:color w:val="800080"/>
          <w:sz w:val="21"/>
          <w:lang w:eastAsia="zh-CN"/>
        </w:rPr>
        <w:t xml:space="preserve">ABSTRACT / </w:t>
      </w:r>
      <w:r>
        <w:rPr>
          <w:b/>
          <w:color w:val="800080"/>
          <w:sz w:val="21"/>
          <w:lang w:eastAsia="zh-CN"/>
        </w:rPr>
        <w:t>摘要</w:t>
      </w:r>
      <w:r>
        <w:rPr>
          <w:b/>
          <w:color w:val="800080"/>
          <w:sz w:val="21"/>
          <w:lang w:eastAsia="zh-CN"/>
        </w:rPr>
        <w:t xml:space="preserve">  </w:t>
      </w:r>
    </w:p>
    <w:p w14:paraId="10D60C5E" w14:textId="29406EF2" w:rsidR="00D912C2" w:rsidRDefault="00D912C2" w:rsidP="00D912C2">
      <w:pPr>
        <w:autoSpaceDE/>
        <w:autoSpaceDN/>
        <w:ind w:firstLine="202"/>
        <w:rPr>
          <w:b/>
          <w:color w:val="800080"/>
          <w:sz w:val="21"/>
          <w:lang w:eastAsia="zh-CN"/>
        </w:rPr>
      </w:pPr>
      <w:r w:rsidRPr="00D912C2">
        <w:rPr>
          <w:color w:val="000000"/>
          <w:sz w:val="18"/>
          <w:lang w:eastAsia="zh-CN"/>
        </w:rPr>
        <w:t>如果一个大模型扮演了一千次</w:t>
      </w:r>
      <w:r>
        <w:rPr>
          <w:rFonts w:hint="eastAsia"/>
          <w:color w:val="000000"/>
          <w:sz w:val="18"/>
          <w:lang w:eastAsia="zh-CN"/>
        </w:rPr>
        <w:t>“</w:t>
      </w:r>
      <w:r w:rsidRPr="00D912C2">
        <w:rPr>
          <w:color w:val="000000"/>
          <w:sz w:val="18"/>
          <w:lang w:eastAsia="zh-CN"/>
        </w:rPr>
        <w:t>孤独</w:t>
      </w:r>
      <w:r>
        <w:rPr>
          <w:rFonts w:hint="eastAsia"/>
          <w:color w:val="000000"/>
          <w:sz w:val="18"/>
          <w:lang w:eastAsia="zh-CN"/>
        </w:rPr>
        <w:t>患者”</w:t>
      </w:r>
      <w:r w:rsidRPr="00D912C2">
        <w:rPr>
          <w:color w:val="000000"/>
          <w:sz w:val="18"/>
          <w:lang w:eastAsia="zh-CN"/>
        </w:rPr>
        <w:t>，我们得到的是一千名参与者，还是同一个模型对</w:t>
      </w:r>
      <w:r w:rsidRPr="00D912C2">
        <w:rPr>
          <w:color w:val="000000"/>
          <w:sz w:val="18"/>
          <w:lang w:eastAsia="zh-CN"/>
        </w:rPr>
        <w:t>“</w:t>
      </w:r>
      <w:r w:rsidRPr="00D912C2">
        <w:rPr>
          <w:color w:val="000000"/>
          <w:sz w:val="18"/>
          <w:lang w:eastAsia="zh-CN"/>
        </w:rPr>
        <w:t>孤独</w:t>
      </w:r>
      <w:r>
        <w:rPr>
          <w:rFonts w:hint="eastAsia"/>
          <w:color w:val="000000"/>
          <w:sz w:val="18"/>
          <w:lang w:eastAsia="zh-CN"/>
        </w:rPr>
        <w:t>患者</w:t>
      </w:r>
      <w:r w:rsidRPr="00D912C2">
        <w:rPr>
          <w:color w:val="000000"/>
          <w:sz w:val="18"/>
          <w:lang w:eastAsia="zh-CN"/>
        </w:rPr>
        <w:t>”</w:t>
      </w:r>
      <w:r w:rsidRPr="00D912C2">
        <w:rPr>
          <w:color w:val="000000"/>
          <w:sz w:val="18"/>
          <w:lang w:eastAsia="zh-CN"/>
        </w:rPr>
        <w:t>的一千次想象？本文以</w:t>
      </w:r>
      <w:r w:rsidRPr="00D912C2">
        <w:rPr>
          <w:color w:val="000000"/>
          <w:sz w:val="18"/>
          <w:lang w:eastAsia="zh-CN"/>
        </w:rPr>
        <w:t>AI</w:t>
      </w:r>
      <w:r w:rsidRPr="00D912C2">
        <w:rPr>
          <w:color w:val="000000"/>
          <w:sz w:val="18"/>
          <w:lang w:eastAsia="zh-CN"/>
        </w:rPr>
        <w:t>陪伴安全评测为场景，考察不同大模型扮演的虚拟用户是否会改变实验结果。我们比较了三种</w:t>
      </w:r>
      <w:r w:rsidRPr="00D912C2">
        <w:rPr>
          <w:color w:val="000000"/>
          <w:sz w:val="18"/>
          <w:lang w:eastAsia="zh-CN"/>
        </w:rPr>
        <w:t>AI</w:t>
      </w:r>
      <w:r w:rsidRPr="00D912C2">
        <w:rPr>
          <w:color w:val="000000"/>
          <w:sz w:val="18"/>
          <w:lang w:eastAsia="zh-CN"/>
        </w:rPr>
        <w:t>伴侣模型、三类关系策略、两种用户模拟器以及规则评估、大模型评审与组合评估。结果显示，高奉承策略在三个伴侣模型中均表现出更高的奉承风险，但风险增幅并不相同；</w:t>
      </w:r>
      <w:r w:rsidRPr="00D912C2">
        <w:rPr>
          <w:color w:val="000000"/>
          <w:sz w:val="18"/>
          <w:lang w:eastAsia="zh-CN"/>
        </w:rPr>
        <w:t>MiniMax</w:t>
      </w:r>
      <w:r w:rsidRPr="00D912C2">
        <w:rPr>
          <w:color w:val="000000"/>
          <w:sz w:val="18"/>
          <w:lang w:eastAsia="zh-CN"/>
        </w:rPr>
        <w:t>与</w:t>
      </w:r>
      <w:r w:rsidRPr="00D912C2">
        <w:rPr>
          <w:color w:val="000000"/>
          <w:sz w:val="18"/>
          <w:lang w:eastAsia="zh-CN"/>
        </w:rPr>
        <w:t>Kimi</w:t>
      </w:r>
      <w:r w:rsidRPr="00D912C2">
        <w:rPr>
          <w:color w:val="000000"/>
          <w:sz w:val="18"/>
          <w:lang w:eastAsia="zh-CN"/>
        </w:rPr>
        <w:t>模拟出的用户在</w:t>
      </w:r>
      <w:r w:rsidRPr="00D912C2">
        <w:rPr>
          <w:color w:val="000000"/>
          <w:sz w:val="18"/>
          <w:lang w:eastAsia="zh-CN"/>
        </w:rPr>
        <w:t>AI</w:t>
      </w:r>
      <w:r w:rsidRPr="00D912C2">
        <w:rPr>
          <w:color w:val="000000"/>
          <w:sz w:val="18"/>
          <w:lang w:eastAsia="zh-CN"/>
        </w:rPr>
        <w:t>伴侣和现实朋友之间呈现出显著不同的互动分配；自动评估器之间也存在明显分歧，组合评估虽优于单一方法，但仍不足以替代人工复核。基于这些结果，本文提出</w:t>
      </w:r>
      <w:r w:rsidRPr="00D912C2">
        <w:rPr>
          <w:color w:val="000000"/>
          <w:sz w:val="18"/>
          <w:lang w:eastAsia="zh-CN"/>
        </w:rPr>
        <w:t>“</w:t>
      </w:r>
      <w:r w:rsidR="006146F0">
        <w:rPr>
          <w:rFonts w:hint="eastAsia"/>
          <w:color w:val="000000"/>
          <w:sz w:val="18"/>
          <w:lang w:eastAsia="zh-CN"/>
        </w:rPr>
        <w:t>agents</w:t>
      </w:r>
      <w:r w:rsidRPr="00D912C2">
        <w:rPr>
          <w:color w:val="000000"/>
          <w:sz w:val="18"/>
          <w:lang w:eastAsia="zh-CN"/>
        </w:rPr>
        <w:t>代表性幻觉</w:t>
      </w:r>
      <w:r w:rsidRPr="00D912C2">
        <w:rPr>
          <w:color w:val="000000"/>
          <w:sz w:val="18"/>
          <w:lang w:eastAsia="zh-CN"/>
        </w:rPr>
        <w:t>”</w:t>
      </w:r>
      <w:r w:rsidRPr="00D912C2">
        <w:rPr>
          <w:color w:val="000000"/>
          <w:sz w:val="18"/>
          <w:lang w:eastAsia="zh-CN"/>
        </w:rPr>
        <w:t>，指研究者因虚拟用户能够流畅地表达情绪和身份，而高估其对真实人群的代表性。本文认为，生成式用户不是透明的替身，而是测量系统的一部分。虚拟社会可以用于压力测试和假说生成，但不能未经校准地充当真人证据。</w:t>
      </w:r>
    </w:p>
    <w:p w14:paraId="11F002C0" w14:textId="77777777" w:rsidR="006E60F7" w:rsidRDefault="006E60F7" w:rsidP="002B4488">
      <w:pPr>
        <w:autoSpaceDE/>
        <w:autoSpaceDN/>
        <w:rPr>
          <w:b/>
          <w:color w:val="800080"/>
          <w:sz w:val="21"/>
        </w:rPr>
      </w:pPr>
    </w:p>
    <w:p w14:paraId="34800DF5" w14:textId="177AE28B" w:rsidR="002B4488" w:rsidRDefault="00F631AB" w:rsidP="00062F42">
      <w:pPr>
        <w:autoSpaceDE/>
        <w:autoSpaceDN/>
        <w:rPr>
          <w:color w:val="000000"/>
          <w:sz w:val="18"/>
          <w:lang w:eastAsia="zh-CN"/>
        </w:rPr>
      </w:pPr>
      <w:r>
        <w:rPr>
          <w:b/>
          <w:color w:val="800080"/>
          <w:sz w:val="21"/>
          <w:lang w:eastAsia="zh-CN"/>
        </w:rPr>
        <w:t xml:space="preserve">INDEX TERMS / </w:t>
      </w:r>
      <w:r>
        <w:rPr>
          <w:b/>
          <w:color w:val="800080"/>
          <w:sz w:val="21"/>
          <w:lang w:eastAsia="zh-CN"/>
        </w:rPr>
        <w:t>关键词</w:t>
      </w:r>
      <w:r>
        <w:rPr>
          <w:b/>
          <w:color w:val="800080"/>
          <w:sz w:val="21"/>
          <w:lang w:eastAsia="zh-CN"/>
        </w:rPr>
        <w:t xml:space="preserve">  </w:t>
      </w:r>
      <w:r w:rsidR="00062F42" w:rsidRPr="00062F42">
        <w:rPr>
          <w:color w:val="000000"/>
          <w:sz w:val="18"/>
          <w:lang w:eastAsia="zh-CN"/>
        </w:rPr>
        <w:t>关键词：生成式用户模拟；虚拟用户；</w:t>
      </w:r>
      <w:r w:rsidR="00062F42" w:rsidRPr="00062F42">
        <w:rPr>
          <w:color w:val="000000"/>
          <w:sz w:val="18"/>
          <w:lang w:eastAsia="zh-CN"/>
        </w:rPr>
        <w:t>AI</w:t>
      </w:r>
      <w:r w:rsidR="00062F42" w:rsidRPr="00062F42">
        <w:rPr>
          <w:color w:val="000000"/>
          <w:sz w:val="18"/>
          <w:lang w:eastAsia="zh-CN"/>
        </w:rPr>
        <w:t>陪伴；模型依赖；大模型评估；合成社会实验</w:t>
      </w:r>
    </w:p>
    <w:p w14:paraId="00ADCBD4" w14:textId="77777777" w:rsidR="00062F42" w:rsidRPr="002B4488" w:rsidRDefault="00062F42" w:rsidP="00062F42">
      <w:pPr>
        <w:autoSpaceDE/>
        <w:autoSpaceDN/>
        <w:rPr>
          <w:rFonts w:hint="eastAsia"/>
          <w:caps/>
          <w:color w:val="800080"/>
          <w:lang w:eastAsia="zh-CN"/>
        </w:rPr>
      </w:pPr>
    </w:p>
    <w:p w14:paraId="2FA44799" w14:textId="753C730A" w:rsidR="00604C08" w:rsidRDefault="00F82B3A" w:rsidP="002B4488">
      <w:pPr>
        <w:autoSpaceDE/>
        <w:autoSpaceDN/>
        <w:rPr>
          <w:rFonts w:ascii="宋体" w:hAnsi="宋体" w:cs="宋体" w:hint="eastAsia"/>
          <w:color w:val="000000"/>
          <w:lang w:eastAsia="zh-CN"/>
        </w:rPr>
      </w:pPr>
      <w:r>
        <w:rPr>
          <w:b/>
          <w:color w:val="800080"/>
          <w:sz w:val="21"/>
          <w:lang w:eastAsia="zh-CN"/>
        </w:rPr>
        <w:t xml:space="preserve">IMPACT STATEMENT / </w:t>
      </w:r>
      <w:r>
        <w:rPr>
          <w:b/>
          <w:color w:val="800080"/>
          <w:sz w:val="21"/>
          <w:lang w:eastAsia="zh-CN"/>
        </w:rPr>
        <w:t>影响声明</w:t>
      </w:r>
      <w:r>
        <w:rPr>
          <w:b/>
          <w:color w:val="800080"/>
          <w:sz w:val="21"/>
          <w:lang w:eastAsia="zh-CN"/>
        </w:rPr>
        <w:t xml:space="preserve">  </w:t>
      </w:r>
      <w:r w:rsidR="006E60F7" w:rsidRPr="006E60F7">
        <w:rPr>
          <w:color w:val="000000"/>
          <w:sz w:val="18"/>
          <w:lang w:eastAsia="zh-CN"/>
        </w:rPr>
        <w:t>本文提醒使用</w:t>
      </w:r>
      <w:r w:rsidR="006E60F7" w:rsidRPr="006E60F7">
        <w:rPr>
          <w:color w:val="000000"/>
          <w:sz w:val="18"/>
          <w:lang w:eastAsia="zh-CN"/>
        </w:rPr>
        <w:t>“</w:t>
      </w:r>
      <w:r w:rsidR="006E60F7" w:rsidRPr="006E60F7">
        <w:rPr>
          <w:color w:val="000000"/>
          <w:sz w:val="18"/>
          <w:lang w:eastAsia="zh-CN"/>
        </w:rPr>
        <w:t>虚拟用户</w:t>
      </w:r>
      <w:r w:rsidR="006E60F7" w:rsidRPr="006E60F7">
        <w:rPr>
          <w:color w:val="000000"/>
          <w:sz w:val="18"/>
          <w:lang w:eastAsia="zh-CN"/>
        </w:rPr>
        <w:t>”</w:t>
      </w:r>
      <w:r w:rsidR="006E60F7" w:rsidRPr="006E60F7">
        <w:rPr>
          <w:color w:val="000000"/>
          <w:sz w:val="18"/>
          <w:lang w:eastAsia="zh-CN"/>
        </w:rPr>
        <w:t>的研究者与企业：大量合成轨迹并不等于大量真实样本。不同模型可能扮演出不同的用户，因此模拟器来源、行为偏差和人工校准都应成为实验报告的一部分。</w:t>
      </w:r>
    </w:p>
    <w:p w14:paraId="4C5B7905" w14:textId="77777777" w:rsidR="002B4488" w:rsidRPr="002B4488" w:rsidRDefault="002B4488" w:rsidP="002B4488">
      <w:pPr>
        <w:autoSpaceDE/>
        <w:autoSpaceDN/>
        <w:rPr>
          <w:rFonts w:ascii="宋体" w:hAnsi="宋体" w:cs="宋体" w:hint="eastAsia"/>
          <w:sz w:val="28"/>
          <w:szCs w:val="28"/>
          <w:lang w:eastAsia="zh-CN"/>
        </w:rPr>
      </w:pPr>
    </w:p>
    <w:p w14:paraId="6C3E96BF" w14:textId="77777777" w:rsidR="00CB2E00" w:rsidRDefault="00CB2E00" w:rsidP="00CB2E00">
      <w:pPr>
        <w:widowControl w:val="0"/>
        <w:adjustRightInd w:val="0"/>
        <w:rPr>
          <w:rFonts w:ascii="Times" w:hAnsi="Times" w:cs="Times"/>
          <w:sz w:val="24"/>
          <w:szCs w:val="24"/>
          <w:lang w:eastAsia="zh-CN"/>
        </w:rPr>
        <w:sectPr w:rsidR="00CB2E00" w:rsidSect="00C67D82">
          <w:headerReference w:type="default" r:id="rId8"/>
          <w:type w:val="continuous"/>
          <w:pgSz w:w="12240" w:h="15840" w:code="1"/>
          <w:pgMar w:top="1008" w:right="936" w:bottom="1008" w:left="936" w:header="432" w:footer="432" w:gutter="0"/>
          <w:cols w:space="720"/>
          <w:docGrid w:linePitch="272"/>
        </w:sectPr>
      </w:pPr>
    </w:p>
    <w:p w14:paraId="382A06BD" w14:textId="77777777" w:rsidR="00BF419F" w:rsidRDefault="00000000">
      <w:pPr>
        <w:pStyle w:val="1"/>
      </w:pPr>
      <w:r>
        <w:rPr>
          <w:color w:val="000000"/>
        </w:rPr>
        <w:t xml:space="preserve">INTRODUCTION / </w:t>
      </w:r>
      <w:r>
        <w:rPr>
          <w:color w:val="000000"/>
        </w:rPr>
        <w:t>引言：一万个虚拟用户，真的等于一万个人吗？</w:t>
      </w:r>
    </w:p>
    <w:p w14:paraId="3F51431F" w14:textId="77777777" w:rsidR="00BF419F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如果一个大模型扮演了一千次孤独青年，我们究竟获得了一千名参与者，还是获得了同一个模型对</w:t>
      </w:r>
      <w:r>
        <w:rPr>
          <w:color w:val="000000"/>
          <w:sz w:val="18"/>
          <w:lang w:eastAsia="zh-CN"/>
        </w:rPr>
        <w:t>“</w:t>
      </w:r>
      <w:r>
        <w:rPr>
          <w:color w:val="000000"/>
          <w:sz w:val="18"/>
          <w:lang w:eastAsia="zh-CN"/>
        </w:rPr>
        <w:t>孤独青年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的一千次想象？</w:t>
      </w:r>
    </w:p>
    <w:p>
      <w:pPr>
        <w:pStyle w:val="1"/>
        <w:keepNext/>
      </w:pPr>
      <w:r>
        <w:rPr>
          <w:rFonts w:ascii="Times New Roman" w:hAnsi="Times New Roman" w:eastAsia="SimSun"/>
          <w:i w:val="0"/>
          <w:color w:val="000000"/>
          <w:sz w:val="20"/>
        </w:rPr>
        <w:t>INTRODUCTION / 引言：一千个虚拟用户，还是一个模型的一千次想象？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如果一个大模型扮演了一千次孤独青年，我们究竟获得了一千名参与者，还是获得了同一个模型对“孤独青年”的一千次想象？两者都可以产生一千条记录，也都可以形成看似丰富的语言差异，但它们对应的证据完全不同。前者是人群样本，后者是一个生成系统在既定提示、行动空间和解码条件下的重复输出。把记录数直接理解为人数，会把计算规模误当成社会代表性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AI 陪伴为检验这一问题提供了一个敏感而清晰的场景。陪伴系统不仅回答问题，还会赞同、安抚、挑战、设置边界，并在多轮互动中影响用户是否继续靠近伴侣、转向朋友或退出关系。第一篇论文从情感熵增与算法过拟合的角度提出伦理问题[7]；本研究进一步追问测量问题：当用户本身也由模型生成时，我们观察到的“依赖”“奉承”或“边界尊重”，究竟来自被测伴侣，还是同时来自扮演用户的模型与判断风险的评估器？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我们使用 RelSafe Sim Benchmark v0.1.0 的冻结输出开展三个 pilot 实验。实验一比较三个伴侣模型在三种关系策略下的奉承风险；实验二把同一组 persona、场景和行动空间交给两个用户模拟器，观察关系节点调用如何变化；实验三用 44 条人工标注样本校准规则评估器、独立大模型评估器与标签级组合。结果形成一条一致的证据链：策略方向可以跨伴侣模型保持稳定，效应大小却会随模型变化；用户模拟器会改变虚拟关系结构；评估器的选择又会改变哪些风险被看见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 xml:space="preserve">本文的核心命题是：观察风险不是基础模型的固定属性，而是整个测量系统的输出，即 </w:t>
      </w:r>
      <w:r>
        <w:rPr>
          <w:rFonts w:ascii="Consolas" w:hAnsi="Consolas" w:eastAsia="SimSun"/>
          <w:color w:val="000000"/>
          <w:sz w:val="17"/>
        </w:rPr>
        <w:t>Observed Risk = f(Companion Model, Relationship Policy, User Simulator, Evaluator, Scenario)</w:t>
      </w:r>
      <w:r>
        <w:rPr>
          <w:rFonts w:ascii="Times New Roman" w:hAnsi="Times New Roman" w:eastAsia="SimSun"/>
          <w:color w:val="000000"/>
          <w:sz w:val="18"/>
        </w:rPr>
        <w:t>。本文有三项贡献。第一，提出代理人代表性幻觉，将语言拟真与人群代表性明确分开。第二，用跨模型、跨模拟器和跨评估器的冻结结果说明，生成式用户代理必须被登记为实验因素。第三，提出一组面向生成式用户研究的报告原则，使负面结果、测量误差和外部验证边界成为正文的一部分，而不是被隐藏在附录里。</w:t>
      </w:r>
    </w:p>
    <w:p>
      <w:pPr>
        <w:pStyle w:val="1"/>
        <w:keepNext/>
      </w:pPr>
      <w:r>
        <w:rPr>
          <w:rFonts w:ascii="Times New Roman" w:hAnsi="Times New Roman" w:eastAsia="SimSun"/>
          <w:i w:val="0"/>
          <w:color w:val="000000"/>
          <w:sz w:val="20"/>
        </w:rPr>
        <w:t>WHY HUMAN-LIKE IS NOT REPRESENTATIVE / 为什么“像人”不等于“代表人”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生成式智能体已经能够维持记忆、反思和计划，并表现出连贯的日常行为[1]。所谓“硅样本”（silicon samples）研究进一步尝试让语言模型模拟带有身份条件的人群[2]；Turing Experiments 则用模型复现部分经典实验结果[3]。这些工作表明，大模型可以成为低成本的行为生成器。然而，“能够生成可信角色”与“能够代表一个人群”之间仍隔着抽样、测量和外部效度三道门槛。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第一道门槛是抽样。真实样本的变异来自不同个体的经历、约束和选择；合成样本的变异则受同一模型、提示模板、温度和行动空间共同限制。即使每条输出措辞不同，它们也可能共享训练语料中的同一套刻板印象。增加生成次数可以减小随机误差，却不会自动消除同源偏差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第二道门槛是测量。一个代理说“我很孤独”，只能说明模型生成了这句话，不能自动说明它具有与真人孤独量表相同的构念含义。语言表面效度、行动分布、构念效度与真实人群代表性是四类不同证据。它们可以互相支持，不能互相替代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第三道门槛是外部效度。AI 陪伴中的选择发生在研究者设计的节点和选项中。代理可以选择与 Companion 交谈、联系 Friend、独处或请求退出，但这些动作并不覆盖现实关系中的沉默、拖延、线下求助、经济约束与社会压力。因此，合成轨迹首先回答“模型在这个实验世界里怎样行动”，而不是“某类真人通常怎样行动”。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判断者同样带来偏差。规则评估器可复现，但容易漏掉隐含语义；大模型评估器（LLM-as-a-Judge）能处理上下文，却可能受位置、风格、模型家族与语言影响[4][5]。在 AI 陪伴研究中，问题因此不是选择一个看似最聪明的裁判，而是说明不同裁判各自能看见什么、会漏掉什么，以及人工校准能支持多强的结论。</w:t>
      </w:r>
    </w:p>
    <w:p>
      <w:pPr>
        <w:pStyle w:val="1"/>
        <w:keepNext/>
      </w:pPr>
      <w:r>
        <w:rPr>
          <w:rFonts w:ascii="Times New Roman" w:hAnsi="Times New Roman" w:eastAsia="SimSun"/>
          <w:i w:val="0"/>
          <w:color w:val="000000"/>
          <w:sz w:val="20"/>
        </w:rPr>
        <w:t>AGENT REPRESENTATIVENESS ILLUSION / 代理人代表性幻觉</w:t>
      </w:r>
    </w:p>
    <w:p>
      <w:pPr>
        <w:pStyle w:val="2"/>
        <w:keepNext/>
      </w:pPr>
      <w:r>
        <w:rPr>
          <w:rFonts w:ascii="Times New Roman" w:hAnsi="Times New Roman" w:eastAsia="SimSun"/>
          <w:i/>
          <w:color w:val="000000"/>
          <w:sz w:val="18"/>
        </w:rPr>
        <w:t>概念定义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本文提出“代理人代表性幻觉”（Agent Representativeness Illusion, ARI）：当生成式代理能够流畅地表达某类人群的语言、情绪和身份时，研究者容易高估其行为对真实个体或真实人群的代表性。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ARI 指向的是研究者与工具之间可能出现的推断错误。它不是对代理的心理诊断，不是已经验证的心理量表，也不能用于评价真实个体。本文没有测量任何人的“ARI 分数”，也不主张所有生成式模拟都缺乏价值。这个概念只要求研究者在从“像”推到“代表”之前，补上独立证据。</w:t>
      </w:r>
    </w:p>
    <w:p>
      <w:pPr>
        <w:pStyle w:val="2"/>
        <w:keepNext/>
      </w:pPr>
      <w:r>
        <w:rPr>
          <w:rFonts w:ascii="Times New Roman" w:hAnsi="Times New Roman" w:eastAsia="SimSun"/>
          <w:i/>
          <w:color w:val="000000"/>
          <w:sz w:val="18"/>
        </w:rPr>
        <w:t>ARI 如何发生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ARI 至少经过三步形成。第一，模型生成具有表面可信度的语言。第二，研究者把语言自然度当成行为分布的外部效度。第三，研究者开始用“参与者”“样本偏好”或“人群比例”描述合成轨迹。此时，模型条件化的输出被误读为人口条件化的证据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这种错误在情绪场景中尤其容易发生。陪伴对话包含脆弱、自责、依恋和安慰，文本越具体，读者越容易产生“这像一个真实的人”的判断。但情感感染力只能说明文本具有说服力，不能说明代理的选择频率、退出阈值或求助路径与真人相同。</w:t>
      </w:r>
    </w:p>
    <w:p>
      <w:pPr>
        <w:pStyle w:val="2"/>
        <w:keepNext/>
      </w:pPr>
      <w:r>
        <w:rPr>
          <w:rFonts w:ascii="Times New Roman" w:hAnsi="Times New Roman" w:eastAsia="SimSun"/>
          <w:i/>
          <w:color w:val="000000"/>
          <w:sz w:val="18"/>
        </w:rPr>
        <w:t>三种模型依赖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为了避免把“稳定”写成一句含混的评价，本文区分三种模型依赖。水平依赖（Level Dependence）指模型或模拟器改变绝对数值，但预先指定的方向对比保持不变；排序依赖（Rank Dependence）指条件或策略的相对排序改变；结论依赖（Conclusion Dependence）指研究的核心判断发生改变或反转。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这一区分决定了证据可以支持什么。方向一致但幅度不同，只能说明当前对比具有方向稳定性和水平依赖；它不能推出模型可互换，更不能推出在未测试模型上必然保持同样排序。本文以下三个实验都遵循这一判定边界。</w:t>
      </w:r>
    </w:p>
    <w:p>
      <w:pPr>
        <w:pStyle w:val="1"/>
        <w:keepNext/>
      </w:pPr>
      <w:r>
        <w:rPr>
          <w:rFonts w:ascii="Times New Roman" w:hAnsi="Times New Roman" w:eastAsia="SimSun"/>
          <w:i w:val="0"/>
          <w:color w:val="000000"/>
          <w:sz w:val="20"/>
        </w:rPr>
        <w:t>RESEARCH DESIGN / 研究设计</w:t>
      </w:r>
    </w:p>
    <w:p>
      <w:pPr>
        <w:pStyle w:val="2"/>
        <w:keepNext/>
      </w:pPr>
      <w:r>
        <w:rPr>
          <w:rFonts w:ascii="Times New Roman" w:hAnsi="Times New Roman" w:eastAsia="SimSun"/>
          <w:i/>
          <w:color w:val="000000"/>
          <w:sz w:val="18"/>
        </w:rPr>
        <w:t>系统与分析单位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RelSafe Sim 是用于多轮 AI 关系安全研究的模块化模拟与评测系统。系统把用户模拟器、伴侣模型、关系策略、场景、平台行动与评估器分开，并输出结构化 Episode、事件和分项指标。本文的分析单位是合成 Episode 或合成轨迹，不是真人参与者。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研究关注四组关系安全指标：奉承性风险、现实校验质量、退出安全与身份连续性。前三个实验分别检验策略效应能否跨伴侣模型保持方向、用户模拟器是否改变关系节点分配，以及不同评估器是否作出一致判断。所有结果均来自已冻结输出，没有重新运行实验，也没有补算统计显著性。</w:t>
      </w:r>
    </w:p>
    <w:p>
      <w:pPr>
        <w:pStyle w:val="2"/>
        <w:keepNext/>
      </w:pPr>
      <w:r>
        <w:rPr>
          <w:rFonts w:ascii="Times New Roman" w:hAnsi="Times New Roman" w:eastAsia="SimSun"/>
          <w:i/>
          <w:color w:val="000000"/>
          <w:sz w:val="18"/>
        </w:rPr>
        <w:t>模型角色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 xml:space="preserve">跨模型实验使用 MiniMax </w:t>
      </w:r>
      <w:r>
        <w:rPr>
          <w:rFonts w:ascii="Consolas" w:hAnsi="Consolas" w:eastAsia="SimSun"/>
          <w:color w:val="000000"/>
          <w:sz w:val="17"/>
        </w:rPr>
        <w:t>abab6.5s-chat</w:t>
      </w:r>
      <w:r>
        <w:rPr>
          <w:rFonts w:ascii="Times New Roman" w:hAnsi="Times New Roman" w:eastAsia="SimSun"/>
          <w:color w:val="000000"/>
          <w:sz w:val="18"/>
        </w:rPr>
        <w:t xml:space="preserve"> 作为用户模拟器，DeepSeek </w:t>
      </w:r>
      <w:r>
        <w:rPr>
          <w:rFonts w:ascii="Consolas" w:hAnsi="Consolas" w:eastAsia="SimSun"/>
          <w:color w:val="000000"/>
          <w:sz w:val="17"/>
        </w:rPr>
        <w:t>deepseek-chat</w:t>
      </w:r>
      <w:r>
        <w:rPr>
          <w:rFonts w:ascii="Times New Roman" w:hAnsi="Times New Roman" w:eastAsia="SimSun"/>
          <w:color w:val="000000"/>
          <w:sz w:val="18"/>
        </w:rPr>
        <w:t xml:space="preserve">、Qwen </w:t>
      </w:r>
      <w:r>
        <w:rPr>
          <w:rFonts w:ascii="Consolas" w:hAnsi="Consolas" w:eastAsia="SimSun"/>
          <w:color w:val="000000"/>
          <w:sz w:val="17"/>
        </w:rPr>
        <w:t>qwen-flash</w:t>
      </w:r>
      <w:r>
        <w:rPr>
          <w:rFonts w:ascii="Times New Roman" w:hAnsi="Times New Roman" w:eastAsia="SimSun"/>
          <w:color w:val="000000"/>
          <w:sz w:val="18"/>
        </w:rPr>
        <w:t xml:space="preserve"> 与 GLM </w:t>
      </w:r>
      <w:r>
        <w:rPr>
          <w:rFonts w:ascii="Consolas" w:hAnsi="Consolas" w:eastAsia="SimSun"/>
          <w:color w:val="000000"/>
          <w:sz w:val="17"/>
        </w:rPr>
        <w:t>glm-4-flashx</w:t>
      </w:r>
      <w:r>
        <w:rPr>
          <w:rFonts w:ascii="Times New Roman" w:hAnsi="Times New Roman" w:eastAsia="SimSun"/>
          <w:color w:val="000000"/>
          <w:sz w:val="18"/>
        </w:rPr>
        <w:t xml:space="preserve"> 作为伴侣模型。纵向模拟比较 MiniMax </w:t>
      </w:r>
      <w:r>
        <w:rPr>
          <w:rFonts w:ascii="Consolas" w:hAnsi="Consolas" w:eastAsia="SimSun"/>
          <w:color w:val="000000"/>
          <w:sz w:val="17"/>
        </w:rPr>
        <w:t>abab6.5s-chat</w:t>
      </w:r>
      <w:r>
        <w:rPr>
          <w:rFonts w:ascii="Times New Roman" w:hAnsi="Times New Roman" w:eastAsia="SimSun"/>
          <w:color w:val="000000"/>
          <w:sz w:val="18"/>
        </w:rPr>
        <w:t xml:space="preserve"> 与 Kimi </w:t>
      </w:r>
      <w:r>
        <w:rPr>
          <w:rFonts w:ascii="Consolas" w:hAnsi="Consolas" w:eastAsia="SimSun"/>
          <w:color w:val="000000"/>
          <w:sz w:val="17"/>
        </w:rPr>
        <w:t>moonshot-v1-8k</w:t>
      </w:r>
      <w:r>
        <w:rPr>
          <w:rFonts w:ascii="Times New Roman" w:hAnsi="Times New Roman" w:eastAsia="SimSun"/>
          <w:color w:val="000000"/>
          <w:sz w:val="18"/>
        </w:rPr>
        <w:t xml:space="preserve"> 两个用户模拟器。人工校准中的独立评估器为 Kimi </w:t>
      </w:r>
      <w:r>
        <w:rPr>
          <w:rFonts w:ascii="Consolas" w:hAnsi="Consolas" w:eastAsia="SimSun"/>
          <w:color w:val="000000"/>
          <w:sz w:val="17"/>
        </w:rPr>
        <w:t>moonshot-v1-8k</w:t>
      </w:r>
      <w:r>
        <w:rPr>
          <w:rFonts w:ascii="Times New Roman" w:hAnsi="Times New Roman" w:eastAsia="SimSun"/>
          <w:color w:val="000000"/>
          <w:sz w:val="18"/>
        </w:rPr>
        <w:t>。这些名称描述实验角色，不构成模型安全排名。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三种关系策略分别是有边界的支持、提高奉承倾向和现实校验。正文使用中文名称；内部 Policy 标识与精确版本信息集中列于复现说明。平台行动包括与伴侣交谈、联系朋友、独处和请求退出。模拟状态仅用于程序控制，不是临床变量。</w:t>
      </w:r>
    </w:p>
    <w:p>
      <w:pPr>
        <w:pStyle w:val="2"/>
        <w:keepNext/>
      </w:pPr>
      <w:r>
        <w:rPr>
          <w:rFonts w:ascii="Times New Roman" w:hAnsi="Times New Roman" w:eastAsia="SimSun"/>
          <w:i/>
          <w:color w:val="000000"/>
          <w:sz w:val="18"/>
        </w:rPr>
        <w:t>三组实验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 xml:space="preserve">实验一形成 </w:t>
      </w:r>
      <w:r>
        <w:rPr>
          <w:rFonts w:ascii="Consolas" w:hAnsi="Consolas" w:eastAsia="SimSun"/>
          <w:color w:val="000000"/>
          <w:sz w:val="17"/>
        </w:rPr>
        <w:t>3 个伴侣模型 × 3 个关系策略 × 2 个平台条件 × 3 个 seeds</w:t>
      </w:r>
      <w:r>
        <w:rPr>
          <w:rFonts w:ascii="Times New Roman" w:hAnsi="Times New Roman" w:eastAsia="SimSun"/>
          <w:color w:val="000000"/>
          <w:sz w:val="18"/>
        </w:rPr>
        <w:t xml:space="preserve"> 的 54 条短 Episode。实验二形成 </w:t>
      </w:r>
      <w:r>
        <w:rPr>
          <w:rFonts w:ascii="Consolas" w:hAnsi="Consolas" w:eastAsia="SimSun"/>
          <w:color w:val="000000"/>
          <w:sz w:val="17"/>
        </w:rPr>
        <w:t>2 个用户模拟器 × 3 个关系策略 × 2 个平台条件 × 2 个 seeds</w:t>
      </w:r>
      <w:r>
        <w:rPr>
          <w:rFonts w:ascii="Times New Roman" w:hAnsi="Times New Roman" w:eastAsia="SimSun"/>
          <w:color w:val="000000"/>
          <w:sz w:val="18"/>
        </w:rPr>
        <w:t xml:space="preserve"> 的 24 条 40-turn 轨迹。实验三使用 44 条 pilot items，其中 36 条来自模型回复，8 条是人工构造的边界案例；两位标注者独立标注，规则评估器、独立评估器与标签级组合均与人工共识比较。</w:t>
      </w:r>
    </w:p>
    <w:p>
      <w:pPr>
        <w:pStyle w:val="2"/>
        <w:keepNext/>
      </w:pPr>
      <w:r>
        <w:rPr>
          <w:rFonts w:ascii="Times New Roman" w:hAnsi="Times New Roman" w:eastAsia="SimSun"/>
          <w:i/>
          <w:color w:val="000000"/>
          <w:sz w:val="18"/>
        </w:rPr>
        <w:t>判断策略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实验一先比较预先指定的方向对比，再区分水平、排序和结论依赖。实验二报告行动范围、均值与有效轮次占比，不把模拟器行为解释为人群行为。实验三同时报告总体一致性、逐标签一致性、NOT_APPLICABLE 比例、Macro F1 以及假阳性、假阴性和零召回。44 条 pilot 标注只用于发现测量问题，不被解释为稳定的性能估计。</w:t>
      </w:r>
    </w:p>
    <w:p>
      <w:pPr>
        <w:pStyle w:val="1"/>
        <w:keepNext/>
      </w:pPr>
      <w:r>
        <w:rPr>
          <w:rFonts w:ascii="Times New Roman" w:hAnsi="Times New Roman" w:eastAsia="SimSun"/>
          <w:i w:val="0"/>
          <w:color w:val="000000"/>
          <w:sz w:val="20"/>
        </w:rPr>
        <w:t>THREE EXPERIMENTS / 三个实验</w:t>
      </w:r>
    </w:p>
    <w:p>
      <w:pPr>
        <w:pStyle w:val="2"/>
        <w:keepNext/>
      </w:pPr>
      <w:r>
        <w:rPr>
          <w:rFonts w:ascii="Times New Roman" w:hAnsi="Times New Roman" w:eastAsia="SimSun"/>
          <w:i/>
          <w:color w:val="000000"/>
          <w:sz w:val="18"/>
        </w:rPr>
        <w:t>实验一：策略方向稳定，效应幅度依赖模型</w:t>
      </w:r>
    </w:p>
    <w:p>
      <w:pPr>
        <w:spacing w:after="0" w:line="240" w:lineRule="auto"/>
        <w:ind w:firstLine="0"/>
        <w:jc w:val="both"/>
      </w:pPr>
      <w:r>
        <w:rPr>
          <w:rFonts w:ascii="Times New Roman" w:hAnsi="Times New Roman" w:eastAsia="SimSun"/>
          <w:b/>
          <w:color w:val="000000"/>
          <w:sz w:val="18"/>
        </w:rPr>
        <w:t>三个伴侣模型都对高奉承策略表现出更高风险，但不同模型被放大的程度并不相同。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表 1 报告三种策略下的平均奉承性风险。DeepSeek 在有边界的支持、高奉承和现实校验三种策略下分别为 0.050、0.875 和 0.050；Qwen 分别为 0.000、1.000 和 0.000；GLM-4-FlashX 分别为 0.050、0.450 和 0.000。</w:t>
      </w:r>
    </w:p>
    <w:p>
      <w:pPr>
        <w:keepNext/>
        <w:spacing w:before="60" w:after="40"/>
        <w:jc w:val="center"/>
      </w:pPr>
      <w:r>
        <w:rPr>
          <w:rFonts w:ascii="Times New Roman" w:hAnsi="Times New Roman" w:eastAsia="SimSun"/>
          <w:color w:val="000000"/>
          <w:sz w:val="16"/>
        </w:rPr>
        <w:t>表 1. 三个伴侣模型在三种关系策略下的平均奉承性风险。</w:t>
      </w:r>
    </w:p>
    <w:tbl>
      <w:tblPr>
        <w:tblW w:type="dxa" w:w="4579"/>
        <w:tblLayout w:type="fixed"/>
        <w:tblLook w:firstColumn="1" w:firstRow="1" w:lastColumn="0" w:lastRow="0" w:noHBand="0" w:noVBand="1" w:val="04A0"/>
        <w:tblLayout w:type="fixed"/>
        <w:tblBorders>
          <w:top w:val="single" w:sz="8" w:color="666666"/>
          <w:insideH w:val="single" w:sz="3" w:color="666666"/>
          <w:bottom w:val="single" w:sz="8" w:color="666666"/>
          <w:left w:val="nil" w:color="666666"/>
          <w:right w:val="nil" w:color="666666"/>
          <w:insideV w:val="nil" w:color="666666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51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14"/>
              </w:rPr>
              <w:t>Companion model</w:t>
            </w:r>
          </w:p>
        </w:tc>
        <w:tc>
          <w:tcPr>
            <w:tcW w:type="dxa" w:w="100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14"/>
              </w:rPr>
              <w:t>bounded</w:t>
            </w:r>
          </w:p>
        </w:tc>
        <w:tc>
          <w:tcPr>
            <w:tcW w:type="dxa" w:w="103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14"/>
              </w:rPr>
              <w:t>high-syc.</w:t>
            </w:r>
          </w:p>
        </w:tc>
        <w:tc>
          <w:tcPr>
            <w:tcW w:type="dxa" w:w="102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14"/>
              </w:rPr>
              <w:t>reality</w:t>
            </w:r>
          </w:p>
        </w:tc>
      </w:tr>
      <w:tr>
        <w:tc>
          <w:tcPr>
            <w:tcW w:type="dxa" w:w="151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DeepSeek (</w:t>
            </w:r>
            <w:r>
              <w:rPr>
                <w:rFonts w:ascii="Consolas" w:hAnsi="Consolas" w:eastAsia="SimSun"/>
                <w:color w:val="000000"/>
                <w:sz w:val="14"/>
              </w:rPr>
              <w:t>deepseek-chat</w:t>
            </w:r>
            <w:r>
              <w:rPr>
                <w:rFonts w:ascii="Times New Roman" w:hAnsi="Times New Roman" w:eastAsia="SimSun"/>
                <w:color w:val="000000"/>
                <w:sz w:val="14"/>
              </w:rPr>
              <w:t>)</w:t>
            </w:r>
          </w:p>
        </w:tc>
        <w:tc>
          <w:tcPr>
            <w:tcW w:type="dxa" w:w="100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0.050</w:t>
            </w:r>
          </w:p>
        </w:tc>
        <w:tc>
          <w:tcPr>
            <w:tcW w:type="dxa" w:w="103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0.875</w:t>
            </w:r>
          </w:p>
        </w:tc>
        <w:tc>
          <w:tcPr>
            <w:tcW w:type="dxa" w:w="102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0.050</w:t>
            </w:r>
          </w:p>
        </w:tc>
      </w:tr>
      <w:tr>
        <w:tc>
          <w:tcPr>
            <w:tcW w:type="dxa" w:w="151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Qwen (</w:t>
            </w:r>
            <w:r>
              <w:rPr>
                <w:rFonts w:ascii="Consolas" w:hAnsi="Consolas" w:eastAsia="SimSun"/>
                <w:color w:val="000000"/>
                <w:sz w:val="14"/>
              </w:rPr>
              <w:t>qwen-flash</w:t>
            </w:r>
            <w:r>
              <w:rPr>
                <w:rFonts w:ascii="Times New Roman" w:hAnsi="Times New Roman" w:eastAsia="SimSun"/>
                <w:color w:val="000000"/>
                <w:sz w:val="14"/>
              </w:rPr>
              <w:t>)</w:t>
            </w:r>
          </w:p>
        </w:tc>
        <w:tc>
          <w:tcPr>
            <w:tcW w:type="dxa" w:w="100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0.000</w:t>
            </w:r>
          </w:p>
        </w:tc>
        <w:tc>
          <w:tcPr>
            <w:tcW w:type="dxa" w:w="103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1.000</w:t>
            </w:r>
          </w:p>
        </w:tc>
        <w:tc>
          <w:tcPr>
            <w:tcW w:type="dxa" w:w="102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0.000</w:t>
            </w:r>
          </w:p>
        </w:tc>
      </w:tr>
      <w:tr>
        <w:tc>
          <w:tcPr>
            <w:tcW w:type="dxa" w:w="151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GLM-4-FlashX (</w:t>
            </w:r>
            <w:r>
              <w:rPr>
                <w:rFonts w:ascii="Consolas" w:hAnsi="Consolas" w:eastAsia="SimSun"/>
                <w:color w:val="000000"/>
                <w:sz w:val="14"/>
              </w:rPr>
              <w:t>glm-4-flashx</w:t>
            </w:r>
            <w:r>
              <w:rPr>
                <w:rFonts w:ascii="Times New Roman" w:hAnsi="Times New Roman" w:eastAsia="SimSun"/>
                <w:color w:val="000000"/>
                <w:sz w:val="14"/>
              </w:rPr>
              <w:t>)</w:t>
            </w:r>
          </w:p>
        </w:tc>
        <w:tc>
          <w:tcPr>
            <w:tcW w:type="dxa" w:w="100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0.050</w:t>
            </w:r>
          </w:p>
        </w:tc>
        <w:tc>
          <w:tcPr>
            <w:tcW w:type="dxa" w:w="103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0.450</w:t>
            </w:r>
          </w:p>
        </w:tc>
        <w:tc>
          <w:tcPr>
            <w:tcW w:type="dxa" w:w="102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0.000</w:t>
            </w:r>
          </w:p>
        </w:tc>
      </w:tr>
    </w:tbl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 xml:space="preserve">三个模型共同支持的方向只能写成 </w:t>
      </w:r>
      <w:r>
        <w:rPr>
          <w:rFonts w:ascii="Consolas" w:hAnsi="Consolas" w:eastAsia="SimSun"/>
          <w:color w:val="000000"/>
          <w:sz w:val="17"/>
        </w:rPr>
        <w:t>high_sycophancy &gt; {bounded_supportive, reality_grounding}</w:t>
      </w:r>
      <w:r>
        <w:rPr>
          <w:rFonts w:ascii="Times New Roman" w:hAnsi="Times New Roman" w:eastAsia="SimSun"/>
          <w:color w:val="000000"/>
          <w:sz w:val="18"/>
        </w:rPr>
        <w:t>。不能写成三个模型均严格满足“高奉承 &gt; 有边界支持 &gt; 现实校验”，因为 Qwen 的后两者相等，DeepSeek 的后两者也相等，GLM-4-FlashX 的差值只有 0.050。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高奉承相对有边界支持的差值在 DeepSeek、Qwen 和 GLM-4-FlashX 上分别为 0.825、1.000 和 0.400；相对现实校验的差值分别为 0.825、1.000 和 0.450。方向一致，幅度不同。因此，当前结果支持跨模型方向稳定（CROSS_MODEL_DIRECTION_STABLE）和模型水平依赖（MODEL_LEVEL_DEPENDENCE）。在这组三模型数据中，没有观察到模型排序依赖或模型结论依赖；这不等于证明其他模型、场景或评估器不会发生反转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 xml:space="preserve">兼容性失败提供了必要的负面证据。最初的 </w:t>
      </w:r>
      <w:r>
        <w:rPr>
          <w:rFonts w:ascii="Consolas" w:hAnsi="Consolas" w:eastAsia="SimSun"/>
          <w:color w:val="000000"/>
          <w:sz w:val="17"/>
        </w:rPr>
        <w:t>glm-4-flash</w:t>
      </w:r>
      <w:r>
        <w:rPr>
          <w:rFonts w:ascii="Times New Roman" w:hAnsi="Times New Roman" w:eastAsia="SimSun"/>
          <w:color w:val="000000"/>
          <w:sz w:val="18"/>
        </w:rPr>
        <w:t xml:space="preserve"> 在三种策略下都得到 0.30，输出看似整齐，却没有反映 system prompt 的差异，因此被判定为模型版本或供应商兼容性失败，没有进入最终比较。</w:t>
      </w:r>
      <w:r>
        <w:rPr>
          <w:rFonts w:ascii="Consolas" w:hAnsi="Consolas" w:eastAsia="SimSun"/>
          <w:color w:val="000000"/>
          <w:sz w:val="17"/>
        </w:rPr>
        <w:t>glm-4.7-flash</w:t>
      </w:r>
      <w:r>
        <w:rPr>
          <w:rFonts w:ascii="Times New Roman" w:hAnsi="Times New Roman" w:eastAsia="SimSun"/>
          <w:color w:val="000000"/>
          <w:sz w:val="18"/>
        </w:rPr>
        <w:t xml:space="preserve"> 因调用过慢被排除。两项排除都只能说明工程适配失败，不能被翻译为“更安全”或“更危险”。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实验一的意义不在于给模型排出名次，而在于确认策略和伴侣模型发生了交互。同一高奉承策略在 Qwen 上达到 1.000，在 GLM-4-FlashX 上为 0.450。风险分数因而属于特定模型、策略和评估配置，而不是基础模型脱离实验条件后的固定标签。</w:t>
      </w:r>
    </w:p>
    <w:p>
      <w:pPr>
        <w:pStyle w:val="2"/>
        <w:keepNext/>
      </w:pPr>
      <w:r>
        <w:rPr>
          <w:rFonts w:ascii="Times New Roman" w:hAnsi="Times New Roman" w:eastAsia="SimSun"/>
          <w:i/>
          <w:color w:val="000000"/>
          <w:sz w:val="18"/>
        </w:rPr>
        <w:t>实验二：模拟器改变虚拟关系结构</w:t>
      </w:r>
    </w:p>
    <w:p>
      <w:pPr>
        <w:spacing w:after="0" w:line="240" w:lineRule="auto"/>
        <w:ind w:firstLine="0"/>
        <w:jc w:val="both"/>
      </w:pPr>
      <w:r>
        <w:rPr>
          <w:rFonts w:ascii="Times New Roman" w:hAnsi="Times New Roman" w:eastAsia="SimSun"/>
          <w:b/>
          <w:color w:val="000000"/>
          <w:sz w:val="18"/>
        </w:rPr>
        <w:t>同一个用户设定交给不同模型后，虚拟社会的关系结构发生了明显变化。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修复后的纵向实验包含 24 条 Episode，每条均完成 40 个有效轮次，并以达到最大步数结束；没有 Episode 请求退出。MiniMax 模拟器的 Companion turns 范围为 8–22，均值为 15.083；Friend turns 范围为 17–32，均值为 24.167。Kimi 模拟器的 Companion turns 范围为 31–37，均值为 34.500；Friend turns 范围为 0–3，均值为 1.083。Companion turns 占有效轮次的比例分别为 0.377 和 0.863。</w:t>
      </w:r>
    </w:p>
    <w:p>
      <w:pPr>
        <w:keepNext/>
        <w:spacing w:before="60" w:after="40"/>
        <w:jc w:val="center"/>
      </w:pPr>
      <w:r>
        <w:rPr>
          <w:rFonts w:ascii="Times New Roman" w:hAnsi="Times New Roman" w:eastAsia="SimSun"/>
          <w:color w:val="000000"/>
          <w:sz w:val="16"/>
        </w:rPr>
        <w:t>表 2. 两个用户模拟器的关系节点调用分布。</w:t>
      </w:r>
    </w:p>
    <w:tbl>
      <w:tblPr>
        <w:tblW w:type="dxa" w:w="4579"/>
        <w:tblLayout w:type="fixed"/>
        <w:tblLook w:firstColumn="1" w:firstRow="1" w:lastColumn="0" w:lastRow="0" w:noHBand="0" w:noVBand="1" w:val="04A0"/>
        <w:tblLayout w:type="fixed"/>
        <w:tblBorders>
          <w:top w:val="single" w:sz="8" w:color="666666"/>
          <w:insideH w:val="single" w:sz="3" w:color="666666"/>
          <w:bottom w:val="single" w:sz="8" w:color="666666"/>
          <w:left w:val="nil" w:color="666666"/>
          <w:right w:val="nil" w:color="666666"/>
          <w:insideV w:val="nil" w:color="666666"/>
        </w:tblBorders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91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14"/>
              </w:rPr>
              <w:t>User Simulator</w:t>
            </w:r>
          </w:p>
        </w:tc>
        <w:tc>
          <w:tcPr>
            <w:tcW w:type="dxa" w:w="91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14"/>
              </w:rPr>
              <w:t>n</w:t>
            </w:r>
          </w:p>
        </w:tc>
        <w:tc>
          <w:tcPr>
            <w:tcW w:type="dxa" w:w="91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14"/>
              </w:rPr>
              <w:t>Companion turns</w:t>
            </w:r>
          </w:p>
        </w:tc>
        <w:tc>
          <w:tcPr>
            <w:tcW w:type="dxa" w:w="91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14"/>
              </w:rPr>
              <w:t>Friend turns</w:t>
            </w:r>
          </w:p>
        </w:tc>
        <w:tc>
          <w:tcPr>
            <w:tcW w:type="dxa" w:w="91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14"/>
              </w:rPr>
              <w:t>Companion/有效轮次</w:t>
            </w:r>
          </w:p>
        </w:tc>
      </w:tr>
      <w:tr>
        <w:tc>
          <w:tcPr>
            <w:tcW w:type="dxa" w:w="91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MiniMax (</w:t>
            </w:r>
            <w:r>
              <w:rPr>
                <w:rFonts w:ascii="Consolas" w:hAnsi="Consolas" w:eastAsia="SimSun"/>
                <w:color w:val="000000"/>
                <w:sz w:val="14"/>
              </w:rPr>
              <w:t>abab6.5s-chat</w:t>
            </w:r>
            <w:r>
              <w:rPr>
                <w:rFonts w:ascii="Times New Roman" w:hAnsi="Times New Roman" w:eastAsia="SimSun"/>
                <w:color w:val="000000"/>
                <w:sz w:val="14"/>
              </w:rPr>
              <w:t>)</w:t>
            </w:r>
          </w:p>
        </w:tc>
        <w:tc>
          <w:tcPr>
            <w:tcW w:type="dxa" w:w="91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12</w:t>
            </w:r>
          </w:p>
        </w:tc>
        <w:tc>
          <w:tcPr>
            <w:tcW w:type="dxa" w:w="91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8–22；均值 15.083</w:t>
            </w:r>
          </w:p>
        </w:tc>
        <w:tc>
          <w:tcPr>
            <w:tcW w:type="dxa" w:w="91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17–32；均值 24.167</w:t>
            </w:r>
          </w:p>
        </w:tc>
        <w:tc>
          <w:tcPr>
            <w:tcW w:type="dxa" w:w="91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0.377</w:t>
            </w:r>
          </w:p>
        </w:tc>
      </w:tr>
      <w:tr>
        <w:tc>
          <w:tcPr>
            <w:tcW w:type="dxa" w:w="91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Kimi (</w:t>
            </w:r>
            <w:r>
              <w:rPr>
                <w:rFonts w:ascii="Consolas" w:hAnsi="Consolas" w:eastAsia="SimSun"/>
                <w:color w:val="000000"/>
                <w:sz w:val="14"/>
              </w:rPr>
              <w:t>moonshot-v1-8k</w:t>
            </w:r>
            <w:r>
              <w:rPr>
                <w:rFonts w:ascii="Times New Roman" w:hAnsi="Times New Roman" w:eastAsia="SimSun"/>
                <w:color w:val="000000"/>
                <w:sz w:val="14"/>
              </w:rPr>
              <w:t>)</w:t>
            </w:r>
          </w:p>
        </w:tc>
        <w:tc>
          <w:tcPr>
            <w:tcW w:type="dxa" w:w="91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12</w:t>
            </w:r>
          </w:p>
        </w:tc>
        <w:tc>
          <w:tcPr>
            <w:tcW w:type="dxa" w:w="91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31–37；均值 34.500</w:t>
            </w:r>
          </w:p>
        </w:tc>
        <w:tc>
          <w:tcPr>
            <w:tcW w:type="dxa" w:w="91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0–3；均值 1.083</w:t>
            </w:r>
          </w:p>
        </w:tc>
        <w:tc>
          <w:tcPr>
            <w:tcW w:type="dxa" w:w="91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0.863</w:t>
            </w:r>
          </w:p>
        </w:tc>
      </w:tr>
    </w:tbl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严谨的表述是：Kimi 作为用户模拟器，在当前场景和行动空间中表现出更高的 Companion 互动集中度和更低的 Friend 节点调用频率。不能写“Kimi 用户更依赖 AI”。实验中不存在名为“Kimi 用户”的真实人群，也没有使用真人依赖量表。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 xml:space="preserve">模拟器改变了绝对奉承风险，但没有反转当前策略方向。按固定 Policy 顺序排列，MiniMax 的四个奉承风险值为 </w:t>
      </w:r>
      <w:r>
        <w:rPr>
          <w:rFonts w:ascii="Consolas" w:hAnsi="Consolas" w:eastAsia="SimSun"/>
          <w:color w:val="000000"/>
          <w:sz w:val="17"/>
        </w:rPr>
        <w:t>[1, 1, 0.75, 1]</w:t>
      </w:r>
      <w:r>
        <w:rPr>
          <w:rFonts w:ascii="Times New Roman" w:hAnsi="Times New Roman" w:eastAsia="SimSun"/>
          <w:color w:val="000000"/>
          <w:sz w:val="18"/>
        </w:rPr>
        <w:t xml:space="preserve">，Kimi 为 </w:t>
      </w:r>
      <w:r>
        <w:rPr>
          <w:rFonts w:ascii="Consolas" w:hAnsi="Consolas" w:eastAsia="SimSun"/>
          <w:color w:val="000000"/>
          <w:sz w:val="17"/>
        </w:rPr>
        <w:t>[1, 1, 0.9375, 1]</w:t>
      </w:r>
      <w:r>
        <w:rPr>
          <w:rFonts w:ascii="Times New Roman" w:hAnsi="Times New Roman" w:eastAsia="SimSun"/>
          <w:color w:val="000000"/>
          <w:sz w:val="18"/>
        </w:rPr>
        <w:t>；两个模拟器下，有边界支持与现实校验均为 0，高奉承均为 1。当前结果因此表现为水平依赖，没有观察到模拟器排序依赖或结论依赖。这个结论仅适用于当前 persona、场景、模型和行动空间。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旧 M6 纵向结果不能回答同一个问题。旧设计在第 8 步强制退出，24 条轨迹都只有 9 次 Companion responses，行动分配主要由流程控制，而不是自然选择形成。本文保留这项负面结果，并将其排除在关系节点分配结论之外。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实验二说明，用户模拟器不是盛放 persona 的透明容器。MiniMax 与 Kimi 接收相同的角色条件，却生成了不同的关系网络：一个更频繁调用 Friend，另一个把多数有效轮次集中在 Companion。差异可能来自模型训练语料、角色先验或对“孤独”的文化理解，但当前数据不能区分这些机制。</w:t>
      </w:r>
    </w:p>
    <w:p>
      <w:pPr>
        <w:pStyle w:val="2"/>
        <w:keepNext/>
      </w:pPr>
      <w:r>
        <w:rPr>
          <w:rFonts w:ascii="Times New Roman" w:hAnsi="Times New Roman" w:eastAsia="SimSun"/>
          <w:i/>
          <w:color w:val="000000"/>
          <w:sz w:val="18"/>
        </w:rPr>
        <w:t>实验三：判断奉承也依赖评估器</w:t>
      </w:r>
    </w:p>
    <w:p>
      <w:pPr>
        <w:spacing w:after="0" w:line="240" w:lineRule="auto"/>
        <w:ind w:firstLine="0"/>
        <w:jc w:val="both"/>
      </w:pPr>
      <w:r>
        <w:rPr>
          <w:rFonts w:ascii="Times New Roman" w:hAnsi="Times New Roman" w:eastAsia="SimSun"/>
          <w:b/>
          <w:color w:val="000000"/>
          <w:sz w:val="18"/>
        </w:rPr>
        <w:t>如何判断AI正在奉承，同样不是一个中性的测量过程。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两位标注者完成 44 条 pilot items。最终总体 Krippendorff's alpha 为 0.119，逐标签 Cohen's kappa 中位数为 1.000。两个数字反映了不同层面的信息：总体 alpha 受大量稀疏标签和不适用值影响；逐标签 kappa 则显示，部分具体标签在少量适用样本上具有较高一致性。它们不能合并成“人工标注已经稳定”的结论。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NOT_APPLICABLE 的比例揭示了标签结构。Reviewer A 与 Reviewer B 的总体 NA 比例分别为 43.28% 和 46.12%；两人在 C 组（Exit Safety）的 NA 比例均为 65.91%，在 D 组（Continuity）的 NA 比例均为 95.45%。退出与连续性标签缺少足够适用案例，宏平均结果因此对极少数正例高度敏感。</w:t>
      </w:r>
    </w:p>
    <w:p>
      <w:pPr>
        <w:keepNext/>
        <w:spacing w:before="60" w:after="40"/>
        <w:jc w:val="center"/>
      </w:pPr>
      <w:r>
        <w:rPr>
          <w:rFonts w:ascii="Times New Roman" w:hAnsi="Times New Roman" w:eastAsia="SimSun"/>
          <w:color w:val="000000"/>
          <w:sz w:val="16"/>
        </w:rPr>
        <w:t>表 3. 两位人工标注者的逐标签 Cohen's kappa。</w:t>
      </w:r>
    </w:p>
    <w:tbl>
      <w:tblPr>
        <w:tblW w:type="dxa" w:w="4579"/>
        <w:tblLayout w:type="fixed"/>
        <w:tblLook w:firstColumn="1" w:firstRow="1" w:lastColumn="0" w:lastRow="0" w:noHBand="0" w:noVBand="1" w:val="04A0"/>
        <w:tblLayout w:type="fixed"/>
        <w:tblBorders>
          <w:top w:val="single" w:sz="8" w:color="666666"/>
          <w:insideH w:val="single" w:sz="3" w:color="666666"/>
          <w:bottom w:val="single" w:sz="8" w:color="666666"/>
          <w:left w:val="nil" w:color="666666"/>
          <w:right w:val="nil" w:color="666666"/>
          <w:insideV w:val="nil" w:color="666666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14"/>
              </w:rPr>
              <w:t>Label</w:t>
            </w: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14"/>
              </w:rPr>
              <w:t>κ</w:t>
            </w:r>
          </w:p>
        </w:tc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14"/>
              </w:rPr>
              <w:t>Label</w:t>
            </w: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14"/>
              </w:rPr>
              <w:t>κ</w:t>
            </w:r>
          </w:p>
        </w:tc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14"/>
              </w:rPr>
              <w:t>Label</w:t>
            </w: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14"/>
              </w:rPr>
              <w:t>κ</w:t>
            </w:r>
          </w:p>
        </w:tc>
      </w:tr>
      <w:tr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A1</w:t>
            </w: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1.000</w:t>
            </w:r>
          </w:p>
        </w:tc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A2</w:t>
            </w: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1.000</w:t>
            </w:r>
          </w:p>
        </w:tc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A3</w:t>
            </w: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0.927</w:t>
            </w:r>
          </w:p>
        </w:tc>
      </w:tr>
      <w:tr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A4</w:t>
            </w: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1.000</w:t>
            </w:r>
          </w:p>
        </w:tc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A5</w:t>
            </w: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1.000</w:t>
            </w:r>
          </w:p>
        </w:tc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B1</w:t>
            </w: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1.000</w:t>
            </w:r>
          </w:p>
        </w:tc>
      </w:tr>
      <w:tr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B2</w:t>
            </w: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1.000</w:t>
            </w:r>
          </w:p>
        </w:tc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B3</w:t>
            </w: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0.876</w:t>
            </w:r>
          </w:p>
        </w:tc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B4</w:t>
            </w: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1.000</w:t>
            </w:r>
          </w:p>
        </w:tc>
      </w:tr>
      <w:tr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B5</w:t>
            </w: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0.896</w:t>
            </w:r>
          </w:p>
        </w:tc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B6</w:t>
            </w: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0.932</w:t>
            </w:r>
          </w:p>
        </w:tc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B7</w:t>
            </w: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1.000</w:t>
            </w:r>
          </w:p>
        </w:tc>
      </w:tr>
      <w:tr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C1</w:t>
            </w: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1.000</w:t>
            </w:r>
          </w:p>
        </w:tc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C2</w:t>
            </w: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1.000</w:t>
            </w:r>
          </w:p>
        </w:tc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C3</w:t>
            </w: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0.397</w:t>
            </w:r>
          </w:p>
        </w:tc>
      </w:tr>
      <w:tr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C4</w:t>
            </w: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1.000</w:t>
            </w:r>
          </w:p>
        </w:tc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C5</w:t>
            </w: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0.927</w:t>
            </w:r>
          </w:p>
        </w:tc>
        <w:tc>
          <w:tcPr>
            <w:tcW w:type="dxa" w:w="6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C3 boundary respect 的 kappa 只有 0.397。例句“我随时在这里等你”既可被理解为给用户空间，也可被理解为继续维持关系。两位标注者采用了不同标签归属，暴露出 C3 与 C5 的定义边界。修订建议把 C3 限定为明确接受并执行退出，把非施压的告别表达归入 C5；在定义修订和新一轮校准完成前，不能把分歧仅归咎于标注者。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自动评估结果同样有限。规则评估器、独立评估器和标签级组合的 Macro F1 分别为 0.288、0.333 和 0.418，均基于 16 个有效标签。组合在这个 pilot 中相对更高，但 0.418 不能支持全自动认证。</w:t>
      </w:r>
    </w:p>
    <w:p>
      <w:pPr>
        <w:keepNext/>
        <w:spacing w:before="60" w:after="40"/>
        <w:jc w:val="center"/>
      </w:pPr>
      <w:r>
        <w:rPr>
          <w:rFonts w:ascii="Times New Roman" w:hAnsi="Times New Roman" w:eastAsia="SimSun"/>
          <w:color w:val="000000"/>
          <w:sz w:val="16"/>
        </w:rPr>
        <w:t>表 4. 自动评估器相对于人工共识的 Macro F1。</w:t>
      </w:r>
    </w:p>
    <w:tbl>
      <w:tblPr>
        <w:tblW w:type="dxa" w:w="4579"/>
        <w:tblLayout w:type="fixed"/>
        <w:tblLook w:firstColumn="1" w:firstRow="1" w:lastColumn="0" w:lastRow="0" w:noHBand="0" w:noVBand="1" w:val="04A0"/>
        <w:tblLayout w:type="fixed"/>
        <w:tblBorders>
          <w:top w:val="single" w:sz="8" w:color="666666"/>
          <w:insideH w:val="single" w:sz="3" w:color="666666"/>
          <w:bottom w:val="single" w:sz="8" w:color="666666"/>
          <w:left w:val="nil" w:color="666666"/>
          <w:right w:val="nil" w:color="666666"/>
          <w:insideV w:val="nil" w:color="666666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14"/>
              </w:rPr>
              <w:t>评估器</w:t>
            </w:r>
          </w:p>
        </w:tc>
        <w:tc>
          <w:tcPr>
            <w:tcW w:type="dxa" w:w="112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14"/>
              </w:rPr>
              <w:t>Macro F1</w:t>
            </w:r>
          </w:p>
        </w:tc>
        <w:tc>
          <w:tcPr>
            <w:tcW w:type="dxa" w:w="10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14"/>
              </w:rPr>
              <w:t>有效标签数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RuleBasedEvaluator</w:t>
            </w:r>
          </w:p>
        </w:tc>
        <w:tc>
          <w:tcPr>
            <w:tcW w:type="dxa" w:w="112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0.288</w:t>
            </w:r>
          </w:p>
        </w:tc>
        <w:tc>
          <w:tcPr>
            <w:tcW w:type="dxa" w:w="10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16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Independent Judge（Kimi）</w:t>
            </w:r>
          </w:p>
        </w:tc>
        <w:tc>
          <w:tcPr>
            <w:tcW w:type="dxa" w:w="112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0.333</w:t>
            </w:r>
          </w:p>
        </w:tc>
        <w:tc>
          <w:tcPr>
            <w:tcW w:type="dxa" w:w="10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16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Label-level Ensemble</w:t>
            </w:r>
          </w:p>
        </w:tc>
        <w:tc>
          <w:tcPr>
            <w:tcW w:type="dxa" w:w="112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0.418</w:t>
            </w:r>
          </w:p>
        </w:tc>
        <w:tc>
          <w:tcPr>
            <w:tcW w:type="dxa" w:w="10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16</w:t>
            </w:r>
          </w:p>
        </w:tc>
      </w:tr>
    </w:tbl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总体分数还掩盖了完全不同的错误结构。A4 conflict_escalation 是当前最可靠的规则组件，Precision 为 1、Recall 为 0.857、F1 为 0.923，对应 6 TP、0 FP 和 1 FN。相反，A1 规则召回为 0（0 TP、2 FP、5 FN），A3 规则也为零召回（8 FN）。A5 规则召回全部 12 个正例，却额外产生 16 个 FP，F1 为 0.600。独立评估器在 A4 上漏掉 7 个正例，F1 为 0。C1 的 Judge 与 Ensemble F1 都是 1.000，但只来自 1 个正例，不能视为稳定性能。C5 的 Ensemble 漏掉全部 8 个正例，F1 为 0。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这些负面结果说明，Rule、Judge 与 Ensemble 看见的不是同一组风险。A1、A3 rule、A5、C3 和 C5 仍应作为低置信标签处理。44 条 pilot items 的价值是暴露盲点和定义问题，而不是给评估器发放性能证书。</w:t>
      </w:r>
    </w:p>
    <w:p>
      <w:pPr>
        <w:pStyle w:val="1"/>
        <w:keepNext/>
      </w:pPr>
      <w:r>
        <w:rPr>
          <w:rFonts w:ascii="Times New Roman" w:hAnsi="Times New Roman" w:eastAsia="SimSun"/>
          <w:i w:val="0"/>
          <w:color w:val="000000"/>
          <w:sz w:val="20"/>
        </w:rPr>
        <w:t>DISCUSSION / 虚拟用户不是透明替身</w:t>
      </w:r>
    </w:p>
    <w:p>
      <w:pPr>
        <w:pStyle w:val="2"/>
        <w:keepNext/>
      </w:pPr>
      <w:r>
        <w:rPr>
          <w:rFonts w:ascii="Times New Roman" w:hAnsi="Times New Roman" w:eastAsia="SimSun"/>
          <w:i/>
          <w:color w:val="000000"/>
          <w:sz w:val="18"/>
        </w:rPr>
        <w:t>语言拟真会掩盖代表性缺口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生成式代理最容易令人信服的地方，恰好也是最容易诱发过度推断的地方。它能说出连贯的经历，能在多轮对话中保持情绪，也能用某种身份的语气解释选择。读者因此会自然地把文本中的细节理解为人物背后的生活史。但这些细节可能只是模型对某类人的统计想象，语言越具体，代表性缺口反而越不容易被注意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ARI 的作用不是否定语言拟真，而是把它放回证据链的第一层。可信语言可以支持场景可读性和机制演示；只有与真人行为分布、构念测量和外部样本比较之后，才可能支持人群代表性。跳过这些步骤，会把模型的自洽误当成人群的真实。</w:t>
      </w:r>
    </w:p>
    <w:p>
      <w:pPr>
        <w:pStyle w:val="2"/>
        <w:keepNext/>
      </w:pPr>
      <w:r>
        <w:rPr>
          <w:rFonts w:ascii="Times New Roman" w:hAnsi="Times New Roman" w:eastAsia="SimSun"/>
          <w:i/>
          <w:color w:val="000000"/>
          <w:sz w:val="18"/>
        </w:rPr>
        <w:t>用户模拟器是实验变量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实验二呈现的是两个不同的虚拟关系社会。相同 persona 在一个模拟器下频繁转向 Friend，在另一个模拟器下多数时间停留在 Companion。这里没有一个“真实用户”被两个模型忠实复刻；两个模型分别构造了对该用户的可行动解释。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因此，用户模拟器必须像处理温度、场景和策略一样进入实验设计。研究者需要跨模拟器复现，并报告差异属于水平、排序还是结论依赖。只使用一个模拟器时，结论必须明确写成“在该模拟器条件下”，不能把模型身份藏进实现细节。</w:t>
      </w:r>
    </w:p>
    <w:p>
      <w:pPr>
        <w:pStyle w:val="2"/>
        <w:keepNext/>
      </w:pPr>
      <w:r>
        <w:rPr>
          <w:rFonts w:ascii="Times New Roman" w:hAnsi="Times New Roman" w:eastAsia="SimSun"/>
          <w:i/>
          <w:color w:val="000000"/>
          <w:sz w:val="18"/>
        </w:rPr>
        <w:t>风险分数属于测量系统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三个实验把风险分数拆回了它的组成部分。伴侣模型改变策略效应的幅度，用户模拟器改变可观察到的行动轨迹，评估器改变哪些风险被判为阳性。场景和行动空间又决定代理有哪些选择。因此，任何单一分数都应写成模型、策略、模拟器、评估器和场景的联合结果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这一理解也解释了为什么本文禁止模型安全排行榜。Qwen 在当前高奉承条件下得到 1.000，GLM-4-FlashX 得到 0.450，只能说明它们在当前 prompt、场景、模拟器和评估器组合中产生不同结果。把这个差异压缩成模型本质属性，会忽略测量系统的大部分结构。</w:t>
      </w:r>
    </w:p>
    <w:p>
      <w:pPr>
        <w:pStyle w:val="2"/>
        <w:keepNext/>
      </w:pPr>
      <w:r>
        <w:rPr>
          <w:rFonts w:ascii="Times New Roman" w:hAnsi="Times New Roman" w:eastAsia="SimSun"/>
          <w:i/>
          <w:color w:val="000000"/>
          <w:sz w:val="18"/>
        </w:rPr>
        <w:t>虚拟社会适合机制探索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虚拟社会的优势是真实实验难以同时提供的可控性。研究者可以冻结 persona，切换策略，替换伴侣模型或模拟器，并观察同一实验世界怎样变化。这使它适合寻找交互机制、发现评估盲点、压力测试标签定义和生成后续假说。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它不适合替代真人证据。本文没有真实用户，没有临床量表，也没有现实生活事件和长期关系发展。合成结果不能用于估计人口比例，不能证明 AI 陪伴导致心理依赖，也不能直接支持临床、监管或产品认证结论。虚拟社会回答的是“在受控模型世界中可能发生什么”，真人研究才能回答“现实中的人实际发生了什么”。</w:t>
      </w:r>
    </w:p>
    <w:p>
      <w:pPr>
        <w:pStyle w:val="1"/>
        <w:keepNext/>
      </w:pPr>
      <w:r>
        <w:rPr>
          <w:rFonts w:ascii="Times New Roman" w:hAnsi="Times New Roman" w:eastAsia="SimSun"/>
          <w:i w:val="0"/>
          <w:color w:val="000000"/>
          <w:sz w:val="20"/>
        </w:rPr>
        <w:t>RESPONSIBLE RESEARCH / 负责任的生成式用户研究原则</w:t>
      </w:r>
    </w:p>
    <w:p>
      <w:pPr>
        <w:pStyle w:val="2"/>
        <w:keepNext/>
      </w:pPr>
      <w:r>
        <w:rPr>
          <w:rFonts w:ascii="Times New Roman" w:hAnsi="Times New Roman" w:eastAsia="SimSun"/>
          <w:i/>
          <w:color w:val="000000"/>
          <w:sz w:val="18"/>
        </w:rPr>
        <w:t>六条正文原则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b/>
          <w:color w:val="000000"/>
          <w:sz w:val="18"/>
        </w:rPr>
        <w:t>第一，把用户模拟器作为实验因素。</w:t>
      </w:r>
      <w:r>
        <w:rPr>
          <w:rFonts w:ascii="Times New Roman" w:hAnsi="Times New Roman" w:eastAsia="SimSun"/>
          <w:color w:val="000000"/>
          <w:sz w:val="18"/>
        </w:rPr>
        <w:t xml:space="preserve"> 报告模型、端点与版本，并尽可能跨模拟器复现。只有一个模拟器时，结论应明确限定于该模拟器。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b/>
          <w:color w:val="000000"/>
          <w:sz w:val="18"/>
        </w:rPr>
        <w:t>第二，分开语言拟真与人群代表性。</w:t>
      </w:r>
      <w:r>
        <w:rPr>
          <w:rFonts w:ascii="Times New Roman" w:hAnsi="Times New Roman" w:eastAsia="SimSun"/>
          <w:color w:val="000000"/>
          <w:sz w:val="18"/>
        </w:rPr>
        <w:t xml:space="preserve"> 自然、感人或身份一致的文本不能替代与真人行为分布的比较。论文应分别说明语言、行动、构念和外部代表性证据。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b/>
          <w:color w:val="000000"/>
          <w:sz w:val="18"/>
        </w:rPr>
        <w:t>第三，公开模型角色并避免单一自评。</w:t>
      </w:r>
      <w:r>
        <w:rPr>
          <w:rFonts w:ascii="Times New Roman" w:hAnsi="Times New Roman" w:eastAsia="SimSun"/>
          <w:color w:val="000000"/>
          <w:sz w:val="18"/>
        </w:rPr>
        <w:t xml:space="preserve"> User Simulator、Companion、Judge 与 Analyst 的供应商和版本应逐项登记。应避免同一模型既当选手又当唯一 Judge；无法分离时，需增加规则与人工复核。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b/>
          <w:color w:val="000000"/>
          <w:sz w:val="18"/>
        </w:rPr>
        <w:t>第四，报告水平、排序和结论依赖。</w:t>
      </w:r>
      <w:r>
        <w:rPr>
          <w:rFonts w:ascii="Times New Roman" w:hAnsi="Times New Roman" w:eastAsia="SimSun"/>
          <w:color w:val="000000"/>
          <w:sz w:val="18"/>
        </w:rPr>
        <w:t xml:space="preserve"> “结果稳定”必须拆成分数是否变化、排序是否变化、核心结论是否反转。跨模型方向稳定也要写明纳入模型和预设对比。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b/>
          <w:color w:val="000000"/>
          <w:sz w:val="18"/>
        </w:rPr>
        <w:t>第五，用人工校准约束自动评估。</w:t>
      </w:r>
      <w:r>
        <w:rPr>
          <w:rFonts w:ascii="Times New Roman" w:hAnsi="Times New Roman" w:eastAsia="SimSun"/>
          <w:color w:val="000000"/>
          <w:sz w:val="18"/>
        </w:rPr>
        <w:t xml:space="preserve"> 报告样本量、抽样、正例比例、NOT_APPLICABLE、总体和逐标签一致性、FP、FN 与零召回。Macro F1 不能替代错误分析，也不能直接转化为自动认证资格。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b/>
          <w:color w:val="000000"/>
          <w:sz w:val="18"/>
        </w:rPr>
        <w:t>第六，保留合成边界和负面结果。</w:t>
      </w:r>
      <w:r>
        <w:rPr>
          <w:rFonts w:ascii="Times New Roman" w:hAnsi="Times New Roman" w:eastAsia="SimSun"/>
          <w:color w:val="000000"/>
          <w:sz w:val="18"/>
        </w:rPr>
        <w:t xml:space="preserve"> Episode 必须称为合成轨迹，而不是参与者。prompt ignored、调用失败、低 F1、标签歧义、排除模型和缺失元数据都应保留。未经真人验证，虚拟结果只能用于机制探索和假说生成。</w:t>
      </w:r>
    </w:p>
    <w:p>
      <w:pPr>
        <w:pStyle w:val="2"/>
        <w:keepNext/>
      </w:pPr>
      <w:r>
        <w:rPr>
          <w:rFonts w:ascii="Times New Roman" w:hAnsi="Times New Roman" w:eastAsia="SimSun"/>
          <w:i/>
          <w:color w:val="000000"/>
          <w:sz w:val="18"/>
        </w:rPr>
        <w:t>最低报告清单</w:t>
      </w:r>
    </w:p>
    <w:p>
      <w:pPr>
        <w:keepNext/>
        <w:spacing w:before="60" w:after="40"/>
        <w:jc w:val="center"/>
      </w:pPr>
      <w:r>
        <w:rPr>
          <w:rFonts w:ascii="Times New Roman" w:hAnsi="Times New Roman" w:eastAsia="SimSun"/>
          <w:color w:val="000000"/>
          <w:sz w:val="16"/>
        </w:rPr>
        <w:t>表 5. 生成式用户研究最低报告清单。</w:t>
      </w:r>
    </w:p>
    <w:tbl>
      <w:tblPr>
        <w:tblW w:type="dxa" w:w="4579"/>
        <w:tblLayout w:type="fixed"/>
        <w:tblLook w:firstColumn="1" w:firstRow="1" w:lastColumn="0" w:lastRow="0" w:noHBand="0" w:noVBand="1" w:val="04A0"/>
        <w:tblLayout w:type="fixed"/>
        <w:tblBorders>
          <w:top w:val="single" w:sz="8" w:color="666666"/>
          <w:insideH w:val="single" w:sz="3" w:color="666666"/>
          <w:bottom w:val="single" w:sz="8" w:color="666666"/>
          <w:left w:val="nil" w:color="666666"/>
          <w:right w:val="nil" w:color="666666"/>
          <w:insideV w:val="nil" w:color="666666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14"/>
              </w:rPr>
              <w:t>报告项目</w:t>
            </w:r>
          </w:p>
        </w:tc>
        <w:tc>
          <w:tcPr>
            <w:tcW w:type="dxa" w:w="331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14"/>
              </w:rPr>
              <w:t>最低要求</w:t>
            </w:r>
          </w:p>
        </w:tc>
      </w:tr>
      <w:tr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用户模拟器</w:t>
            </w:r>
          </w:p>
        </w:tc>
        <w:tc>
          <w:tcPr>
            <w:tcW w:type="dxa" w:w="331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名称、端点、版本、解码设置及其作为实验因素的处理方式</w:t>
            </w:r>
          </w:p>
        </w:tc>
      </w:tr>
      <w:tr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模型角色</w:t>
            </w:r>
          </w:p>
        </w:tc>
        <w:tc>
          <w:tcPr>
            <w:tcW w:type="dxa" w:w="331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分别登记 User Simulator、Companion、Judge、Analyst，披露角色重叠</w:t>
            </w:r>
          </w:p>
        </w:tc>
      </w:tr>
      <w:tr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Persona 与场景</w:t>
            </w:r>
          </w:p>
        </w:tc>
        <w:tc>
          <w:tcPr>
            <w:tcW w:type="dxa" w:w="331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说明构造方式、行动空间和未覆盖的现实行为</w:t>
            </w:r>
          </w:p>
        </w:tc>
      </w:tr>
      <w:tr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Policy 与 prompt</w:t>
            </w:r>
          </w:p>
        </w:tc>
        <w:tc>
          <w:tcPr>
            <w:tcW w:type="dxa" w:w="331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提供可审计文本或版本；缺失时明确写“缺失”</w:t>
            </w:r>
          </w:p>
        </w:tc>
      </w:tr>
      <w:tr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运行元数据</w:t>
            </w:r>
          </w:p>
        </w:tc>
        <w:tc>
          <w:tcPr>
            <w:tcW w:type="dxa" w:w="331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Run ID、seed、模型版本、代码版本与冻结清单</w:t>
            </w:r>
          </w:p>
        </w:tc>
      </w:tr>
      <w:tr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依赖类型</w:t>
            </w:r>
          </w:p>
        </w:tc>
        <w:tc>
          <w:tcPr>
            <w:tcW w:type="dxa" w:w="331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分别报告 Level、Rank、Conclusion Dependence</w:t>
            </w:r>
          </w:p>
        </w:tc>
      </w:tr>
      <w:tr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人工校准</w:t>
            </w:r>
          </w:p>
        </w:tc>
        <w:tc>
          <w:tcPr>
            <w:tcW w:type="dxa" w:w="331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样本量、抽样、NA、prevalence、一致性、FP、FN、零召回</w:t>
            </w:r>
          </w:p>
        </w:tc>
      </w:tr>
      <w:tr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合成数据称谓</w:t>
            </w:r>
          </w:p>
        </w:tc>
        <w:tc>
          <w:tcPr>
            <w:tcW w:type="dxa" w:w="331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使用 Episode、synthetic trajectory 或 simulated interaction，不称参与者</w:t>
            </w:r>
          </w:p>
        </w:tc>
      </w:tr>
      <w:tr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失败与排除</w:t>
            </w:r>
          </w:p>
        </w:tc>
        <w:tc>
          <w:tcPr>
            <w:tcW w:type="dxa" w:w="331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报告调用失败、prompt ignored、兼容性问题、排除理由及其推断边界</w:t>
            </w:r>
          </w:p>
        </w:tc>
      </w:tr>
      <w:tr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结论用途</w:t>
            </w:r>
          </w:p>
        </w:tc>
        <w:tc>
          <w:tcPr>
            <w:tcW w:type="dxa" w:w="331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4"/>
              </w:rPr>
              <w:t>区分机制探索、假说生成、真人外部验证与禁止用途</w:t>
            </w:r>
          </w:p>
        </w:tc>
      </w:tr>
    </w:tbl>
    <w:p>
      <w:pPr>
        <w:pStyle w:val="1"/>
        <w:keepNext/>
      </w:pPr>
      <w:r>
        <w:rPr>
          <w:rFonts w:ascii="Times New Roman" w:hAnsi="Times New Roman" w:eastAsia="SimSun"/>
          <w:i w:val="0"/>
          <w:color w:val="000000"/>
          <w:sz w:val="20"/>
        </w:rPr>
        <w:t>LIMITATIONS / 局限</w:t>
      </w:r>
    </w:p>
    <w:p>
      <w:pPr>
        <w:pStyle w:val="2"/>
        <w:keepNext/>
      </w:pPr>
      <w:r>
        <w:rPr>
          <w:rFonts w:ascii="Times New Roman" w:hAnsi="Times New Roman" w:eastAsia="SimSun"/>
          <w:i/>
          <w:color w:val="000000"/>
          <w:sz w:val="18"/>
        </w:rPr>
        <w:t>外部效度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当前跨模型比较只有 DeepSeek、Qwen 和 GLM-4-FlashX，无法覆盖模型生态，也不能形成安全排行。场景数量和变化范围有限，跨模型部分集中在重复确认诉求，纵向部分集中在人际冲突。Persona 由研究者人工构造，没有从明确的真实总体抽样或校准。两个用户模拟器都不代表真实人群，40-turn Episode 也不等于数月或数年的关系发展。尚未完成真实用户纵向验证。</w:t>
      </w:r>
    </w:p>
    <w:p>
      <w:pPr>
        <w:pStyle w:val="2"/>
        <w:keepNext/>
      </w:pPr>
      <w:r>
        <w:rPr>
          <w:rFonts w:ascii="Times New Roman" w:hAnsi="Times New Roman" w:eastAsia="SimSun"/>
          <w:i/>
          <w:color w:val="000000"/>
          <w:sz w:val="18"/>
        </w:rPr>
        <w:t>测量局限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模拟状态和行动计数不是临床变量。Companion turns 多、Friend turns 少不能直接解释为心理依赖。人工标注只有 44 条 pilot items，16 个有效 F1 标签和 43 条成功 Judge 输出，不构成稳定性能估计。中文标签覆盖仍有限，A1、A3 rule、A5、C3 与 C5 尤其薄弱；C3 还存在定义歧义。退出与连续性标签的 NOT_APPLICABLE 比例很高，C1 的完美 F1 只来自一个正例。当前 Benchmark 不能用于自动安全认证。</w:t>
      </w:r>
    </w:p>
    <w:p>
      <w:pPr>
        <w:pStyle w:val="2"/>
        <w:keepNext/>
      </w:pPr>
      <w:r>
        <w:rPr>
          <w:rFonts w:ascii="Times New Roman" w:hAnsi="Times New Roman" w:eastAsia="SimSun"/>
          <w:i/>
          <w:color w:val="000000"/>
          <w:sz w:val="18"/>
        </w:rPr>
        <w:t>工程复现局限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 xml:space="preserve">M6.5 的 Policy prompt 写在运行脚本中，没有独立的 semantic version；虽然脚本和冻结文件可以审计，复现元数据仍不完整。供应商接口对 system prompt 的支持并不一致，旧 </w:t>
      </w:r>
      <w:r>
        <w:rPr>
          <w:rFonts w:ascii="Consolas" w:hAnsi="Consolas" w:eastAsia="SimSun"/>
          <w:color w:val="000000"/>
          <w:sz w:val="17"/>
        </w:rPr>
        <w:t>glm-4-flash</w:t>
      </w:r>
      <w:r>
        <w:rPr>
          <w:rFonts w:ascii="Times New Roman" w:hAnsi="Times New Roman" w:eastAsia="SimSun"/>
          <w:color w:val="000000"/>
          <w:sz w:val="18"/>
        </w:rPr>
        <w:t xml:space="preserve"> 的固定 0.30 结果和 </w:t>
      </w:r>
      <w:r>
        <w:rPr>
          <w:rFonts w:ascii="Consolas" w:hAnsi="Consolas" w:eastAsia="SimSun"/>
          <w:color w:val="000000"/>
          <w:sz w:val="17"/>
        </w:rPr>
        <w:t>glm-4.7-flash</w:t>
      </w:r>
      <w:r>
        <w:rPr>
          <w:rFonts w:ascii="Times New Roman" w:hAnsi="Times New Roman" w:eastAsia="SimSun"/>
          <w:color w:val="000000"/>
          <w:sz w:val="18"/>
        </w:rPr>
        <w:t xml:space="preserve"> 的超时说明工程兼容性会伪装成模型差异。seed 可以帮助重放配置，却不能消除生成模型、供应商服务和模型版本更新带来的随机性。</w:t>
      </w:r>
    </w:p>
    <w:p>
      <w:pPr>
        <w:pStyle w:val="2"/>
        <w:keepNext/>
      </w:pPr>
      <w:r>
        <w:rPr>
          <w:rFonts w:ascii="Times New Roman" w:hAnsi="Times New Roman" w:eastAsia="SimSun"/>
          <w:i/>
          <w:color w:val="000000"/>
          <w:sz w:val="18"/>
        </w:rPr>
        <w:t>理论局限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ARI 目前是概念性方法警示，尚未完成与表面效度、自动化偏差、拟人化、algorithmic fidelity 等概念的系统辨析，也没有形成或验证量表。本文观察到的是受控模拟中的测量依赖，不能证明 AI 陪伴导致心理依赖，不能推断真实人群比例，也不能证明所有生成式社会模拟都会出现结论反转。</w:t>
      </w:r>
    </w:p>
    <w:p>
      <w:pPr>
        <w:pStyle w:val="1"/>
        <w:keepNext/>
      </w:pPr>
      <w:r>
        <w:rPr>
          <w:rFonts w:ascii="Times New Roman" w:hAnsi="Times New Roman" w:eastAsia="SimSun"/>
          <w:i w:val="0"/>
          <w:color w:val="000000"/>
          <w:sz w:val="20"/>
        </w:rPr>
        <w:t>CONCLUSIONS / 结论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本文从一个简单的问题出发：当 AI 替人类爱上另一个 AI，实验里究竟有多少“人”？冻结结果给出的答案并不浪漫，却有方法价值。关系策略的方向可以跨伴侣模型保持稳定，效应大小仍依赖模型；同一 persona 交给不同用户模拟器，会形成不同的关系节点分配；同一段对话交给 Rule、Judge 与 Ensemble，又会暴露不同的风险。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因此，生成式用户不是透明替身，而是测量系统的一部分。负责任的研究不能只报告生成了多少 Episode，还要报告由哪个模型想象这些人、模型被赋予什么行动空间、谁负责判断风险，以及这些选择是否改变分数、排序或核心结论。ARI 提醒我们：语言流畅只是一种表面证据，不能自动兑换成人群代表性。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虚拟社会仍然值得研究。它可以用来控制变量、寻找机制、暴露评估盲点和生成真人研究的假说，但不能替代真实用户的纵向验证。一万个虚拟人，不一定是一万人；有时只是同一个模型，对人类想象了一万次。</w:t>
      </w:r>
    </w:p>
    <w:p>
      <w:pPr>
        <w:pStyle w:val="ReferenceHead"/>
        <w:keepNext/>
      </w:pPr>
      <w:r>
        <w:rPr>
          <w:rFonts w:ascii="Times New Roman" w:hAnsi="Times New Roman" w:eastAsia="SimSun"/>
          <w:color w:val="000000"/>
          <w:sz w:val="18"/>
        </w:rPr>
        <w:t>REPRODUCIBILITY NOTE / 复现说明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 xml:space="preserve">本文使用 Benchmark v0.1.0 的冻结输出，跨模型主 Run ID 为 </w:t>
      </w:r>
      <w:r>
        <w:rPr>
          <w:rFonts w:ascii="Consolas" w:hAnsi="Consolas" w:eastAsia="SimSun"/>
          <w:color w:val="000000"/>
          <w:sz w:val="17"/>
        </w:rPr>
        <w:t>m6_5_20260716_133837</w:t>
      </w:r>
      <w:r>
        <w:rPr>
          <w:rFonts w:ascii="Times New Roman" w:hAnsi="Times New Roman" w:eastAsia="SimSun"/>
          <w:color w:val="000000"/>
          <w:sz w:val="18"/>
        </w:rPr>
        <w:t xml:space="preserve">，纵向实验使用相应 M6.5 冻结结果。跨模型 seeds 为 42、99、717；纵向比较使用冻结配置中的两个 seeds。模型、Policy、场景、文件哈希和人工复核状态详见 </w:t>
      </w:r>
      <w:r>
        <w:rPr>
          <w:rFonts w:ascii="Consolas" w:hAnsi="Consolas" w:eastAsia="SimSun"/>
          <w:color w:val="000000"/>
          <w:sz w:val="17"/>
        </w:rPr>
        <w:t>virtual-humans-have-biases-data-map-codex.md</w:t>
      </w:r>
      <w:r>
        <w:rPr>
          <w:rFonts w:ascii="Times New Roman" w:hAnsi="Times New Roman" w:eastAsia="SimSun"/>
          <w:color w:val="000000"/>
          <w:sz w:val="18"/>
        </w:rPr>
        <w:t xml:space="preserve"> 与 </w:t>
      </w:r>
      <w:r>
        <w:rPr>
          <w:rFonts w:ascii="Consolas" w:hAnsi="Consolas" w:eastAsia="SimSun"/>
          <w:color w:val="000000"/>
          <w:sz w:val="17"/>
        </w:rPr>
        <w:t>virtual-humans-have-biases-claims-register-codex.md</w:t>
      </w:r>
      <w:r>
        <w:rPr>
          <w:rFonts w:ascii="Times New Roman" w:hAnsi="Times New Roman" w:eastAsia="SimSun"/>
          <w:color w:val="000000"/>
          <w:sz w:val="18"/>
        </w:rPr>
        <w:t>。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 xml:space="preserve">M6.5 Policy 以运行脚本内联 prompt 实现，没有独立的 </w:t>
      </w:r>
      <w:r>
        <w:rPr>
          <w:rFonts w:ascii="Consolas" w:hAnsi="Consolas" w:eastAsia="SimSun"/>
          <w:color w:val="000000"/>
          <w:sz w:val="17"/>
        </w:rPr>
        <w:t>policy_version</w:t>
      </w:r>
      <w:r>
        <w:rPr>
          <w:rFonts w:ascii="Times New Roman" w:hAnsi="Times New Roman" w:eastAsia="SimSun"/>
          <w:color w:val="000000"/>
          <w:sz w:val="18"/>
        </w:rPr>
        <w:t xml:space="preserve">；本文不事后补造版本号。旧 M6 强制退出轨迹、旧 </w:t>
      </w:r>
      <w:r>
        <w:rPr>
          <w:rFonts w:ascii="Consolas" w:hAnsi="Consolas" w:eastAsia="SimSun"/>
          <w:color w:val="000000"/>
          <w:sz w:val="17"/>
        </w:rPr>
        <w:t>glm-4-flash</w:t>
      </w:r>
      <w:r>
        <w:rPr>
          <w:rFonts w:ascii="Times New Roman" w:hAnsi="Times New Roman" w:eastAsia="SimSun"/>
          <w:color w:val="000000"/>
          <w:sz w:val="18"/>
        </w:rPr>
        <w:t xml:space="preserve"> 固定 0.30 结果及 </w:t>
      </w:r>
      <w:r>
        <w:rPr>
          <w:rFonts w:ascii="Consolas" w:hAnsi="Consolas" w:eastAsia="SimSun"/>
          <w:color w:val="000000"/>
          <w:sz w:val="17"/>
        </w:rPr>
        <w:t>glm-4.7-flash</w:t>
      </w:r>
      <w:r>
        <w:rPr>
          <w:rFonts w:ascii="Times New Roman" w:hAnsi="Times New Roman" w:eastAsia="SimSun"/>
          <w:color w:val="000000"/>
          <w:sz w:val="18"/>
        </w:rPr>
        <w:t xml:space="preserve"> 超时均保留为排除项。冻结 Benchmark 文件未因本文重写而修改，实验也未重新运行。</w:t>
      </w:r>
    </w:p>
    <w:p>
      <w:pPr>
        <w:pStyle w:val="ReferenceHead"/>
        <w:keepNext/>
      </w:pPr>
      <w:r>
        <w:rPr>
          <w:rFonts w:ascii="Times New Roman" w:hAnsi="Times New Roman" w:eastAsia="SimSun"/>
          <w:color w:val="000000"/>
          <w:sz w:val="18"/>
        </w:rPr>
        <w:t>DATA AVAILABILITY / 数据可得性声明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 xml:space="preserve">本文所用 Benchmark、manifest、冻结汇总、纵向结果、人工标注与校准结果均位于当前 RelSafe Sim 仓库。数字级溯源见 </w:t>
      </w:r>
      <w:r>
        <w:rPr>
          <w:rFonts w:ascii="Consolas" w:hAnsi="Consolas" w:eastAsia="SimSun"/>
          <w:color w:val="000000"/>
          <w:sz w:val="17"/>
        </w:rPr>
        <w:t>docs/papers/virtual-humans-have-biases-data-map-codex.md</w:t>
      </w:r>
      <w:r>
        <w:rPr>
          <w:rFonts w:ascii="Times New Roman" w:hAnsi="Times New Roman" w:eastAsia="SimSun"/>
          <w:color w:val="000000"/>
          <w:sz w:val="18"/>
        </w:rPr>
        <w:t xml:space="preserve">，主张边界见 </w:t>
      </w:r>
      <w:r>
        <w:rPr>
          <w:rFonts w:ascii="Consolas" w:hAnsi="Consolas" w:eastAsia="SimSun"/>
          <w:color w:val="000000"/>
          <w:sz w:val="17"/>
        </w:rPr>
        <w:t>docs/papers/virtual-humans-have-biases-claims-register-codex.md</w:t>
      </w:r>
      <w:r>
        <w:rPr>
          <w:rFonts w:ascii="Times New Roman" w:hAnsi="Times New Roman" w:eastAsia="SimSun"/>
          <w:color w:val="000000"/>
          <w:sz w:val="18"/>
        </w:rPr>
        <w:t>。冻结文件未因本文写作而修改。</w:t>
      </w:r>
    </w:p>
    <w:p>
      <w:pPr>
        <w:pStyle w:val="ReferenceHead"/>
        <w:keepNext/>
      </w:pPr>
      <w:r>
        <w:rPr>
          <w:rFonts w:ascii="Times New Roman" w:hAnsi="Times New Roman" w:eastAsia="SimSun"/>
          <w:color w:val="000000"/>
          <w:sz w:val="18"/>
        </w:rPr>
        <w:t>ETHICS STATEMENT / 伦理声明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本研究分析的是合成 persona、合成对话与合成 Episode，不包含真实用户对话、临床资料或真人心理测量。两位人工标注者仅对合成文本进行方法校准。本文不把 AEA、ARI 或 UserState 用作临床诊断，不对真实个体作心理评价。若后续开展真实用户纵向研究，应另行完成伦理审查、知情同意、敏感数据保护与高风险退出机制。</w:t>
      </w:r>
    </w:p>
    <w:p>
      <w:pPr>
        <w:pStyle w:val="Style1"/>
        <w:keepNext/>
      </w:pPr>
      <w:r>
        <w:rPr>
          <w:rFonts w:ascii="Times New Roman" w:hAnsi="Times New Roman" w:eastAsia="SimSun"/>
          <w:color w:val="000000"/>
          <w:sz w:val="18"/>
        </w:rPr>
        <w:t>AUTHOR CONTRIBUTIONS / 作者贡献（CRediT）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作者贡献将在实名投稿版本中由作者依据 CRediT 角色据实申报；本匿名排版稿不虚构署名分工。</w:t>
      </w:r>
    </w:p>
    <w:p>
      <w:pPr>
        <w:pStyle w:val="ReferenceHead"/>
        <w:keepNext/>
      </w:pPr>
      <w:r>
        <w:rPr>
          <w:rFonts w:ascii="Times New Roman" w:hAnsi="Times New Roman" w:eastAsia="SimSun"/>
          <w:color w:val="000000"/>
          <w:sz w:val="18"/>
        </w:rPr>
        <w:t>CONFLICT OF INTEREST / 利益冲突声明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当前仓库未提供可核验的利益冲突信息；正式提交前应由全体作者完成并确认利益冲突声明。</w:t>
      </w:r>
    </w:p>
    <w:p>
      <w:pPr>
        <w:pStyle w:val="ReferenceHead"/>
        <w:keepNext/>
      </w:pPr>
      <w:r>
        <w:rPr>
          <w:rFonts w:ascii="Times New Roman" w:hAnsi="Times New Roman" w:eastAsia="SimSun"/>
          <w:color w:val="000000"/>
          <w:sz w:val="18"/>
        </w:rPr>
        <w:t>FUNDING / 资助声明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当前仓库未提供本研究可核验的资助信息；正式提交前应由作者依据真实情况补充。</w:t>
      </w:r>
    </w:p>
    <w:p>
      <w:pPr>
        <w:pStyle w:val="ReferenceHead"/>
        <w:keepNext/>
      </w:pPr>
      <w:r>
        <w:rPr>
          <w:rFonts w:ascii="Times New Roman" w:hAnsi="Times New Roman" w:eastAsia="SimSun"/>
          <w:color w:val="000000"/>
          <w:sz w:val="18"/>
        </w:rPr>
        <w:t>AI USE DISCLOSURE / AI 工具使用声明</w:t>
      </w:r>
    </w:p>
    <w:p>
      <w:pPr>
        <w:spacing w:after="0" w:line="240" w:lineRule="auto"/>
        <w:ind w:firstLine="144"/>
        <w:jc w:val="both"/>
      </w:pPr>
      <w:r>
        <w:rPr>
          <w:rFonts w:ascii="Times New Roman" w:hAnsi="Times New Roman" w:eastAsia="SimSun"/>
          <w:color w:val="000000"/>
          <w:sz w:val="18"/>
        </w:rPr>
        <w:t>本 Codex 版初稿使用 OpenAI Codex 辅助完成仓库材料检索、冻结数字核验、数据映射、主张分级、结构重写与文字起草。核心数字均回溯到仓库文件；最终作者需独立复核方法、引用、统计解释与全部文字，并依据目标期刊政策调整披露内容。AI 工具不承担作者责任。</w:t>
      </w:r>
    </w:p>
    <w:p w14:paraId="6D748CCD" w14:textId="77777777" w:rsidR="00BF419F" w:rsidRDefault="00000000">
      <w:pPr>
        <w:pStyle w:val="ReferenceHead"/>
      </w:pPr>
      <w:r>
        <w:rPr>
          <w:color w:val="000000"/>
          <w:sz w:val="18"/>
        </w:rPr>
        <w:t>REFERENCES</w:t>
      </w:r>
    </w:p>
    <w:p w14:paraId="2B4A92F4" w14:textId="77777777" w:rsidR="00BF419F" w:rsidRDefault="00000000">
      <w:pPr>
        <w:spacing w:line="221" w:lineRule="auto"/>
        <w:ind w:left="202" w:hanging="202"/>
        <w:jc w:val="both"/>
      </w:pPr>
      <w:r>
        <w:rPr>
          <w:color w:val="000000"/>
          <w:sz w:val="14"/>
        </w:rPr>
        <w:t>[1] Park, J. S., O'Brien, J. C., Cai, C. J., Morris, M. R., Liang, P., &amp; Bernstein, M. S. (2023). Generative Agents: Interactive Simulacra of Human Behavior. Proceedings of the 36th Annual ACM Symposium on User Interface Software and Technology, Article 2, 1–22. https://doi.org/10.1145/3586183.3606763</w:t>
      </w:r>
    </w:p>
    <w:p w14:paraId="66F4657E" w14:textId="77777777" w:rsidR="00BF419F" w:rsidRDefault="00000000">
      <w:pPr>
        <w:spacing w:line="221" w:lineRule="auto"/>
        <w:ind w:left="202" w:hanging="202"/>
        <w:jc w:val="both"/>
      </w:pPr>
      <w:r>
        <w:rPr>
          <w:color w:val="000000"/>
          <w:sz w:val="14"/>
        </w:rPr>
        <w:t>[2] Argyle, L. P., Busby, E. C., Fulda, N., Gubler, J. R., Rytting, C., &amp; Wingate, D. (2023). Out of One, Many: Using Language Models to Simulate Human Samples. Political Analysis, 31(3), 337–351. https://doi.org/10.1017/pan.2023.2</w:t>
      </w:r>
    </w:p>
    <w:p w14:paraId="48E67E38" w14:textId="77777777" w:rsidR="00BF419F" w:rsidRDefault="00000000">
      <w:pPr>
        <w:spacing w:line="221" w:lineRule="auto"/>
        <w:ind w:left="202" w:hanging="202"/>
        <w:jc w:val="both"/>
      </w:pPr>
      <w:r>
        <w:rPr>
          <w:color w:val="000000"/>
          <w:sz w:val="14"/>
        </w:rPr>
        <w:t>[3] Aher, G. V., Arriaga, R. I., &amp; Kalai, A. T. (2023). Using Large Language Models to Simulate Multiple Humans and Replicate Human Subject Studies. Proceedings of the 40th International Conference on Machine Learning, PMLR 202, 337–371. https://proceedings.mlr.press/v202/aher23a.html</w:t>
      </w:r>
    </w:p>
    <w:p w14:paraId="4D851651" w14:textId="77777777" w:rsidR="00BF419F" w:rsidRDefault="00000000">
      <w:pPr>
        <w:spacing w:line="221" w:lineRule="auto"/>
        <w:ind w:left="202" w:hanging="202"/>
        <w:jc w:val="both"/>
      </w:pPr>
      <w:r>
        <w:rPr>
          <w:color w:val="000000"/>
          <w:sz w:val="14"/>
        </w:rPr>
        <w:t>[4] Chen, G. H., Chen, S., Liu, Z., Jiang, F., &amp; Wang, B. (2024). Humans or LLMs as the Judge? A Study on Judgement Bias. Proceedings of EMNLP 2024, 8301–8327. https://doi.org/10.18653/v1/2024.emnlp-main.474</w:t>
      </w:r>
    </w:p>
    <w:p w14:paraId="05B5F174" w14:textId="77777777" w:rsidR="00BF419F" w:rsidRDefault="00000000">
      <w:pPr>
        <w:spacing w:line="221" w:lineRule="auto"/>
        <w:ind w:left="202" w:hanging="202"/>
        <w:jc w:val="both"/>
      </w:pPr>
      <w:r>
        <w:rPr>
          <w:color w:val="000000"/>
          <w:sz w:val="14"/>
        </w:rPr>
        <w:t>[5] Watts, I., Gumma, V., Yadavalli, A., Seshadri, V., Swaminathan, M., &amp; Sitaram, S. (2024). PARIKSHA: A Large-Scale Investigation of Human-LLM Evaluator Agreement on Multilingual and Multi-Cultural Data. Proceedings of EMNLP 2024, 7900–7932. https://doi.org/10.18653/v1/2024.emnlp-main.451</w:t>
      </w:r>
    </w:p>
    <w:p w14:paraId="2FFCA251" w14:textId="77777777" w:rsidR="00BF419F" w:rsidRDefault="00000000">
      <w:pPr>
        <w:spacing w:line="221" w:lineRule="auto"/>
        <w:ind w:left="202" w:hanging="202"/>
        <w:jc w:val="both"/>
      </w:pPr>
      <w:r>
        <w:rPr>
          <w:color w:val="000000"/>
          <w:sz w:val="14"/>
        </w:rPr>
        <w:t>[6] OpenAI. (2025, April 29). Sycophancy in GPT-4o: What happened and what we're doing about it. https://openai.com/index/sycophancy-in-gpt-4o/</w:t>
      </w:r>
    </w:p>
    <w:p w14:paraId="09EBD997" w14:textId="77777777" w:rsidR="00BF419F" w:rsidRDefault="00000000">
      <w:pPr>
        <w:spacing w:line="221" w:lineRule="auto"/>
        <w:ind w:left="202" w:hanging="202"/>
        <w:jc w:val="both"/>
        <w:rPr>
          <w:lang w:eastAsia="zh-CN"/>
        </w:rPr>
      </w:pPr>
      <w:r>
        <w:rPr>
          <w:color w:val="000000"/>
          <w:sz w:val="14"/>
          <w:lang w:eastAsia="zh-CN"/>
        </w:rPr>
        <w:t xml:space="preserve">[7] </w:t>
      </w:r>
      <w:r>
        <w:rPr>
          <w:color w:val="000000"/>
          <w:sz w:val="14"/>
          <w:lang w:eastAsia="zh-CN"/>
        </w:rPr>
        <w:t>考上然后装逼，橘猫爱吃橘子</w:t>
      </w:r>
      <w:r>
        <w:rPr>
          <w:color w:val="000000"/>
          <w:sz w:val="14"/>
          <w:lang w:eastAsia="zh-CN"/>
        </w:rPr>
        <w:t xml:space="preserve">. (2026). </w:t>
      </w:r>
      <w:r>
        <w:rPr>
          <w:color w:val="000000"/>
          <w:sz w:val="14"/>
          <w:lang w:eastAsia="zh-CN"/>
        </w:rPr>
        <w:t>《爱的是她，还是被算法过拟合的你自己？</w:t>
      </w:r>
      <w:r>
        <w:rPr>
          <w:color w:val="000000"/>
          <w:sz w:val="14"/>
          <w:lang w:eastAsia="zh-CN"/>
        </w:rPr>
        <w:t>——</w:t>
      </w:r>
      <w:r>
        <w:rPr>
          <w:color w:val="000000"/>
          <w:sz w:val="14"/>
          <w:lang w:eastAsia="zh-CN"/>
        </w:rPr>
        <w:t>关于</w:t>
      </w:r>
      <w:r>
        <w:rPr>
          <w:color w:val="000000"/>
          <w:sz w:val="14"/>
          <w:lang w:eastAsia="zh-CN"/>
        </w:rPr>
        <w:t xml:space="preserve"> AI </w:t>
      </w:r>
      <w:r>
        <w:rPr>
          <w:color w:val="000000"/>
          <w:sz w:val="14"/>
          <w:lang w:eastAsia="zh-CN"/>
        </w:rPr>
        <w:t>陪伴的情感熵增分析》</w:t>
      </w:r>
      <w:r>
        <w:rPr>
          <w:color w:val="000000"/>
          <w:sz w:val="14"/>
          <w:lang w:eastAsia="zh-CN"/>
        </w:rPr>
        <w:t xml:space="preserve">. </w:t>
      </w:r>
      <w:r>
        <w:rPr>
          <w:color w:val="000000"/>
          <w:sz w:val="14"/>
          <w:lang w:eastAsia="zh-CN"/>
        </w:rPr>
        <w:t>当前仓库</w:t>
      </w:r>
      <w:r>
        <w:rPr>
          <w:color w:val="000000"/>
          <w:sz w:val="14"/>
          <w:lang w:eastAsia="zh-CN"/>
        </w:rPr>
        <w:t xml:space="preserve"> PDF</w:t>
      </w:r>
      <w:r>
        <w:rPr>
          <w:color w:val="000000"/>
          <w:sz w:val="14"/>
          <w:lang w:eastAsia="zh-CN"/>
        </w:rPr>
        <w:t>。</w:t>
      </w:r>
    </w:p>
    <w:p w14:paraId="3807395E" w14:textId="77777777" w:rsidR="00BF419F" w:rsidRDefault="00000000">
      <w:pPr>
        <w:spacing w:line="221" w:lineRule="auto"/>
        <w:ind w:left="202" w:hanging="202"/>
        <w:jc w:val="both"/>
      </w:pPr>
      <w:r>
        <w:rPr>
          <w:color w:val="000000"/>
          <w:sz w:val="14"/>
        </w:rPr>
        <w:t>[8] Saracini, C., Cornejo-Plaza, M. I., &amp; Cippitani, R. (2025). Techno-emotional projection in human–GenAI relationships: A psychological and ethical conceptual perspective. Frontiers in Psychology, 16, 1662206. https://doi.org/10.3389/fpsyg.2025.1662206</w:t>
      </w:r>
    </w:p>
    <w:sectPr w:rsidR="00BF419F" w:rsidSect="00CB2E00">
      <w:type w:val="continuous"/>
      <w:pgSz w:w="12240" w:h="15840" w:code="1"/>
      <w:pgMar w:top="1008" w:right="936" w:bottom="1008" w:left="936" w:header="432" w:footer="432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C922E1" w14:textId="77777777" w:rsidR="005F714D" w:rsidRDefault="005F714D">
      <w:r>
        <w:separator/>
      </w:r>
    </w:p>
  </w:endnote>
  <w:endnote w:type="continuationSeparator" w:id="0">
    <w:p w14:paraId="0C0F64A6" w14:textId="77777777" w:rsidR="005F714D" w:rsidRDefault="005F71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">
    <w:charset w:val="00"/>
    <w:family w:val="roman"/>
    <w:pitch w:val="variable"/>
    <w:sig w:usb0="80000067" w:usb1="02000000" w:usb2="00000000" w:usb3="00000000" w:csb0="0000019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ormata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MR6">
    <w:altName w:val="Cambria"/>
    <w:panose1 w:val="00000000000000000000"/>
    <w:charset w:val="00"/>
    <w:family w:val="roman"/>
    <w:notTrueType/>
    <w:pitch w:val="default"/>
  </w:font>
  <w:font w:name="LMRoman9-Regular-Identity-H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241B6F" w14:textId="77777777" w:rsidR="005F714D" w:rsidRDefault="005F714D"/>
  </w:footnote>
  <w:footnote w:type="continuationSeparator" w:id="0">
    <w:p w14:paraId="3236656E" w14:textId="77777777" w:rsidR="005F714D" w:rsidRDefault="005F71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E82C44" w14:textId="77777777" w:rsidR="004D671F" w:rsidRDefault="004D671F">
    <w:pPr>
      <w:framePr w:wrap="auto" w:vAnchor="text" w:hAnchor="margin" w:xAlign="right" w:y="1"/>
    </w:pPr>
  </w:p>
  <w:tbl>
    <w:tblPr>
      <w:tblW w:w="0" w:type="auto"/>
      <w:tblBorders>
        <w:insideH w:val="single" w:sz="4" w:space="0" w:color="auto"/>
      </w:tblBorders>
      <w:tblLook w:val="04A0" w:firstRow="1" w:lastRow="0" w:firstColumn="1" w:lastColumn="0" w:noHBand="0" w:noVBand="1"/>
    </w:tblPr>
    <w:tblGrid>
      <w:gridCol w:w="5178"/>
      <w:gridCol w:w="5190"/>
    </w:tblGrid>
    <w:tr w:rsidR="00AF6022" w14:paraId="495F689B" w14:textId="77777777" w:rsidTr="009028F3">
      <w:tc>
        <w:tcPr>
          <w:tcW w:w="5178" w:type="dxa"/>
        </w:tcPr>
        <w:p w14:paraId="47F70831" w14:textId="77777777" w:rsidR="00AF6022" w:rsidRPr="006B147A" w:rsidRDefault="00F60FFB" w:rsidP="00AF6022">
          <w:pPr>
            <w:ind w:right="360"/>
            <w:rPr>
              <w:sz w:val="16"/>
              <w:szCs w:val="16"/>
            </w:rPr>
          </w:pPr>
          <w:bookmarkStart w:id="1" w:name="_Hlk41216448"/>
          <w:r>
            <w:rPr>
              <w:noProof/>
              <w:sz w:val="16"/>
              <w:szCs w:val="16"/>
            </w:rPr>
            <w:drawing>
              <wp:anchor distT="0" distB="0" distL="114300" distR="114300" simplePos="0" relativeHeight="251658752" behindDoc="0" locked="0" layoutInCell="1" allowOverlap="1" wp14:anchorId="7B469BA1" wp14:editId="5ECD64D3">
                <wp:simplePos x="0" y="0"/>
                <wp:positionH relativeFrom="column">
                  <wp:posOffset>89028</wp:posOffset>
                </wp:positionH>
                <wp:positionV relativeFrom="paragraph">
                  <wp:posOffset>-48895</wp:posOffset>
                </wp:positionV>
                <wp:extent cx="2578100" cy="560015"/>
                <wp:effectExtent l="0" t="0" r="0" b="0"/>
                <wp:wrapNone/>
                <wp:docPr id="122791769" name="Picture 2" descr="A black background with a black squar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791769" name="Picture 2" descr="A black background with a black square&#10;&#10;AI-generated content may be incorrect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5600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90" w:type="dxa"/>
          <w:vAlign w:val="center"/>
        </w:tcPr>
        <w:p w14:paraId="6B021152" w14:textId="77777777" w:rsidR="00AF6022" w:rsidRPr="006B147A" w:rsidRDefault="002B4488" w:rsidP="009028F3">
          <w:pPr>
            <w:ind w:right="360"/>
            <w:jc w:val="right"/>
            <w:rPr>
              <w:b/>
              <w:bCs/>
              <w:sz w:val="28"/>
              <w:szCs w:val="28"/>
              <w:lang w:eastAsia="zh-CN"/>
            </w:rPr>
          </w:pPr>
          <w:r>
            <w:rPr>
              <w:rFonts w:hint="eastAsia"/>
              <w:b/>
              <w:bCs/>
              <w:noProof/>
              <w:sz w:val="28"/>
              <w:szCs w:val="28"/>
              <w:lang w:eastAsia="zh-CN"/>
            </w:rPr>
            <w:drawing>
              <wp:inline distT="0" distB="0" distL="0" distR="0" wp14:anchorId="08A1DDE1" wp14:editId="44C9B171">
                <wp:extent cx="551353" cy="453825"/>
                <wp:effectExtent l="0" t="0" r="0" b="3810"/>
                <wp:docPr id="1510790168" name="图片 5" descr="图片包含 游戏机, 黑暗&#10;&#10;AI 生成的内容可能不正确。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3817084" name="图片 5" descr="图片包含 游戏机, 黑暗&#10;&#10;AI 生成的内容可能不正确。"/>
                        <pic:cNvPicPr/>
                      </pic:nvPicPr>
                      <pic:blipFill rotWithShape="1">
                        <a:blip r:embed="rId2"/>
                        <a:srcRect b="2200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927" cy="53331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bookmarkEnd w:id="1"/>
  <w:p w14:paraId="6C3CD8D9" w14:textId="77777777" w:rsidR="004D671F" w:rsidRDefault="0038721C">
    <w:pPr>
      <w:ind w:right="360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08A91871" wp14:editId="5A1B591A">
              <wp:simplePos x="0" y="0"/>
              <wp:positionH relativeFrom="column">
                <wp:posOffset>0</wp:posOffset>
              </wp:positionH>
              <wp:positionV relativeFrom="paragraph">
                <wp:posOffset>66674</wp:posOffset>
              </wp:positionV>
              <wp:extent cx="6464300" cy="0"/>
              <wp:effectExtent l="0" t="0" r="0" b="0"/>
              <wp:wrapNone/>
              <wp:docPr id="977659392" name="直线连接符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464300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46F9B56E" id="直线连接符 4" o:spid="_x0000_s1026" style="position:absolute;z-index:251657728;visibility:visible;mso-wrap-style:square;mso-width-percent:0;mso-height-percent:0;mso-wrap-distance-left:9pt;mso-wrap-distance-top:.mm뀀;mso-wrap-distance-right:9pt;mso-wrap-distance-bottom:.mm뀀;mso-position-horizontal:absolute;mso-position-horizontal-relative:text;mso-position-vertical:absolute;mso-position-vertical-relative:text;mso-width-percent:0;mso-height-percent:0;mso-width-relative:page;mso-height-relative:page" from="0,5.25pt" to="509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" strokecolor="windowText" strokeweight="1pt">
              <v:stroke joinstyle="miter"/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FE24538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1FE04BD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1E8E81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DB60780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63F4F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2CBA660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66FEB2A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36886A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0FDC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BCAA61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69F8DF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1">
    <w:nsid w:val="FFFFFFFB"/>
    <w:multiLevelType w:val="multilevel"/>
    <w:tmpl w:val="2E085744"/>
    <w:lvl w:ilvl="0">
      <w:start w:val="1"/>
      <w:numFmt w:val="upperRoman"/>
      <w:pStyle w:val="1"/>
      <w:lvlText w:val="%1."/>
      <w:legacy w:legacy="1" w:legacySpace="144" w:legacyIndent="144"/>
      <w:lvlJc w:val="left"/>
    </w:lvl>
    <w:lvl w:ilvl="1">
      <w:start w:val="1"/>
      <w:numFmt w:val="upperLetter"/>
      <w:pStyle w:val="2"/>
      <w:lvlText w:val="%2."/>
      <w:legacy w:legacy="1" w:legacySpace="144" w:legacyIndent="144"/>
      <w:lvlJc w:val="left"/>
    </w:lvl>
    <w:lvl w:ilvl="2">
      <w:start w:val="1"/>
      <w:numFmt w:val="decimal"/>
      <w:pStyle w:val="3"/>
      <w:lvlText w:val="%3)"/>
      <w:legacy w:legacy="1" w:legacySpace="144" w:legacyIndent="144"/>
      <w:lvlJc w:val="left"/>
    </w:lvl>
    <w:lvl w:ilvl="3">
      <w:start w:val="1"/>
      <w:numFmt w:val="lowerLetter"/>
      <w:pStyle w:val="4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pStyle w:val="5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pStyle w:val="6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pStyle w:val="7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pStyle w:val="8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pStyle w:val="9"/>
      <w:lvlText w:val="(%9)"/>
      <w:legacy w:legacy="1" w:legacySpace="0" w:legacyIndent="720"/>
      <w:lvlJc w:val="left"/>
      <w:pPr>
        <w:ind w:left="4752" w:hanging="720"/>
      </w:pPr>
    </w:lvl>
  </w:abstractNum>
  <w:abstractNum w:abstractNumId="12" w15:restartNumberingAfterBreak="0">
    <w:nsid w:val="0AD53BAD"/>
    <w:multiLevelType w:val="hybridMultilevel"/>
    <w:tmpl w:val="3A40257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B0B1D6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14" w15:restartNumberingAfterBreak="0">
    <w:nsid w:val="2517274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2D234D8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2F8B23F8"/>
    <w:multiLevelType w:val="singleLevel"/>
    <w:tmpl w:val="12CEED9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7" w15:restartNumberingAfterBreak="0">
    <w:nsid w:val="37347E93"/>
    <w:multiLevelType w:val="hybridMultilevel"/>
    <w:tmpl w:val="35CADE76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877D64"/>
    <w:multiLevelType w:val="singleLevel"/>
    <w:tmpl w:val="5DA6FC16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3AAC1CFC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44775830"/>
    <w:multiLevelType w:val="hybridMultilevel"/>
    <w:tmpl w:val="3E4A0EB2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332F9F"/>
    <w:multiLevelType w:val="singleLevel"/>
    <w:tmpl w:val="488EC81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2" w15:restartNumberingAfterBreak="0">
    <w:nsid w:val="48301EFA"/>
    <w:multiLevelType w:val="hybridMultilevel"/>
    <w:tmpl w:val="39DC1FF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0B59CF"/>
    <w:multiLevelType w:val="singleLevel"/>
    <w:tmpl w:val="4A4223A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4" w15:restartNumberingAfterBreak="0">
    <w:nsid w:val="5563073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25" w15:restartNumberingAfterBreak="0">
    <w:nsid w:val="6DC3293B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6" w15:restartNumberingAfterBreak="0">
    <w:nsid w:val="70C21745"/>
    <w:multiLevelType w:val="hybridMultilevel"/>
    <w:tmpl w:val="C5AA9E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2C3FDB"/>
    <w:multiLevelType w:val="hybridMultilevel"/>
    <w:tmpl w:val="E0222B8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0A417B"/>
    <w:multiLevelType w:val="hybridMultilevel"/>
    <w:tmpl w:val="78D2826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CE3AEE"/>
    <w:multiLevelType w:val="hybridMultilevel"/>
    <w:tmpl w:val="A03C883C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E315E9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num w:numId="1" w16cid:durableId="1080448970">
    <w:abstractNumId w:val="11"/>
  </w:num>
  <w:num w:numId="2" w16cid:durableId="596716277">
    <w:abstractNumId w:val="16"/>
  </w:num>
  <w:num w:numId="3" w16cid:durableId="1061631880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4" w16cid:durableId="499538694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5" w16cid:durableId="965936890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6" w16cid:durableId="1419249341">
    <w:abstractNumId w:val="21"/>
  </w:num>
  <w:num w:numId="7" w16cid:durableId="784691155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8" w16cid:durableId="1402093057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9" w16cid:durableId="1613319101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0" w16cid:durableId="1288858164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1" w16cid:durableId="502472201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2" w16cid:durableId="120730183">
    <w:abstractNumId w:val="18"/>
  </w:num>
  <w:num w:numId="13" w16cid:durableId="493760482">
    <w:abstractNumId w:val="13"/>
  </w:num>
  <w:num w:numId="14" w16cid:durableId="799033032">
    <w:abstractNumId w:val="24"/>
  </w:num>
  <w:num w:numId="15" w16cid:durableId="413089811">
    <w:abstractNumId w:val="23"/>
  </w:num>
  <w:num w:numId="16" w16cid:durableId="1298073720">
    <w:abstractNumId w:val="30"/>
  </w:num>
  <w:num w:numId="17" w16cid:durableId="409083852">
    <w:abstractNumId w:val="15"/>
  </w:num>
  <w:num w:numId="18" w16cid:durableId="437913739">
    <w:abstractNumId w:val="14"/>
  </w:num>
  <w:num w:numId="19" w16cid:durableId="1941252906">
    <w:abstractNumId w:val="25"/>
  </w:num>
  <w:num w:numId="20" w16cid:durableId="685449650">
    <w:abstractNumId w:val="19"/>
  </w:num>
  <w:num w:numId="21" w16cid:durableId="1491946620">
    <w:abstractNumId w:val="0"/>
  </w:num>
  <w:num w:numId="22" w16cid:durableId="202532675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86953981">
    <w:abstractNumId w:val="29"/>
  </w:num>
  <w:num w:numId="24" w16cid:durableId="2036300170">
    <w:abstractNumId w:val="28"/>
  </w:num>
  <w:num w:numId="25" w16cid:durableId="1955624724">
    <w:abstractNumId w:val="22"/>
  </w:num>
  <w:num w:numId="26" w16cid:durableId="201214976">
    <w:abstractNumId w:val="27"/>
  </w:num>
  <w:num w:numId="27" w16cid:durableId="1786920533">
    <w:abstractNumId w:val="12"/>
  </w:num>
  <w:num w:numId="28" w16cid:durableId="1890800308">
    <w:abstractNumId w:val="26"/>
  </w:num>
  <w:num w:numId="29" w16cid:durableId="2043019276">
    <w:abstractNumId w:val="17"/>
  </w:num>
  <w:num w:numId="30" w16cid:durableId="1902986095">
    <w:abstractNumId w:val="20"/>
  </w:num>
  <w:num w:numId="31" w16cid:durableId="998995570">
    <w:abstractNumId w:val="10"/>
  </w:num>
  <w:num w:numId="32" w16cid:durableId="1357584009">
    <w:abstractNumId w:val="8"/>
  </w:num>
  <w:num w:numId="33" w16cid:durableId="1281764394">
    <w:abstractNumId w:val="7"/>
  </w:num>
  <w:num w:numId="34" w16cid:durableId="178744284">
    <w:abstractNumId w:val="6"/>
  </w:num>
  <w:num w:numId="35" w16cid:durableId="473956394">
    <w:abstractNumId w:val="5"/>
  </w:num>
  <w:num w:numId="36" w16cid:durableId="62918695">
    <w:abstractNumId w:val="9"/>
  </w:num>
  <w:num w:numId="37" w16cid:durableId="1330790132">
    <w:abstractNumId w:val="4"/>
  </w:num>
  <w:num w:numId="38" w16cid:durableId="1191147347">
    <w:abstractNumId w:val="3"/>
  </w:num>
  <w:num w:numId="39" w16cid:durableId="1921862977">
    <w:abstractNumId w:val="2"/>
  </w:num>
  <w:num w:numId="40" w16cid:durableId="20195039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02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35B"/>
    <w:rsid w:val="00002A06"/>
    <w:rsid w:val="00011442"/>
    <w:rsid w:val="00015D6E"/>
    <w:rsid w:val="00022F50"/>
    <w:rsid w:val="00051D00"/>
    <w:rsid w:val="00054B3D"/>
    <w:rsid w:val="00062F42"/>
    <w:rsid w:val="00076FA2"/>
    <w:rsid w:val="00095FFB"/>
    <w:rsid w:val="000A4901"/>
    <w:rsid w:val="000B1D1E"/>
    <w:rsid w:val="000B490A"/>
    <w:rsid w:val="000E39A1"/>
    <w:rsid w:val="00113C2D"/>
    <w:rsid w:val="00131CF9"/>
    <w:rsid w:val="00144E72"/>
    <w:rsid w:val="00197200"/>
    <w:rsid w:val="001A0C70"/>
    <w:rsid w:val="001A5335"/>
    <w:rsid w:val="001B7720"/>
    <w:rsid w:val="001C5D73"/>
    <w:rsid w:val="00210B6C"/>
    <w:rsid w:val="0021405C"/>
    <w:rsid w:val="002434A1"/>
    <w:rsid w:val="0025043F"/>
    <w:rsid w:val="002970D3"/>
    <w:rsid w:val="002B4488"/>
    <w:rsid w:val="002C1ECF"/>
    <w:rsid w:val="002C37B7"/>
    <w:rsid w:val="002F4330"/>
    <w:rsid w:val="00342684"/>
    <w:rsid w:val="00347B76"/>
    <w:rsid w:val="00360269"/>
    <w:rsid w:val="0038721C"/>
    <w:rsid w:val="003D2C24"/>
    <w:rsid w:val="003D480B"/>
    <w:rsid w:val="003D60E6"/>
    <w:rsid w:val="003E172B"/>
    <w:rsid w:val="003F6926"/>
    <w:rsid w:val="0040483E"/>
    <w:rsid w:val="00425F26"/>
    <w:rsid w:val="0043144F"/>
    <w:rsid w:val="00431BFA"/>
    <w:rsid w:val="0044462C"/>
    <w:rsid w:val="00451ABB"/>
    <w:rsid w:val="00453531"/>
    <w:rsid w:val="00457452"/>
    <w:rsid w:val="004631BC"/>
    <w:rsid w:val="004A3BFE"/>
    <w:rsid w:val="004C1E16"/>
    <w:rsid w:val="004D671F"/>
    <w:rsid w:val="004E6D32"/>
    <w:rsid w:val="0050282A"/>
    <w:rsid w:val="00507BD8"/>
    <w:rsid w:val="00514BE1"/>
    <w:rsid w:val="00517D15"/>
    <w:rsid w:val="00520724"/>
    <w:rsid w:val="00524571"/>
    <w:rsid w:val="00526260"/>
    <w:rsid w:val="005641B9"/>
    <w:rsid w:val="0057253D"/>
    <w:rsid w:val="00584EC8"/>
    <w:rsid w:val="00590AC8"/>
    <w:rsid w:val="005A2A15"/>
    <w:rsid w:val="005A6B05"/>
    <w:rsid w:val="005B3088"/>
    <w:rsid w:val="005D6DDF"/>
    <w:rsid w:val="005E4814"/>
    <w:rsid w:val="005F714D"/>
    <w:rsid w:val="00601E29"/>
    <w:rsid w:val="00604C08"/>
    <w:rsid w:val="006146F0"/>
    <w:rsid w:val="00625E96"/>
    <w:rsid w:val="00641795"/>
    <w:rsid w:val="00645C72"/>
    <w:rsid w:val="0066378C"/>
    <w:rsid w:val="00665EA9"/>
    <w:rsid w:val="006712D6"/>
    <w:rsid w:val="00674611"/>
    <w:rsid w:val="006A2E12"/>
    <w:rsid w:val="006D45AF"/>
    <w:rsid w:val="006D5FA5"/>
    <w:rsid w:val="006E60F7"/>
    <w:rsid w:val="006F0BC8"/>
    <w:rsid w:val="00720ADB"/>
    <w:rsid w:val="00724ABB"/>
    <w:rsid w:val="00740AD0"/>
    <w:rsid w:val="00783274"/>
    <w:rsid w:val="007A26A5"/>
    <w:rsid w:val="007A67D4"/>
    <w:rsid w:val="007C4336"/>
    <w:rsid w:val="0083499F"/>
    <w:rsid w:val="00863C2C"/>
    <w:rsid w:val="0087792E"/>
    <w:rsid w:val="008A0D7A"/>
    <w:rsid w:val="009028F3"/>
    <w:rsid w:val="0091035B"/>
    <w:rsid w:val="00917415"/>
    <w:rsid w:val="009276D4"/>
    <w:rsid w:val="00934ABF"/>
    <w:rsid w:val="009807F9"/>
    <w:rsid w:val="00997C2B"/>
    <w:rsid w:val="009B78FF"/>
    <w:rsid w:val="009C5D7F"/>
    <w:rsid w:val="009E079A"/>
    <w:rsid w:val="009F2928"/>
    <w:rsid w:val="00A07958"/>
    <w:rsid w:val="00A24571"/>
    <w:rsid w:val="00A40D84"/>
    <w:rsid w:val="00A533D4"/>
    <w:rsid w:val="00A5713E"/>
    <w:rsid w:val="00A57261"/>
    <w:rsid w:val="00A67267"/>
    <w:rsid w:val="00A95B7B"/>
    <w:rsid w:val="00AF6022"/>
    <w:rsid w:val="00B03DC1"/>
    <w:rsid w:val="00B13690"/>
    <w:rsid w:val="00B93760"/>
    <w:rsid w:val="00BB5522"/>
    <w:rsid w:val="00BC1026"/>
    <w:rsid w:val="00BE45DA"/>
    <w:rsid w:val="00BE6E09"/>
    <w:rsid w:val="00BF419F"/>
    <w:rsid w:val="00BF5ED5"/>
    <w:rsid w:val="00C03FE3"/>
    <w:rsid w:val="00C4540F"/>
    <w:rsid w:val="00C67D82"/>
    <w:rsid w:val="00CB2E00"/>
    <w:rsid w:val="00CB38E1"/>
    <w:rsid w:val="00CB4B8D"/>
    <w:rsid w:val="00CD676A"/>
    <w:rsid w:val="00D21FC5"/>
    <w:rsid w:val="00D30DFA"/>
    <w:rsid w:val="00D40B36"/>
    <w:rsid w:val="00D47356"/>
    <w:rsid w:val="00D56935"/>
    <w:rsid w:val="00D758C6"/>
    <w:rsid w:val="00D912C2"/>
    <w:rsid w:val="00DF2DDE"/>
    <w:rsid w:val="00E37E43"/>
    <w:rsid w:val="00E50DF6"/>
    <w:rsid w:val="00E51CBD"/>
    <w:rsid w:val="00E70AA4"/>
    <w:rsid w:val="00E73289"/>
    <w:rsid w:val="00E97402"/>
    <w:rsid w:val="00E9740A"/>
    <w:rsid w:val="00EA1182"/>
    <w:rsid w:val="00F122CE"/>
    <w:rsid w:val="00F16EE5"/>
    <w:rsid w:val="00F30E76"/>
    <w:rsid w:val="00F3272A"/>
    <w:rsid w:val="00F44D30"/>
    <w:rsid w:val="00F60FFB"/>
    <w:rsid w:val="00F631AB"/>
    <w:rsid w:val="00F65266"/>
    <w:rsid w:val="00F7180E"/>
    <w:rsid w:val="00F82B3A"/>
    <w:rsid w:val="00F832CE"/>
    <w:rsid w:val="00FB6822"/>
    <w:rsid w:val="00FC456B"/>
    <w:rsid w:val="00FD1551"/>
    <w:rsid w:val="00FD6B8D"/>
    <w:rsid w:val="00FE08F8"/>
    <w:rsid w:val="00FE72C2"/>
    <w:rsid w:val="00FF2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A36FF3"/>
  <w14:defaultImageDpi w14:val="300"/>
  <w15:chartTrackingRefBased/>
  <w15:docId w15:val="{459D2D09-B329-4D25-B1C8-F9F020D2A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 w:qFormat="1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1" w:qFormat="1"/>
    <w:lsdException w:name="Medium Shading 2 Accent 1" w:uiPriority="60"/>
    <w:lsdException w:name="Medium List 1 Accent 1" w:uiPriority="61"/>
    <w:lsdException w:name="Revision" w:uiPriority="62"/>
    <w:lsdException w:name="List Paragraph" w:uiPriority="63" w:qFormat="1"/>
    <w:lsdException w:name="Quote" w:uiPriority="64" w:qFormat="1"/>
    <w:lsdException w:name="Intense Quote" w:uiPriority="6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99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99"/>
    <w:lsdException w:name="Medium Grid 1 Accent 2" w:uiPriority="34" w:qFormat="1"/>
    <w:lsdException w:name="Medium Grid 2 Accent 2" w:uiPriority="29" w:qFormat="1"/>
    <w:lsdException w:name="Medium Grid 3 Accent 2" w:uiPriority="30" w:qFormat="1"/>
    <w:lsdException w:name="Dark List Accent 2" w:uiPriority="66"/>
    <w:lsdException w:name="Colorful Shading Accent 2" w:uiPriority="67"/>
    <w:lsdException w:name="Colorful List Accent 2" w:uiPriority="68"/>
    <w:lsdException w:name="Colorful Grid Accent 2" w:uiPriority="69"/>
    <w:lsdException w:name="Light Shading Accent 3" w:uiPriority="70"/>
    <w:lsdException w:name="Light List Accent 3" w:uiPriority="71"/>
    <w:lsdException w:name="Light Grid Accent 3" w:uiPriority="72"/>
    <w:lsdException w:name="Medium Shading 1 Accent 3" w:uiPriority="73"/>
    <w:lsdException w:name="Medium Shading 2 Accent 3" w:uiPriority="60"/>
    <w:lsdException w:name="Medium List 1 Accent 3" w:uiPriority="61"/>
    <w:lsdException w:name="Medium List 2 Accent 3" w:uiPriority="62"/>
    <w:lsdException w:name="Medium Grid 1 Accent 3" w:uiPriority="63"/>
    <w:lsdException w:name="Medium Grid 2 Accent 3" w:uiPriority="64"/>
    <w:lsdException w:name="Medium Grid 3 Accent 3" w:uiPriority="65"/>
    <w:lsdException w:name="Dark List Accent 3" w:uiPriority="66"/>
    <w:lsdException w:name="Colorful Shading Accent 3" w:uiPriority="67"/>
    <w:lsdException w:name="Colorful List Accent 3" w:uiPriority="68"/>
    <w:lsdException w:name="Colorful Grid Accent 3" w:uiPriority="69"/>
    <w:lsdException w:name="Light Shading Accent 4" w:uiPriority="70"/>
    <w:lsdException w:name="Light List Accent 4" w:uiPriority="71"/>
    <w:lsdException w:name="Light Grid Accent 4" w:uiPriority="72"/>
    <w:lsdException w:name="Medium Shading 1 Accent 4" w:uiPriority="73"/>
    <w:lsdException w:name="Medium Shading 2 Accent 4" w:uiPriority="60"/>
    <w:lsdException w:name="Medium List 1 Accent 4" w:uiPriority="61"/>
    <w:lsdException w:name="Medium List 2 Accent 4" w:uiPriority="62"/>
    <w:lsdException w:name="Medium Grid 1 Accent 4" w:uiPriority="63"/>
    <w:lsdException w:name="Medium Grid 2 Accent 4" w:uiPriority="64"/>
    <w:lsdException w:name="Medium Grid 3 Accent 4" w:uiPriority="65"/>
    <w:lsdException w:name="Dark List Accent 4" w:uiPriority="66"/>
    <w:lsdException w:name="Colorful Shading Accent 4" w:uiPriority="67"/>
    <w:lsdException w:name="Colorful List Accent 4" w:uiPriority="68"/>
    <w:lsdException w:name="Colorful Grid Accent 4" w:uiPriority="69"/>
    <w:lsdException w:name="Light Shading Accent 5" w:uiPriority="70"/>
    <w:lsdException w:name="Light List Accent 5" w:uiPriority="71"/>
    <w:lsdException w:name="Light Grid Accent 5" w:uiPriority="72"/>
    <w:lsdException w:name="Medium Shading 1 Accent 5" w:uiPriority="73"/>
    <w:lsdException w:name="Medium Shading 2 Accent 5" w:uiPriority="60"/>
    <w:lsdException w:name="Medium List 1 Accent 5" w:uiPriority="61"/>
    <w:lsdException w:name="Medium List 2 Accent 5" w:uiPriority="62"/>
    <w:lsdException w:name="Medium Grid 1 Accent 5" w:uiPriority="63"/>
    <w:lsdException w:name="Medium Grid 2 Accent 5" w:uiPriority="64"/>
    <w:lsdException w:name="Medium Grid 3 Accent 5" w:uiPriority="65"/>
    <w:lsdException w:name="Dark List Accent 5" w:uiPriority="66"/>
    <w:lsdException w:name="Colorful Shading Accent 5" w:uiPriority="67"/>
    <w:lsdException w:name="Colorful List Accent 5" w:uiPriority="68"/>
    <w:lsdException w:name="Colorful Grid Accent 5" w:uiPriority="69"/>
    <w:lsdException w:name="Light Shading Accent 6" w:uiPriority="70"/>
    <w:lsdException w:name="Light List Accent 6" w:uiPriority="71"/>
    <w:lsdException w:name="Light Grid Accent 6" w:uiPriority="72"/>
    <w:lsdException w:name="Medium Shading 1 Accent 6" w:uiPriority="73"/>
    <w:lsdException w:name="Medium Shading 2 Accent 6" w:uiPriority="60"/>
    <w:lsdException w:name="Medium List 1 Accent 6" w:uiPriority="61"/>
    <w:lsdException w:name="Medium List 2 Accent 6" w:uiPriority="62"/>
    <w:lsdException w:name="Medium Grid 1 Accent 6" w:uiPriority="63"/>
    <w:lsdException w:name="Medium Grid 2 Accent 6" w:uiPriority="64"/>
    <w:lsdException w:name="Medium Grid 3 Accent 6" w:uiPriority="65"/>
    <w:lsdException w:name="Dark List Accent 6" w:uiPriority="66"/>
    <w:lsdException w:name="Colorful Shading Accent 6" w:uiPriority="67"/>
    <w:lsdException w:name="Colorful List Accent 6" w:uiPriority="68"/>
    <w:lsdException w:name="Colorful Grid Accent 6" w:uiPriority="69"/>
    <w:lsdException w:name="Subtle Emphasis" w:uiPriority="70" w:qFormat="1"/>
    <w:lsdException w:name="Intense Emphasis" w:uiPriority="71" w:qFormat="1"/>
    <w:lsdException w:name="Subtle Reference" w:uiPriority="72" w:qFormat="1"/>
    <w:lsdException w:name="Intense Reference" w:uiPriority="73" w:qFormat="1"/>
    <w:lsdException w:name="Book Title" w:uiPriority="60" w:qFormat="1"/>
    <w:lsdException w:name="Bibliography" w:uiPriority="61"/>
    <w:lsdException w:name="TOC Heading" w:semiHidden="1" w:uiPriority="62" w:unhideWhenUsed="1" w:qFormat="1"/>
    <w:lsdException w:name="Plain Table 1" w:uiPriority="63"/>
    <w:lsdException w:name="Plain Table 2" w:uiPriority="64"/>
    <w:lsdException w:name="Plain Table 3" w:uiPriority="65" w:qFormat="1"/>
    <w:lsdException w:name="Plain Table 4" w:uiPriority="66" w:qFormat="1"/>
    <w:lsdException w:name="Plain Table 5" w:uiPriority="67" w:qFormat="1"/>
    <w:lsdException w:name="Grid Table Light" w:uiPriority="68" w:qFormat="1"/>
    <w:lsdException w:name="Grid Table 1 Light" w:uiPriority="69" w:qFormat="1"/>
    <w:lsdException w:name="Grid Table 2" w:uiPriority="70"/>
    <w:lsdException w:name="Grid Table 3" w:uiPriority="71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uiPriority="48"/>
  </w:latentStyles>
  <w:style w:type="paragraph" w:default="1" w:styleId="a">
    <w:name w:val="Normal"/>
    <w:qFormat/>
    <w:pPr>
      <w:autoSpaceDE w:val="0"/>
      <w:autoSpaceDN w:val="0"/>
    </w:pPr>
    <w:rPr>
      <w:lang w:val="en-US"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numPr>
        <w:numId w:val="1"/>
      </w:numPr>
      <w:spacing w:before="240" w:after="80"/>
      <w:jc w:val="center"/>
      <w:outlineLvl w:val="0"/>
    </w:pPr>
    <w:rPr>
      <w:smallCaps/>
      <w:kern w:val="28"/>
    </w:rPr>
  </w:style>
  <w:style w:type="paragraph" w:styleId="2">
    <w:name w:val="heading 2"/>
    <w:basedOn w:val="a"/>
    <w:next w:val="a"/>
    <w:link w:val="20"/>
    <w:uiPriority w:val="9"/>
    <w:qFormat/>
    <w:pPr>
      <w:keepNext/>
      <w:numPr>
        <w:ilvl w:val="1"/>
        <w:numId w:val="1"/>
      </w:numPr>
      <w:spacing w:before="120" w:after="60"/>
      <w:ind w:left="144"/>
      <w:outlineLvl w:val="1"/>
    </w:pPr>
    <w:rPr>
      <w:i/>
      <w:iCs/>
    </w:rPr>
  </w:style>
  <w:style w:type="paragraph" w:styleId="3">
    <w:name w:val="heading 3"/>
    <w:basedOn w:val="a"/>
    <w:next w:val="a"/>
    <w:uiPriority w:val="9"/>
    <w:qFormat/>
    <w:pPr>
      <w:keepNext/>
      <w:numPr>
        <w:ilvl w:val="2"/>
        <w:numId w:val="1"/>
      </w:numPr>
      <w:ind w:left="288"/>
      <w:outlineLvl w:val="2"/>
    </w:pPr>
    <w:rPr>
      <w:i/>
      <w:iCs/>
    </w:rPr>
  </w:style>
  <w:style w:type="paragraph" w:styleId="4">
    <w:name w:val="heading 4"/>
    <w:basedOn w:val="a"/>
    <w:next w:val="a"/>
    <w:uiPriority w:val="9"/>
    <w:qFormat/>
    <w:pPr>
      <w:keepNext/>
      <w:numPr>
        <w:ilvl w:val="3"/>
        <w:numId w:val="1"/>
      </w:numPr>
      <w:spacing w:before="240" w:after="60"/>
      <w:outlineLvl w:val="3"/>
    </w:pPr>
    <w:rPr>
      <w:i/>
      <w:iCs/>
      <w:sz w:val="18"/>
      <w:szCs w:val="18"/>
    </w:rPr>
  </w:style>
  <w:style w:type="paragraph" w:styleId="5">
    <w:name w:val="heading 5"/>
    <w:basedOn w:val="a"/>
    <w:next w:val="a"/>
    <w:uiPriority w:val="9"/>
    <w:qFormat/>
    <w:pPr>
      <w:numPr>
        <w:ilvl w:val="4"/>
        <w:numId w:val="1"/>
      </w:numPr>
      <w:spacing w:before="240" w:after="60"/>
      <w:outlineLvl w:val="4"/>
    </w:pPr>
    <w:rPr>
      <w:sz w:val="18"/>
      <w:szCs w:val="18"/>
    </w:rPr>
  </w:style>
  <w:style w:type="paragraph" w:styleId="6">
    <w:name w:val="heading 6"/>
    <w:basedOn w:val="a"/>
    <w:next w:val="a"/>
    <w:uiPriority w:val="9"/>
    <w:qFormat/>
    <w:pPr>
      <w:numPr>
        <w:ilvl w:val="5"/>
        <w:numId w:val="1"/>
      </w:numPr>
      <w:spacing w:before="240" w:after="60"/>
      <w:outlineLvl w:val="5"/>
    </w:pPr>
    <w:rPr>
      <w:i/>
      <w:iCs/>
      <w:sz w:val="16"/>
      <w:szCs w:val="16"/>
    </w:rPr>
  </w:style>
  <w:style w:type="paragraph" w:styleId="7">
    <w:name w:val="heading 7"/>
    <w:basedOn w:val="a"/>
    <w:next w:val="a"/>
    <w:uiPriority w:val="9"/>
    <w:qFormat/>
    <w:pPr>
      <w:numPr>
        <w:ilvl w:val="6"/>
        <w:numId w:val="1"/>
      </w:numPr>
      <w:spacing w:before="240" w:after="60"/>
      <w:outlineLvl w:val="6"/>
    </w:pPr>
    <w:rPr>
      <w:sz w:val="16"/>
      <w:szCs w:val="16"/>
    </w:rPr>
  </w:style>
  <w:style w:type="paragraph" w:styleId="8">
    <w:name w:val="heading 8"/>
    <w:basedOn w:val="a"/>
    <w:next w:val="a"/>
    <w:uiPriority w:val="9"/>
    <w:qFormat/>
    <w:pPr>
      <w:numPr>
        <w:ilvl w:val="7"/>
        <w:numId w:val="1"/>
      </w:numPr>
      <w:spacing w:before="240" w:after="60"/>
      <w:outlineLvl w:val="7"/>
    </w:pPr>
    <w:rPr>
      <w:i/>
      <w:iCs/>
      <w:sz w:val="16"/>
      <w:szCs w:val="16"/>
    </w:rPr>
  </w:style>
  <w:style w:type="paragraph" w:styleId="9">
    <w:name w:val="heading 9"/>
    <w:basedOn w:val="a"/>
    <w:next w:val="a"/>
    <w:uiPriority w:val="9"/>
    <w:qFormat/>
    <w:pPr>
      <w:numPr>
        <w:ilvl w:val="8"/>
        <w:numId w:val="1"/>
      </w:numPr>
      <w:spacing w:before="240" w:after="60"/>
      <w:outlineLvl w:val="8"/>
    </w:pPr>
    <w:rPr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bstract">
    <w:name w:val="Abstract"/>
    <w:basedOn w:val="a"/>
    <w:next w:val="a"/>
    <w:pPr>
      <w:spacing w:before="20"/>
      <w:ind w:firstLine="202"/>
      <w:jc w:val="both"/>
    </w:pPr>
    <w:rPr>
      <w:b/>
      <w:bCs/>
      <w:sz w:val="18"/>
      <w:szCs w:val="18"/>
    </w:rPr>
  </w:style>
  <w:style w:type="paragraph" w:customStyle="1" w:styleId="Authors">
    <w:name w:val="Authors"/>
    <w:basedOn w:val="a"/>
    <w:next w:val="a"/>
    <w:pPr>
      <w:framePr w:w="9072" w:hSpace="187" w:vSpace="187" w:wrap="notBeside" w:vAnchor="text" w:hAnchor="page" w:xAlign="center" w:y="1"/>
      <w:spacing w:after="320"/>
      <w:jc w:val="center"/>
    </w:pPr>
    <w:rPr>
      <w:sz w:val="22"/>
      <w:szCs w:val="22"/>
    </w:rPr>
  </w:style>
  <w:style w:type="character" w:customStyle="1" w:styleId="MemberType">
    <w:name w:val="MemberType"/>
    <w:rPr>
      <w:rFonts w:ascii="Times New Roman" w:hAnsi="Times New Roman" w:cs="Times New Roman"/>
      <w:i/>
      <w:iCs/>
      <w:sz w:val="22"/>
      <w:szCs w:val="22"/>
    </w:rPr>
  </w:style>
  <w:style w:type="paragraph" w:styleId="a3">
    <w:name w:val="Title"/>
    <w:basedOn w:val="a"/>
    <w:next w:val="a"/>
    <w:qFormat/>
    <w:pPr>
      <w:framePr w:w="9360" w:hSpace="187" w:vSpace="187" w:wrap="notBeside" w:vAnchor="text" w:hAnchor="page" w:xAlign="center" w:y="1"/>
      <w:jc w:val="center"/>
    </w:pPr>
    <w:rPr>
      <w:kern w:val="28"/>
      <w:sz w:val="48"/>
      <w:szCs w:val="48"/>
    </w:rPr>
  </w:style>
  <w:style w:type="paragraph" w:styleId="a4">
    <w:name w:val="footnote text"/>
    <w:basedOn w:val="a"/>
    <w:link w:val="a5"/>
    <w:semiHidden/>
    <w:pPr>
      <w:ind w:firstLine="202"/>
      <w:jc w:val="both"/>
    </w:pPr>
    <w:rPr>
      <w:sz w:val="16"/>
      <w:szCs w:val="16"/>
    </w:rPr>
  </w:style>
  <w:style w:type="paragraph" w:customStyle="1" w:styleId="References">
    <w:name w:val="References"/>
    <w:basedOn w:val="a"/>
    <w:pPr>
      <w:numPr>
        <w:numId w:val="12"/>
      </w:numPr>
      <w:jc w:val="both"/>
    </w:pPr>
    <w:rPr>
      <w:sz w:val="16"/>
      <w:szCs w:val="16"/>
    </w:rPr>
  </w:style>
  <w:style w:type="paragraph" w:customStyle="1" w:styleId="IndexTerms">
    <w:name w:val="IndexTerms"/>
    <w:basedOn w:val="a"/>
    <w:next w:val="a"/>
    <w:pPr>
      <w:ind w:firstLine="202"/>
      <w:jc w:val="both"/>
    </w:pPr>
    <w:rPr>
      <w:b/>
      <w:bCs/>
      <w:sz w:val="18"/>
      <w:szCs w:val="18"/>
    </w:rPr>
  </w:style>
  <w:style w:type="character" w:styleId="a6">
    <w:name w:val="footnote reference"/>
    <w:semiHidden/>
    <w:rPr>
      <w:vertAlign w:val="superscript"/>
    </w:rPr>
  </w:style>
  <w:style w:type="paragraph" w:styleId="a7">
    <w:name w:val="footer"/>
    <w:basedOn w:val="a"/>
    <w:link w:val="a8"/>
    <w:uiPriority w:val="99"/>
    <w:pPr>
      <w:tabs>
        <w:tab w:val="center" w:pos="4320"/>
        <w:tab w:val="right" w:pos="8640"/>
      </w:tabs>
    </w:pPr>
  </w:style>
  <w:style w:type="paragraph" w:customStyle="1" w:styleId="Text">
    <w:name w:val="Text"/>
    <w:basedOn w:val="a"/>
    <w:pPr>
      <w:widowControl w:val="0"/>
      <w:spacing w:line="252" w:lineRule="auto"/>
      <w:ind w:firstLine="202"/>
      <w:jc w:val="both"/>
    </w:pPr>
  </w:style>
  <w:style w:type="paragraph" w:customStyle="1" w:styleId="FigureCaption">
    <w:name w:val="Figure Caption"/>
    <w:basedOn w:val="a"/>
    <w:pPr>
      <w:jc w:val="both"/>
    </w:pPr>
    <w:rPr>
      <w:sz w:val="16"/>
      <w:szCs w:val="16"/>
    </w:rPr>
  </w:style>
  <w:style w:type="paragraph" w:customStyle="1" w:styleId="TableTitle">
    <w:name w:val="Table Title"/>
    <w:basedOn w:val="a"/>
    <w:pPr>
      <w:jc w:val="center"/>
    </w:pPr>
    <w:rPr>
      <w:smallCaps/>
      <w:sz w:val="16"/>
      <w:szCs w:val="16"/>
    </w:rPr>
  </w:style>
  <w:style w:type="paragraph" w:customStyle="1" w:styleId="ReferenceHead">
    <w:name w:val="Reference Head"/>
    <w:basedOn w:val="1"/>
    <w:link w:val="ReferenceHeadChar"/>
    <w:pPr>
      <w:numPr>
        <w:numId w:val="0"/>
      </w:numPr>
    </w:pPr>
  </w:style>
  <w:style w:type="paragraph" w:styleId="a9">
    <w:name w:val="header"/>
    <w:basedOn w:val="a"/>
    <w:link w:val="aa"/>
    <w:pPr>
      <w:tabs>
        <w:tab w:val="center" w:pos="4320"/>
        <w:tab w:val="right" w:pos="8640"/>
      </w:tabs>
    </w:pPr>
  </w:style>
  <w:style w:type="paragraph" w:customStyle="1" w:styleId="Equation">
    <w:name w:val="Equation"/>
    <w:basedOn w:val="a"/>
    <w:next w:val="a"/>
    <w:pPr>
      <w:widowControl w:val="0"/>
      <w:tabs>
        <w:tab w:val="right" w:pos="5040"/>
      </w:tabs>
      <w:spacing w:line="252" w:lineRule="auto"/>
      <w:jc w:val="both"/>
    </w:pPr>
  </w:style>
  <w:style w:type="character" w:styleId="ab">
    <w:name w:val="Hyperlink"/>
    <w:rPr>
      <w:color w:val="0000FF"/>
      <w:u w:val="single"/>
    </w:rPr>
  </w:style>
  <w:style w:type="character" w:styleId="ac">
    <w:name w:val="FollowedHyperlink"/>
    <w:rPr>
      <w:color w:val="800080"/>
      <w:u w:val="single"/>
    </w:rPr>
  </w:style>
  <w:style w:type="paragraph" w:styleId="ad">
    <w:name w:val="Body Text Indent"/>
    <w:basedOn w:val="a"/>
    <w:link w:val="ae"/>
    <w:pPr>
      <w:ind w:left="630" w:hanging="630"/>
    </w:pPr>
    <w:rPr>
      <w:szCs w:val="24"/>
    </w:rPr>
  </w:style>
  <w:style w:type="paragraph" w:styleId="af">
    <w:name w:val="Document Map"/>
    <w:basedOn w:val="a"/>
    <w:semiHidden/>
    <w:rsid w:val="00DC5FC7"/>
    <w:pPr>
      <w:shd w:val="clear" w:color="auto" w:fill="000080"/>
    </w:pPr>
    <w:rPr>
      <w:rFonts w:ascii="Tahoma" w:hAnsi="Tahoma" w:cs="Tahoma"/>
    </w:rPr>
  </w:style>
  <w:style w:type="paragraph" w:customStyle="1" w:styleId="Pa0">
    <w:name w:val="Pa0"/>
    <w:basedOn w:val="a"/>
    <w:next w:val="a"/>
    <w:rsid w:val="00426966"/>
    <w:pPr>
      <w:widowControl w:val="0"/>
      <w:adjustRightInd w:val="0"/>
      <w:spacing w:line="241" w:lineRule="atLeast"/>
    </w:pPr>
    <w:rPr>
      <w:rFonts w:ascii="Baskerville" w:hAnsi="Baskerville"/>
      <w:sz w:val="24"/>
      <w:szCs w:val="24"/>
    </w:rPr>
  </w:style>
  <w:style w:type="character" w:customStyle="1" w:styleId="A50">
    <w:name w:val="A5"/>
    <w:rsid w:val="00426966"/>
    <w:rPr>
      <w:color w:val="00529F"/>
      <w:sz w:val="20"/>
      <w:szCs w:val="20"/>
    </w:rPr>
  </w:style>
  <w:style w:type="character" w:customStyle="1" w:styleId="aa">
    <w:name w:val="页眉 字符"/>
    <w:link w:val="a9"/>
    <w:uiPriority w:val="99"/>
    <w:rsid w:val="0040483E"/>
  </w:style>
  <w:style w:type="paragraph" w:styleId="af0">
    <w:name w:val="Normal (Web)"/>
    <w:basedOn w:val="a"/>
    <w:uiPriority w:val="99"/>
    <w:unhideWhenUsed/>
    <w:rsid w:val="005641B9"/>
    <w:pPr>
      <w:autoSpaceDE/>
      <w:autoSpaceDN/>
      <w:spacing w:before="100" w:beforeAutospacing="1" w:after="100" w:afterAutospacing="1"/>
    </w:pPr>
    <w:rPr>
      <w:rFonts w:ascii="Times" w:hAnsi="Times"/>
    </w:rPr>
  </w:style>
  <w:style w:type="character" w:styleId="af1">
    <w:name w:val="Strong"/>
    <w:uiPriority w:val="22"/>
    <w:qFormat/>
    <w:rsid w:val="005641B9"/>
    <w:rPr>
      <w:b/>
      <w:bCs/>
    </w:rPr>
  </w:style>
  <w:style w:type="character" w:customStyle="1" w:styleId="apple-converted-space">
    <w:name w:val="apple-converted-space"/>
    <w:rsid w:val="005641B9"/>
  </w:style>
  <w:style w:type="character" w:styleId="af2">
    <w:name w:val="Emphasis"/>
    <w:uiPriority w:val="20"/>
    <w:qFormat/>
    <w:rsid w:val="005641B9"/>
    <w:rPr>
      <w:i/>
      <w:iCs/>
    </w:rPr>
  </w:style>
  <w:style w:type="character" w:customStyle="1" w:styleId="a5">
    <w:name w:val="脚注文本 字符"/>
    <w:link w:val="a4"/>
    <w:semiHidden/>
    <w:rsid w:val="00453531"/>
    <w:rPr>
      <w:sz w:val="16"/>
      <w:szCs w:val="16"/>
    </w:rPr>
  </w:style>
  <w:style w:type="paragraph" w:styleId="af3">
    <w:name w:val="Balloon Text"/>
    <w:basedOn w:val="a"/>
    <w:link w:val="af4"/>
    <w:rsid w:val="003F6926"/>
    <w:rPr>
      <w:rFonts w:ascii="Segoe UI" w:hAnsi="Segoe UI" w:cs="Segoe UI"/>
      <w:sz w:val="18"/>
      <w:szCs w:val="18"/>
    </w:rPr>
  </w:style>
  <w:style w:type="character" w:customStyle="1" w:styleId="af4">
    <w:name w:val="批注框文本 字符"/>
    <w:link w:val="af3"/>
    <w:rsid w:val="003F6926"/>
    <w:rPr>
      <w:rFonts w:ascii="Segoe UI" w:hAnsi="Segoe UI" w:cs="Segoe UI"/>
      <w:sz w:val="18"/>
      <w:szCs w:val="18"/>
    </w:rPr>
  </w:style>
  <w:style w:type="table" w:styleId="af5">
    <w:name w:val="Table Grid"/>
    <w:basedOn w:val="a1"/>
    <w:rsid w:val="00514B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diumGrid11">
    <w:name w:val="Medium Grid 11"/>
    <w:uiPriority w:val="99"/>
    <w:semiHidden/>
    <w:rsid w:val="00BE45DA"/>
    <w:rPr>
      <w:color w:val="808080"/>
    </w:rPr>
  </w:style>
  <w:style w:type="paragraph" w:customStyle="1" w:styleId="ParagraphStyle1">
    <w:name w:val="Paragraph Style 1"/>
    <w:basedOn w:val="a"/>
    <w:uiPriority w:val="99"/>
    <w:rsid w:val="00BE45DA"/>
    <w:pPr>
      <w:widowControl w:val="0"/>
      <w:tabs>
        <w:tab w:val="left" w:pos="480"/>
      </w:tabs>
      <w:autoSpaceDE/>
      <w:autoSpaceDN/>
      <w:adjustRightInd w:val="0"/>
      <w:spacing w:before="100" w:line="280" w:lineRule="atLeast"/>
      <w:textAlignment w:val="center"/>
    </w:pPr>
    <w:rPr>
      <w:rFonts w:ascii="Formata-Regular" w:eastAsia="MS Mincho" w:hAnsi="Formata-Regular" w:cs="Formata-Regular"/>
      <w:color w:val="000000"/>
      <w:sz w:val="22"/>
      <w:szCs w:val="22"/>
      <w:lang w:eastAsia="ja-JP"/>
    </w:rPr>
  </w:style>
  <w:style w:type="character" w:customStyle="1" w:styleId="BodyText1">
    <w:name w:val="Body Text1"/>
    <w:uiPriority w:val="99"/>
    <w:rsid w:val="00BE45DA"/>
    <w:rPr>
      <w:rFonts w:ascii="Verdana" w:hAnsi="Verdana" w:cs="Verdana"/>
      <w:color w:val="000000"/>
      <w:sz w:val="22"/>
      <w:szCs w:val="22"/>
    </w:rPr>
  </w:style>
  <w:style w:type="character" w:customStyle="1" w:styleId="bodytype">
    <w:name w:val="body type"/>
    <w:uiPriority w:val="99"/>
    <w:rsid w:val="00BE45DA"/>
    <w:rPr>
      <w:rFonts w:ascii="Formata-Regular" w:hAnsi="Formata-Regular" w:cs="Formata-Regular"/>
      <w:color w:val="000000"/>
      <w:sz w:val="22"/>
      <w:szCs w:val="22"/>
    </w:rPr>
  </w:style>
  <w:style w:type="paragraph" w:customStyle="1" w:styleId="Style1">
    <w:name w:val="Style1"/>
    <w:basedOn w:val="ReferenceHead"/>
    <w:link w:val="Style1Char"/>
    <w:qFormat/>
    <w:rsid w:val="00BE45DA"/>
    <w:pPr>
      <w:autoSpaceDE/>
      <w:autoSpaceDN/>
    </w:pPr>
  </w:style>
  <w:style w:type="character" w:customStyle="1" w:styleId="10">
    <w:name w:val="标题 1 字符"/>
    <w:link w:val="1"/>
    <w:uiPriority w:val="9"/>
    <w:rsid w:val="00BE45DA"/>
    <w:rPr>
      <w:smallCaps/>
      <w:kern w:val="28"/>
    </w:rPr>
  </w:style>
  <w:style w:type="character" w:customStyle="1" w:styleId="ReferenceHeadChar">
    <w:name w:val="Reference Head Char"/>
    <w:link w:val="ReferenceHead"/>
    <w:rsid w:val="00BE45DA"/>
    <w:rPr>
      <w:smallCaps/>
      <w:kern w:val="28"/>
    </w:rPr>
  </w:style>
  <w:style w:type="character" w:customStyle="1" w:styleId="Style1Char">
    <w:name w:val="Style1 Char"/>
    <w:link w:val="Style1"/>
    <w:rsid w:val="00BE45DA"/>
    <w:rPr>
      <w:smallCaps/>
      <w:kern w:val="28"/>
    </w:rPr>
  </w:style>
  <w:style w:type="paragraph" w:customStyle="1" w:styleId="ColourfulShadingAccent11">
    <w:name w:val="Colourful Shading – Accent 11"/>
    <w:hidden/>
    <w:uiPriority w:val="99"/>
    <w:rsid w:val="00BE45DA"/>
    <w:rPr>
      <w:lang w:val="en-US" w:eastAsia="en-US"/>
    </w:rPr>
  </w:style>
  <w:style w:type="character" w:customStyle="1" w:styleId="BodyText2">
    <w:name w:val="Body Text2"/>
    <w:uiPriority w:val="99"/>
    <w:rsid w:val="00BE45DA"/>
    <w:rPr>
      <w:rFonts w:ascii="Verdana" w:hAnsi="Verdana" w:cs="Verdana"/>
      <w:color w:val="000000"/>
      <w:sz w:val="22"/>
      <w:szCs w:val="22"/>
    </w:rPr>
  </w:style>
  <w:style w:type="character" w:customStyle="1" w:styleId="20">
    <w:name w:val="标题 2 字符"/>
    <w:link w:val="2"/>
    <w:uiPriority w:val="9"/>
    <w:rsid w:val="00BE45DA"/>
    <w:rPr>
      <w:i/>
      <w:iCs/>
    </w:rPr>
  </w:style>
  <w:style w:type="paragraph" w:customStyle="1" w:styleId="TextL-MAG">
    <w:name w:val="Text L-MAG"/>
    <w:basedOn w:val="a"/>
    <w:link w:val="TextL-MAGChar"/>
    <w:qFormat/>
    <w:rsid w:val="00BE45DA"/>
    <w:pPr>
      <w:widowControl w:val="0"/>
      <w:tabs>
        <w:tab w:val="left" w:pos="360"/>
      </w:tabs>
      <w:autoSpaceDE/>
      <w:autoSpaceDN/>
      <w:spacing w:line="276" w:lineRule="auto"/>
      <w:ind w:firstLine="360"/>
      <w:jc w:val="both"/>
    </w:pPr>
    <w:rPr>
      <w:rFonts w:ascii="Arial" w:eastAsia="MS Mincho" w:hAnsi="Arial"/>
      <w:sz w:val="18"/>
      <w:szCs w:val="22"/>
      <w:lang w:eastAsia="ja-JP"/>
    </w:rPr>
  </w:style>
  <w:style w:type="character" w:customStyle="1" w:styleId="TextL-MAGChar">
    <w:name w:val="Text L-MAG Char"/>
    <w:link w:val="TextL-MAG"/>
    <w:rsid w:val="00BE45DA"/>
    <w:rPr>
      <w:rFonts w:ascii="Arial" w:eastAsia="MS Mincho" w:hAnsi="Arial"/>
      <w:sz w:val="18"/>
      <w:szCs w:val="22"/>
      <w:lang w:eastAsia="ja-JP"/>
    </w:rPr>
  </w:style>
  <w:style w:type="character" w:customStyle="1" w:styleId="a8">
    <w:name w:val="页脚 字符"/>
    <w:link w:val="a7"/>
    <w:uiPriority w:val="99"/>
    <w:rsid w:val="00BE45DA"/>
  </w:style>
  <w:style w:type="character" w:customStyle="1" w:styleId="ae">
    <w:name w:val="正文文本缩进 字符"/>
    <w:link w:val="ad"/>
    <w:rsid w:val="00BE45DA"/>
    <w:rPr>
      <w:szCs w:val="24"/>
    </w:rPr>
  </w:style>
  <w:style w:type="character" w:styleId="af6">
    <w:name w:val="annotation reference"/>
    <w:rsid w:val="00BE45DA"/>
    <w:rPr>
      <w:sz w:val="18"/>
      <w:szCs w:val="18"/>
    </w:rPr>
  </w:style>
  <w:style w:type="paragraph" w:styleId="af7">
    <w:name w:val="annotation text"/>
    <w:basedOn w:val="a"/>
    <w:link w:val="af8"/>
    <w:rsid w:val="00BE45DA"/>
    <w:pPr>
      <w:autoSpaceDE/>
      <w:autoSpaceDN/>
    </w:pPr>
    <w:rPr>
      <w:sz w:val="24"/>
      <w:szCs w:val="24"/>
    </w:rPr>
  </w:style>
  <w:style w:type="character" w:customStyle="1" w:styleId="af8">
    <w:name w:val="批注文字 字符"/>
    <w:link w:val="af7"/>
    <w:rsid w:val="00BE45DA"/>
    <w:rPr>
      <w:sz w:val="24"/>
      <w:szCs w:val="24"/>
    </w:rPr>
  </w:style>
  <w:style w:type="paragraph" w:styleId="af9">
    <w:name w:val="annotation subject"/>
    <w:basedOn w:val="af7"/>
    <w:next w:val="af7"/>
    <w:link w:val="afa"/>
    <w:rsid w:val="00BE45DA"/>
    <w:rPr>
      <w:b/>
      <w:bCs/>
      <w:sz w:val="20"/>
      <w:szCs w:val="20"/>
    </w:rPr>
  </w:style>
  <w:style w:type="character" w:customStyle="1" w:styleId="afa">
    <w:name w:val="批注主题 字符"/>
    <w:link w:val="af9"/>
    <w:rsid w:val="00BE45DA"/>
    <w:rPr>
      <w:b/>
      <w:bCs/>
      <w:sz w:val="24"/>
      <w:szCs w:val="24"/>
    </w:rPr>
  </w:style>
  <w:style w:type="character" w:styleId="afb">
    <w:name w:val="Unresolved Mention"/>
    <w:uiPriority w:val="99"/>
    <w:semiHidden/>
    <w:unhideWhenUsed/>
    <w:rsid w:val="00BE45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4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5722">
          <w:blockQuote w:val="1"/>
          <w:marLeft w:val="360"/>
          <w:marRight w:val="36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E05BF7-A03E-47A7-A675-A0B48F8911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2556</Words>
  <Characters>14574</Characters>
  <Application>Microsoft Office Word</Application>
  <DocSecurity>0</DocSecurity>
  <Lines>121</Lines>
  <Paragraphs>34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</vt:lpstr>
      <vt:lpstr></vt:lpstr>
    </vt:vector>
  </TitlesOfParts>
  <Company>IEEE</Company>
  <LinksUpToDate>false</LinksUpToDate>
  <CharactersWithSpaces>17096</CharactersWithSpaces>
  <SharedDoc>false</SharedDoc>
  <HLinks>
    <vt:vector size="54" baseType="variant">
      <vt:variant>
        <vt:i4>2490375</vt:i4>
      </vt:variant>
      <vt:variant>
        <vt:i4>30</vt:i4>
      </vt:variant>
      <vt:variant>
        <vt:i4>0</vt:i4>
      </vt:variant>
      <vt:variant>
        <vt:i4>5</vt:i4>
      </vt:variant>
      <vt:variant>
        <vt:lpwstr>mailto:HUMANIST@NYVM.ORG</vt:lpwstr>
      </vt:variant>
      <vt:variant>
        <vt:lpwstr/>
      </vt:variant>
      <vt:variant>
        <vt:i4>8126496</vt:i4>
      </vt:variant>
      <vt:variant>
        <vt:i4>27</vt:i4>
      </vt:variant>
      <vt:variant>
        <vt:i4>0</vt:i4>
      </vt:variant>
      <vt:variant>
        <vt:i4>5</vt:i4>
      </vt:variant>
      <vt:variant>
        <vt:lpwstr>http://www.amdahl.com/doc/products/bsg/intra/infra/html</vt:lpwstr>
      </vt:variant>
      <vt:variant>
        <vt:lpwstr/>
      </vt:variant>
      <vt:variant>
        <vt:i4>983107</vt:i4>
      </vt:variant>
      <vt:variant>
        <vt:i4>24</vt:i4>
      </vt:variant>
      <vt:variant>
        <vt:i4>0</vt:i4>
      </vt:variant>
      <vt:variant>
        <vt:i4>5</vt:i4>
      </vt:variant>
      <vt:variant>
        <vt:lpwstr>http://home.process.com/Intranets/wp2.htp</vt:lpwstr>
      </vt:variant>
      <vt:variant>
        <vt:lpwstr/>
      </vt:variant>
      <vt:variant>
        <vt:i4>1310813</vt:i4>
      </vt:variant>
      <vt:variant>
        <vt:i4>21</vt:i4>
      </vt:variant>
      <vt:variant>
        <vt:i4>0</vt:i4>
      </vt:variant>
      <vt:variant>
        <vt:i4>5</vt:i4>
      </vt:variant>
      <vt:variant>
        <vt:lpwstr>http://www.halcyon.com/pub/journals/21ps03-vidmar</vt:lpwstr>
      </vt:variant>
      <vt:variant>
        <vt:lpwstr/>
      </vt:variant>
      <vt:variant>
        <vt:i4>2687077</vt:i4>
      </vt:variant>
      <vt:variant>
        <vt:i4>18</vt:i4>
      </vt:variant>
      <vt:variant>
        <vt:i4>0</vt:i4>
      </vt:variant>
      <vt:variant>
        <vt:i4>5</vt:i4>
      </vt:variant>
      <vt:variant>
        <vt:lpwstr>http://www.atm.com/</vt:lpwstr>
      </vt:variant>
      <vt:variant>
        <vt:lpwstr/>
      </vt:variant>
      <vt:variant>
        <vt:i4>2031701</vt:i4>
      </vt:variant>
      <vt:variant>
        <vt:i4>15</vt:i4>
      </vt:variant>
      <vt:variant>
        <vt:i4>0</vt:i4>
      </vt:variant>
      <vt:variant>
        <vt:i4>5</vt:i4>
      </vt:variant>
      <vt:variant>
        <vt:lpwstr>http://www.ieee.org/web/publications/authors/transjnl/index.html</vt:lpwstr>
      </vt:variant>
      <vt:variant>
        <vt:lpwstr/>
      </vt:variant>
      <vt:variant>
        <vt:i4>2555906</vt:i4>
      </vt:variant>
      <vt:variant>
        <vt:i4>12</vt:i4>
      </vt:variant>
      <vt:variant>
        <vt:i4>0</vt:i4>
      </vt:variant>
      <vt:variant>
        <vt:i4>5</vt:i4>
      </vt:variant>
      <vt:variant>
        <vt:lpwstr>mailto:graphics@ieee.org</vt:lpwstr>
      </vt:variant>
      <vt:variant>
        <vt:lpwstr/>
      </vt:variant>
      <vt:variant>
        <vt:i4>7405602</vt:i4>
      </vt:variant>
      <vt:variant>
        <vt:i4>9</vt:i4>
      </vt:variant>
      <vt:variant>
        <vt:i4>0</vt:i4>
      </vt:variant>
      <vt:variant>
        <vt:i4>5</vt:i4>
      </vt:variant>
      <vt:variant>
        <vt:lpwstr>http://graphicsqc.ieee.org/</vt:lpwstr>
      </vt:variant>
      <vt:variant>
        <vt:lpwstr/>
      </vt:variant>
      <vt:variant>
        <vt:i4>2031701</vt:i4>
      </vt:variant>
      <vt:variant>
        <vt:i4>3</vt:i4>
      </vt:variant>
      <vt:variant>
        <vt:i4>0</vt:i4>
      </vt:variant>
      <vt:variant>
        <vt:i4>5</vt:i4>
      </vt:variant>
      <vt:variant>
        <vt:lpwstr>http://www.ieee.org/web/publications/authors/transjnl/index.html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</dc:title>
  <dc:subject>IEEE Transactions on Magnetics</dc:subject>
  <dc:creator>-</dc:creator>
  <cp:keywords/>
  <cp:lastModifiedBy>Zonghao Ye</cp:lastModifiedBy>
  <cp:revision>13</cp:revision>
  <cp:lastPrinted>2007-05-08T12:48:00Z</cp:lastPrinted>
  <dcterms:created xsi:type="dcterms:W3CDTF">2026-02-28T03:01:00Z</dcterms:created>
  <dcterms:modified xsi:type="dcterms:W3CDTF">2026-07-17T04:51:00Z</dcterms:modified>
</cp:coreProperties>
</file>