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320"/>
        <w:jc w:val="center"/>
      </w:pPr>
      <w:r>
        <w:rPr>
          <w:rFonts w:ascii="Calibri" w:hAnsi="Calibri"/>
          <w:b/>
          <w:color w:val="A66B00"/>
          <w:sz w:val="22"/>
        </w:rPr>
        <w:t>FORWARD DEPLOYED ENGINEERING</w:t>
      </w:r>
    </w:p>
    <w:p>
      <w:pPr>
        <w:spacing w:after="200"/>
        <w:jc w:val="center"/>
      </w:pPr>
      <w:r>
        <w:rPr>
          <w:rFonts w:ascii="Calibri" w:hAnsi="Calibri"/>
          <w:b/>
          <w:color w:val="19324D"/>
          <w:sz w:val="60"/>
        </w:rPr>
        <w:t>FDE Agent Skills</w:t>
      </w:r>
    </w:p>
    <w:p>
      <w:pPr>
        <w:spacing w:after="560"/>
        <w:jc w:val="center"/>
      </w:pPr>
      <w:r>
        <w:rPr>
          <w:rFonts w:ascii="Calibri" w:hAnsi="Calibri"/>
          <w:color w:val="1F4D78"/>
          <w:sz w:val="30"/>
        </w:rPr>
        <w:t>Installation, Operating Model, Scenarios, Worked Engagement, and Contributions</w:t>
      </w:r>
    </w:p>
    <w:p>
      <w:pPr>
        <w:spacing w:after="640"/>
        <w:ind w:left="936" w:right="936"/>
        <w:jc w:val="center"/>
      </w:pPr>
      <w:r>
        <w:rPr>
          <w:rFonts w:ascii="Calibri" w:hAnsi="Calibri"/>
          <w:color w:val="222222"/>
          <w:sz w:val="23"/>
        </w:rPr>
        <w:t>A durable, evidence-backed way for an FDE and an AI agent to understand a customer, redesign work, plan delivery, and control change—without a custom web application.</w:t>
      </w:r>
    </w:p>
    <w:p>
      <w:pPr>
        <w:spacing w:after="80"/>
        <w:jc w:val="center"/>
      </w:pPr>
      <w:r>
        <w:rPr>
          <w:rFonts w:ascii="Calibri" w:hAnsi="Calibri"/>
          <w:b/>
          <w:color w:val="667085"/>
          <w:sz w:val="19"/>
        </w:rPr>
        <w:t xml:space="preserve">Repository: </w:t>
      </w:r>
      <w:r>
        <w:rPr>
          <w:rFonts w:ascii="Calibri" w:hAnsi="Calibri"/>
          <w:color w:val="667085"/>
          <w:sz w:val="19"/>
        </w:rPr>
        <w:t>github.com/1aifanatic/fde-agent-skills (public)</w:t>
      </w:r>
    </w:p>
    <w:p>
      <w:pPr>
        <w:spacing w:after="80"/>
        <w:jc w:val="center"/>
      </w:pPr>
      <w:r>
        <w:rPr>
          <w:rFonts w:ascii="Calibri" w:hAnsi="Calibri"/>
          <w:b/>
          <w:color w:val="667085"/>
          <w:sz w:val="19"/>
        </w:rPr>
        <w:t xml:space="preserve">Suite: </w:t>
      </w:r>
      <w:r>
        <w:rPr>
          <w:rFonts w:ascii="Calibri" w:hAnsi="Calibri"/>
          <w:color w:val="667085"/>
          <w:sz w:val="19"/>
        </w:rPr>
        <w:t>6 interoperable skills and a 21-file engagement workspace</w:t>
      </w:r>
    </w:p>
    <w:p>
      <w:pPr>
        <w:spacing w:after="80"/>
        <w:jc w:val="center"/>
      </w:pPr>
      <w:r>
        <w:rPr>
          <w:rFonts w:ascii="Calibri" w:hAnsi="Calibri"/>
          <w:b/>
          <w:color w:val="667085"/>
          <w:sz w:val="19"/>
        </w:rPr>
        <w:t xml:space="preserve">Edition: </w:t>
      </w:r>
      <w:r>
        <w:rPr>
          <w:rFonts w:ascii="Calibri" w:hAnsi="Calibri"/>
          <w:color w:val="667085"/>
          <w:sz w:val="19"/>
        </w:rPr>
        <w:t>Generated 2026-08-12</w:t>
      </w:r>
    </w:p>
    <w:p>
      <w:pPr>
        <w:spacing w:after="80"/>
        <w:jc w:val="center"/>
      </w:pPr>
      <w:r>
        <w:rPr>
          <w:rFonts w:ascii="Calibri" w:hAnsi="Calibri"/>
          <w:b/>
          <w:color w:val="667085"/>
          <w:sz w:val="19"/>
        </w:rPr>
        <w:t xml:space="preserve">Demonstration: </w:t>
      </w:r>
      <w:r>
        <w:rPr>
          <w:rFonts w:ascii="Calibri" w:hAnsi="Calibri"/>
          <w:color w:val="667085"/>
          <w:sz w:val="19"/>
        </w:rPr>
        <w:t>Synthetic Northstar AP transformation; no production claims</w:t>
      </w:r>
    </w:p>
    <w:p>
      <w:pPr>
        <w:spacing w:before="560" w:after="0"/>
        <w:ind w:left="1008" w:right="1008"/>
        <w:jc w:val="center"/>
      </w:pPr>
      <w:r>
        <w:rPr>
          <w:rFonts w:ascii="Calibri" w:hAnsi="Calibri"/>
          <w:i/>
          <w:color w:val="667085"/>
          <w:sz w:val="17"/>
        </w:rPr>
        <w:t>Confidentiality note: live customer workspaces may contain sensitive evidence. Follow company policy and never commit secrets or unnecessary personal data.</w:t>
      </w:r>
    </w:p>
    <w:p>
      <w:r>
        <w:br w:type="page"/>
      </w:r>
    </w:p>
    <w:p>
      <w:pPr>
        <w:pStyle w:val="Heading1"/>
      </w:pPr>
      <w:r>
        <w:t>How to use this handbook</w:t>
      </w:r>
    </w:p>
    <w:p>
      <w:r>
        <w:t>Read Part I to install the skills. Use Part II while running engagements. Use Part III to explain the value to stakeholders. Parts IV–VI show the complete synthetic execution and its impact. Part VII documents the reproducibility and validation evidence. Part VIII explains how to contribute safely.</w:t>
      </w:r>
    </w:p>
    <w:p>
      <w:pPr>
        <w:pStyle w:val="ListBullet"/>
      </w:pPr>
      <w:r>
        <w:rPr>
          <w:rFonts w:ascii="Calibri" w:hAnsi="Calibri"/>
          <w:b/>
          <w:color w:val="19324D"/>
          <w:sz w:val="22"/>
        </w:rPr>
        <w:t xml:space="preserve">Part I: </w:t>
      </w:r>
      <w:r>
        <w:rPr>
          <w:rFonts w:ascii="Calibri" w:hAnsi="Calibri"/>
          <w:color w:val="222222"/>
          <w:sz w:val="22"/>
        </w:rPr>
        <w:t>Install and verify the public repository</w:t>
      </w:r>
    </w:p>
    <w:p>
      <w:pPr>
        <w:pStyle w:val="ListBullet"/>
      </w:pPr>
      <w:r>
        <w:rPr>
          <w:rFonts w:ascii="Calibri" w:hAnsi="Calibri"/>
          <w:b/>
          <w:color w:val="19324D"/>
          <w:sz w:val="22"/>
        </w:rPr>
        <w:t xml:space="preserve">Part II: </w:t>
      </w:r>
      <w:r>
        <w:rPr>
          <w:rFonts w:ascii="Calibri" w:hAnsi="Calibri"/>
          <w:color w:val="222222"/>
          <w:sz w:val="22"/>
        </w:rPr>
        <w:t>Understand the operating model and use every skill</w:t>
      </w:r>
    </w:p>
    <w:p>
      <w:pPr>
        <w:pStyle w:val="ListBullet"/>
      </w:pPr>
      <w:r>
        <w:rPr>
          <w:rFonts w:ascii="Calibri" w:hAnsi="Calibri"/>
          <w:b/>
          <w:color w:val="19324D"/>
          <w:sz w:val="22"/>
        </w:rPr>
        <w:t xml:space="preserve">Part III: </w:t>
      </w:r>
      <w:r>
        <w:rPr>
          <w:rFonts w:ascii="Calibri" w:hAnsi="Calibri"/>
          <w:color w:val="222222"/>
          <w:sz w:val="22"/>
        </w:rPr>
        <w:t>Compare before-and-after scenarios</w:t>
      </w:r>
    </w:p>
    <w:p>
      <w:pPr>
        <w:pStyle w:val="ListBullet"/>
      </w:pPr>
      <w:r>
        <w:rPr>
          <w:rFonts w:ascii="Calibri" w:hAnsi="Calibri"/>
          <w:b/>
          <w:color w:val="19324D"/>
          <w:sz w:val="22"/>
        </w:rPr>
        <w:t xml:space="preserve">Part IV: </w:t>
      </w:r>
      <w:r>
        <w:rPr>
          <w:rFonts w:ascii="Calibri" w:hAnsi="Calibri"/>
          <w:color w:val="222222"/>
          <w:sz w:val="22"/>
        </w:rPr>
        <w:t>Orient to the synthetic Northstar AP engagement</w:t>
      </w:r>
    </w:p>
    <w:p>
      <w:pPr>
        <w:pStyle w:val="ListBullet"/>
      </w:pPr>
      <w:r>
        <w:rPr>
          <w:rFonts w:ascii="Calibri" w:hAnsi="Calibri"/>
          <w:b/>
          <w:color w:val="19324D"/>
          <w:sz w:val="22"/>
        </w:rPr>
        <w:t xml:space="preserve">Part V: </w:t>
      </w:r>
      <w:r>
        <w:rPr>
          <w:rFonts w:ascii="Calibri" w:hAnsi="Calibri"/>
          <w:color w:val="222222"/>
          <w:sz w:val="22"/>
        </w:rPr>
        <w:t>Review the skill-by-skill execution record</w:t>
      </w:r>
    </w:p>
    <w:p>
      <w:pPr>
        <w:pStyle w:val="ListBullet"/>
      </w:pPr>
      <w:r>
        <w:rPr>
          <w:rFonts w:ascii="Calibri" w:hAnsi="Calibri"/>
          <w:b/>
          <w:color w:val="19324D"/>
          <w:sz w:val="22"/>
        </w:rPr>
        <w:t xml:space="preserve">Part VI: </w:t>
      </w:r>
      <w:r>
        <w:rPr>
          <w:rFonts w:ascii="Calibri" w:hAnsi="Calibri"/>
          <w:color w:val="222222"/>
          <w:sz w:val="22"/>
        </w:rPr>
        <w:t>Understand demonstrated versus hypothesized impact</w:t>
      </w:r>
    </w:p>
    <w:p>
      <w:pPr>
        <w:pStyle w:val="ListBullet"/>
      </w:pPr>
      <w:r>
        <w:rPr>
          <w:rFonts w:ascii="Calibri" w:hAnsi="Calibri"/>
          <w:b/>
          <w:color w:val="19324D"/>
          <w:sz w:val="22"/>
        </w:rPr>
        <w:t xml:space="preserve">Part VII: </w:t>
      </w:r>
      <w:r>
        <w:rPr>
          <w:rFonts w:ascii="Calibri" w:hAnsi="Calibri"/>
          <w:color w:val="222222"/>
          <w:sz w:val="22"/>
        </w:rPr>
        <w:t>Reproduce installation, skill, example, and document checks</w:t>
      </w:r>
    </w:p>
    <w:p>
      <w:pPr>
        <w:pStyle w:val="ListBullet"/>
      </w:pPr>
      <w:r>
        <w:rPr>
          <w:rFonts w:ascii="Calibri" w:hAnsi="Calibri"/>
          <w:b/>
          <w:color w:val="19324D"/>
          <w:sz w:val="22"/>
        </w:rPr>
        <w:t xml:space="preserve">Part VIII: </w:t>
      </w:r>
      <w:r>
        <w:rPr>
          <w:rFonts w:ascii="Calibri" w:hAnsi="Calibri"/>
          <w:color w:val="222222"/>
          <w:sz w:val="22"/>
        </w:rPr>
        <w:t>Propose, validate, and submit a safe contribution</w:t>
      </w:r>
    </w:p>
    <w:p>
      <w:pPr>
        <w:spacing w:before="200"/>
      </w:pPr>
      <w:r>
        <w:rPr>
          <w:rFonts w:ascii="Calibri" w:hAnsi="Calibri"/>
          <w:b/>
          <w:color w:val="19324D"/>
        </w:rPr>
        <w:t xml:space="preserve">Fastest start: </w:t>
      </w:r>
      <w:r>
        <w:t>Authenticate with GitHub CLI, run the one-command global Codex install, reload Codex, and invoke $fde-run-engagement.</w:t>
      </w:r>
    </w:p>
    <w:p>
      <w:r>
        <w:br w:type="page"/>
      </w:r>
    </w:p>
    <w:p>
      <w:pPr>
        <w:pStyle w:val="Heading1"/>
      </w:pPr>
      <w:r>
        <w:t>Part I — Install and verify</w:t>
      </w:r>
    </w:p>
    <w:p>
      <w:pPr>
        <w:spacing w:after="200"/>
      </w:pPr>
      <w:r>
        <w:rPr>
          <w:rFonts w:ascii="Calibri" w:hAnsi="Calibri"/>
          <w:b/>
          <w:color w:val="667085"/>
          <w:sz w:val="17"/>
        </w:rPr>
        <w:t xml:space="preserve">Maintained source: </w:t>
      </w:r>
      <w:r>
        <w:rPr>
          <w:rFonts w:ascii="Calibri" w:hAnsi="Calibri"/>
          <w:color w:val="667085"/>
          <w:sz w:val="17"/>
        </w:rPr>
        <w:t>docs/INSTALLATION.md</w:t>
      </w:r>
    </w:p>
    <w:p>
      <w:r>
        <w:t>This guide installs the public 1aifanatic/fde-agent-skills repository through the open skills CLI. The repository contains six independent skills that are discovered from their SKILL.md files.</w:t>
      </w:r>
    </w:p>
    <w:p>
      <w:pPr>
        <w:pStyle w:val="Heading2"/>
      </w:pPr>
      <w:r>
        <w:t>Fast path for Codex</w:t>
      </w:r>
    </w:p>
    <w:p>
      <w:pPr>
        <w:pStyle w:val="Heading3"/>
      </w:pPr>
      <w:r>
        <w:t>Prerequisites</w:t>
      </w:r>
    </w:p>
    <w:p>
      <w:r>
        <w:t>Confirm these commands work:</w:t>
      </w:r>
    </w:p>
    <w:p>
      <w:pPr>
        <w:pStyle w:val="CodeBlock"/>
        <w:shd w:fill="F2F4F7"/>
      </w:pPr>
      <w:r>
        <w:rPr>
          <w:rFonts w:ascii="Consolas" w:hAnsi="Consolas"/>
          <w:color w:val="19324D"/>
          <w:sz w:val="17"/>
        </w:rPr>
        <w:t>node --version</w:t>
        <w:br/>
      </w:r>
      <w:r>
        <w:rPr>
          <w:rFonts w:ascii="Consolas" w:hAnsi="Consolas"/>
          <w:color w:val="19324D"/>
          <w:sz w:val="17"/>
        </w:rPr>
        <w:t>npx --version</w:t>
        <w:br/>
      </w:r>
      <w:r>
        <w:rPr>
          <w:rFonts w:ascii="Consolas" w:hAnsi="Consolas"/>
          <w:color w:val="19324D"/>
          <w:sz w:val="17"/>
        </w:rPr>
        <w:t>git --version</w:t>
      </w:r>
    </w:p>
    <w:p>
      <w:r>
        <w:t>No GitHub account or access token is required for the public HTTPS installation.</w:t>
      </w:r>
    </w:p>
    <w:p>
      <w:pPr>
        <w:pStyle w:val="Heading3"/>
      </w:pPr>
      <w:r>
        <w:t>Install all skills globally</w:t>
      </w:r>
    </w:p>
    <w:p>
      <w:r>
        <w:t>Use this for an FDE who wants the suite available in every Codex workspace:</w:t>
      </w:r>
    </w:p>
    <w:p>
      <w:pPr>
        <w:pStyle w:val="CodeBlock"/>
        <w:shd w:fill="F2F4F7"/>
      </w:pPr>
      <w:r>
        <w:rPr>
          <w:rFonts w:ascii="Consolas" w:hAnsi="Consolas"/>
          <w:color w:val="19324D"/>
          <w:sz w:val="17"/>
        </w:rPr>
        <w:t>$env:DISABLE_TELEMETRY = "1"</w:t>
        <w:br/>
      </w:r>
      <w:r>
        <w:rPr>
          <w:rFonts w:ascii="Consolas" w:hAnsi="Consolas"/>
          <w:color w:val="19324D"/>
          <w:sz w:val="17"/>
        </w:rPr>
        <w:t>npx --yes skills@latest add https://github.com/1aifanatic/fde-agent-skills.git --skill '*' --agent codex --global --copy --yes</w:t>
      </w:r>
    </w:p>
    <w:p>
      <w:r>
        <w:t>What each option means: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rHeight w:hRule="auto"/>
          <w:tblHeader w:val="true"/>
          <w:tblHeader w:val="true"/>
        </w:trPr>
        <w:tc>
          <w:tcPr>
            <w:tcW w:type="dxa" w:w="4680"/>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Option</w:t>
            </w:r>
          </w:p>
        </w:tc>
        <w:tc>
          <w:tcPr>
            <w:tcW w:type="dxa" w:w="4680"/>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Effect</w:t>
            </w:r>
          </w:p>
        </w:tc>
      </w:tr>
      <w:tr>
        <w:trPr>
          <w:trHeight w:hRule="auto"/>
        </w:trPr>
        <w:tc>
          <w:tcPr>
            <w:tcW w:type="dxa" w:w="4680"/>
            <w:tcMar>
              <w:top w:w="80" w:type="dxa"/>
              <w:start w:w="120" w:type="dxa"/>
              <w:bottom w:w="80" w:type="dxa"/>
              <w:end w:w="120" w:type="dxa"/>
            </w:tcMar>
            <w:vAlign w:val="center"/>
          </w:tcPr>
          <w:p>
            <w:pPr>
              <w:spacing w:before="0" w:after="40" w:line="252" w:lineRule="auto"/>
            </w:pPr>
            <w:r>
              <w:rPr>
                <w:rFonts w:ascii="Calibri" w:hAnsi="Calibri"/>
                <w:sz w:val="17"/>
              </w:rPr>
              <w:t>npx --yes</w:t>
            </w:r>
          </w:p>
        </w:tc>
        <w:tc>
          <w:tcPr>
            <w:tcW w:type="dxa" w:w="4680"/>
            <w:tcMar>
              <w:top w:w="80" w:type="dxa"/>
              <w:start w:w="120" w:type="dxa"/>
              <w:bottom w:w="80" w:type="dxa"/>
              <w:end w:w="120" w:type="dxa"/>
            </w:tcMar>
            <w:vAlign w:val="center"/>
          </w:tcPr>
          <w:p>
            <w:pPr>
              <w:spacing w:before="0" w:after="40" w:line="252" w:lineRule="auto"/>
            </w:pPr>
            <w:r>
              <w:rPr>
                <w:rFonts w:ascii="Calibri" w:hAnsi="Calibri"/>
                <w:sz w:val="17"/>
              </w:rPr>
              <w:t>Downloads/runs the CLI package without the npm confirmation prompt</w:t>
            </w:r>
          </w:p>
        </w:tc>
      </w:tr>
      <w:tr>
        <w:trPr>
          <w:trHeight w:hRule="auto"/>
        </w:trPr>
        <w:tc>
          <w:tcPr>
            <w:tcW w:type="dxa" w:w="4680"/>
            <w:tcMar>
              <w:top w:w="80" w:type="dxa"/>
              <w:start w:w="120" w:type="dxa"/>
              <w:bottom w:w="80" w:type="dxa"/>
              <w:end w:w="120" w:type="dxa"/>
            </w:tcMar>
            <w:vAlign w:val="center"/>
          </w:tcPr>
          <w:p>
            <w:pPr>
              <w:spacing w:before="0" w:after="40" w:line="252" w:lineRule="auto"/>
            </w:pPr>
            <w:r>
              <w:rPr>
                <w:rFonts w:ascii="Calibri" w:hAnsi="Calibri"/>
                <w:sz w:val="17"/>
              </w:rPr>
              <w:t>skills@latest</w:t>
            </w:r>
          </w:p>
        </w:tc>
        <w:tc>
          <w:tcPr>
            <w:tcW w:type="dxa" w:w="4680"/>
            <w:tcMar>
              <w:top w:w="80" w:type="dxa"/>
              <w:start w:w="120" w:type="dxa"/>
              <w:bottom w:w="80" w:type="dxa"/>
              <w:end w:w="120" w:type="dxa"/>
            </w:tcMar>
            <w:vAlign w:val="center"/>
          </w:tcPr>
          <w:p>
            <w:pPr>
              <w:spacing w:before="0" w:after="40" w:line="252" w:lineRule="auto"/>
            </w:pPr>
            <w:r>
              <w:rPr>
                <w:rFonts w:ascii="Calibri" w:hAnsi="Calibri"/>
                <w:sz w:val="17"/>
              </w:rPr>
              <w:t>Uses the current released skills CLI</w:t>
            </w:r>
          </w:p>
        </w:tc>
      </w:tr>
      <w:tr>
        <w:trPr>
          <w:trHeight w:hRule="auto"/>
        </w:trPr>
        <w:tc>
          <w:tcPr>
            <w:tcW w:type="dxa" w:w="4680"/>
            <w:tcMar>
              <w:top w:w="80" w:type="dxa"/>
              <w:start w:w="120" w:type="dxa"/>
              <w:bottom w:w="80" w:type="dxa"/>
              <w:end w:w="120" w:type="dxa"/>
            </w:tcMar>
            <w:vAlign w:val="center"/>
          </w:tcPr>
          <w:p>
            <w:pPr>
              <w:spacing w:before="0" w:after="40" w:line="252" w:lineRule="auto"/>
            </w:pPr>
            <w:r>
              <w:rPr>
                <w:rFonts w:ascii="Calibri" w:hAnsi="Calibri"/>
                <w:sz w:val="17"/>
              </w:rPr>
              <w:t>add https://github.com/1aifanatic/fde-agent-skills.git</w:t>
            </w:r>
          </w:p>
        </w:tc>
        <w:tc>
          <w:tcPr>
            <w:tcW w:type="dxa" w:w="4680"/>
            <w:tcMar>
              <w:top w:w="80" w:type="dxa"/>
              <w:start w:w="120" w:type="dxa"/>
              <w:bottom w:w="80" w:type="dxa"/>
              <w:end w:w="120" w:type="dxa"/>
            </w:tcMar>
            <w:vAlign w:val="center"/>
          </w:tcPr>
          <w:p>
            <w:pPr>
              <w:spacing w:before="0" w:after="40" w:line="252" w:lineRule="auto"/>
            </w:pPr>
            <w:r>
              <w:rPr>
                <w:rFonts w:ascii="Calibri" w:hAnsi="Calibri"/>
                <w:sz w:val="17"/>
              </w:rPr>
              <w:t>Reads the public GitHub repository</w:t>
            </w:r>
          </w:p>
        </w:tc>
      </w:tr>
      <w:tr>
        <w:trPr>
          <w:trHeight w:hRule="auto"/>
        </w:trPr>
        <w:tc>
          <w:tcPr>
            <w:tcW w:type="dxa" w:w="4680"/>
            <w:tcMar>
              <w:top w:w="80" w:type="dxa"/>
              <w:start w:w="120" w:type="dxa"/>
              <w:bottom w:w="80" w:type="dxa"/>
              <w:end w:w="120" w:type="dxa"/>
            </w:tcMar>
            <w:vAlign w:val="center"/>
          </w:tcPr>
          <w:p>
            <w:pPr>
              <w:spacing w:before="0" w:after="40" w:line="252" w:lineRule="auto"/>
            </w:pPr>
            <w:r>
              <w:rPr>
                <w:rFonts w:ascii="Calibri" w:hAnsi="Calibri"/>
                <w:sz w:val="17"/>
              </w:rPr>
              <w:t>--skill '*'</w:t>
            </w:r>
          </w:p>
        </w:tc>
        <w:tc>
          <w:tcPr>
            <w:tcW w:type="dxa" w:w="4680"/>
            <w:tcMar>
              <w:top w:w="80" w:type="dxa"/>
              <w:start w:w="120" w:type="dxa"/>
              <w:bottom w:w="80" w:type="dxa"/>
              <w:end w:w="120" w:type="dxa"/>
            </w:tcMar>
            <w:vAlign w:val="center"/>
          </w:tcPr>
          <w:p>
            <w:pPr>
              <w:spacing w:before="0" w:after="40" w:line="252" w:lineRule="auto"/>
            </w:pPr>
            <w:r>
              <w:rPr>
                <w:rFonts w:ascii="Calibri" w:hAnsi="Calibri"/>
                <w:sz w:val="17"/>
              </w:rPr>
              <w:t>Selects all six discovered skills</w:t>
            </w:r>
          </w:p>
        </w:tc>
      </w:tr>
      <w:tr>
        <w:trPr>
          <w:trHeight w:hRule="auto"/>
        </w:trPr>
        <w:tc>
          <w:tcPr>
            <w:tcW w:type="dxa" w:w="4680"/>
            <w:tcMar>
              <w:top w:w="80" w:type="dxa"/>
              <w:start w:w="120" w:type="dxa"/>
              <w:bottom w:w="80" w:type="dxa"/>
              <w:end w:w="120" w:type="dxa"/>
            </w:tcMar>
            <w:vAlign w:val="center"/>
          </w:tcPr>
          <w:p>
            <w:pPr>
              <w:spacing w:before="0" w:after="40" w:line="252" w:lineRule="auto"/>
            </w:pPr>
            <w:r>
              <w:rPr>
                <w:rFonts w:ascii="Calibri" w:hAnsi="Calibri"/>
                <w:sz w:val="17"/>
              </w:rPr>
              <w:t>--agent codex</w:t>
            </w:r>
          </w:p>
        </w:tc>
        <w:tc>
          <w:tcPr>
            <w:tcW w:type="dxa" w:w="4680"/>
            <w:tcMar>
              <w:top w:w="80" w:type="dxa"/>
              <w:start w:w="120" w:type="dxa"/>
              <w:bottom w:w="80" w:type="dxa"/>
              <w:end w:w="120" w:type="dxa"/>
            </w:tcMar>
            <w:vAlign w:val="center"/>
          </w:tcPr>
          <w:p>
            <w:pPr>
              <w:spacing w:before="0" w:after="40" w:line="252" w:lineRule="auto"/>
            </w:pPr>
            <w:r>
              <w:rPr>
                <w:rFonts w:ascii="Calibri" w:hAnsi="Calibri"/>
                <w:sz w:val="17"/>
              </w:rPr>
              <w:t>Installs only for Codex</w:t>
            </w:r>
          </w:p>
        </w:tc>
      </w:tr>
      <w:tr>
        <w:trPr>
          <w:trHeight w:hRule="auto"/>
        </w:trPr>
        <w:tc>
          <w:tcPr>
            <w:tcW w:type="dxa" w:w="4680"/>
            <w:tcMar>
              <w:top w:w="80" w:type="dxa"/>
              <w:start w:w="120" w:type="dxa"/>
              <w:bottom w:w="80" w:type="dxa"/>
              <w:end w:w="120" w:type="dxa"/>
            </w:tcMar>
            <w:vAlign w:val="center"/>
          </w:tcPr>
          <w:p>
            <w:pPr>
              <w:spacing w:before="0" w:after="40" w:line="252" w:lineRule="auto"/>
            </w:pPr>
            <w:r>
              <w:rPr>
                <w:rFonts w:ascii="Calibri" w:hAnsi="Calibri"/>
                <w:sz w:val="17"/>
              </w:rPr>
              <w:t>--global</w:t>
            </w:r>
          </w:p>
        </w:tc>
        <w:tc>
          <w:tcPr>
            <w:tcW w:type="dxa" w:w="4680"/>
            <w:tcMar>
              <w:top w:w="80" w:type="dxa"/>
              <w:start w:w="120" w:type="dxa"/>
              <w:bottom w:w="80" w:type="dxa"/>
              <w:end w:w="120" w:type="dxa"/>
            </w:tcMar>
            <w:vAlign w:val="center"/>
          </w:tcPr>
          <w:p>
            <w:pPr>
              <w:spacing w:before="0" w:after="40" w:line="252" w:lineRule="auto"/>
            </w:pPr>
            <w:r>
              <w:rPr>
                <w:rFonts w:ascii="Calibri" w:hAnsi="Calibri"/>
                <w:sz w:val="17"/>
              </w:rPr>
              <w:t>Installs for the current user rather than one project</w:t>
            </w:r>
          </w:p>
        </w:tc>
      </w:tr>
      <w:tr>
        <w:trPr>
          <w:trHeight w:hRule="auto"/>
        </w:trPr>
        <w:tc>
          <w:tcPr>
            <w:tcW w:type="dxa" w:w="4680"/>
            <w:tcMar>
              <w:top w:w="80" w:type="dxa"/>
              <w:start w:w="120" w:type="dxa"/>
              <w:bottom w:w="80" w:type="dxa"/>
              <w:end w:w="120" w:type="dxa"/>
            </w:tcMar>
            <w:vAlign w:val="center"/>
          </w:tcPr>
          <w:p>
            <w:pPr>
              <w:spacing w:before="0" w:after="40" w:line="252" w:lineRule="auto"/>
            </w:pPr>
            <w:r>
              <w:rPr>
                <w:rFonts w:ascii="Calibri" w:hAnsi="Calibri"/>
                <w:sz w:val="17"/>
              </w:rPr>
              <w:t>--copy</w:t>
            </w:r>
          </w:p>
        </w:tc>
        <w:tc>
          <w:tcPr>
            <w:tcW w:type="dxa" w:w="4680"/>
            <w:tcMar>
              <w:top w:w="80" w:type="dxa"/>
              <w:start w:w="120" w:type="dxa"/>
              <w:bottom w:w="80" w:type="dxa"/>
              <w:end w:w="120" w:type="dxa"/>
            </w:tcMar>
            <w:vAlign w:val="center"/>
          </w:tcPr>
          <w:p>
            <w:pPr>
              <w:spacing w:before="0" w:after="40" w:line="252" w:lineRule="auto"/>
            </w:pPr>
            <w:r>
              <w:rPr>
                <w:rFonts w:ascii="Calibri" w:hAnsi="Calibri"/>
                <w:sz w:val="17"/>
              </w:rPr>
              <w:t>Copies each skill instead of depending on symlink support</w:t>
            </w:r>
          </w:p>
        </w:tc>
      </w:tr>
      <w:tr>
        <w:trPr>
          <w:trHeight w:hRule="auto"/>
        </w:trPr>
        <w:tc>
          <w:tcPr>
            <w:tcW w:type="dxa" w:w="4680"/>
            <w:tcMar>
              <w:top w:w="80" w:type="dxa"/>
              <w:start w:w="120" w:type="dxa"/>
              <w:bottom w:w="80" w:type="dxa"/>
              <w:end w:w="120" w:type="dxa"/>
            </w:tcMar>
            <w:vAlign w:val="center"/>
          </w:tcPr>
          <w:p>
            <w:pPr>
              <w:spacing w:before="0" w:after="40" w:line="252" w:lineRule="auto"/>
            </w:pPr>
            <w:r>
              <w:rPr>
                <w:rFonts w:ascii="Calibri" w:hAnsi="Calibri"/>
                <w:sz w:val="17"/>
              </w:rPr>
              <w:t>--yes</w:t>
            </w:r>
          </w:p>
        </w:tc>
        <w:tc>
          <w:tcPr>
            <w:tcW w:type="dxa" w:w="4680"/>
            <w:tcMar>
              <w:top w:w="80" w:type="dxa"/>
              <w:start w:w="120" w:type="dxa"/>
              <w:bottom w:w="80" w:type="dxa"/>
              <w:end w:w="120" w:type="dxa"/>
            </w:tcMar>
            <w:vAlign w:val="center"/>
          </w:tcPr>
          <w:p>
            <w:pPr>
              <w:spacing w:before="0" w:after="40" w:line="252" w:lineRule="auto"/>
            </w:pPr>
            <w:r>
              <w:rPr>
                <w:rFonts w:ascii="Calibri" w:hAnsi="Calibri"/>
                <w:sz w:val="17"/>
              </w:rPr>
              <w:t>Skips interactive CLI confirmations</w:t>
            </w:r>
          </w:p>
        </w:tc>
      </w:tr>
      <w:tr>
        <w:trPr>
          <w:trHeight w:hRule="auto"/>
        </w:trPr>
        <w:tc>
          <w:tcPr>
            <w:tcW w:type="dxa" w:w="4680"/>
            <w:tcMar>
              <w:top w:w="80" w:type="dxa"/>
              <w:start w:w="120" w:type="dxa"/>
              <w:bottom w:w="80" w:type="dxa"/>
              <w:end w:w="120" w:type="dxa"/>
            </w:tcMar>
            <w:vAlign w:val="center"/>
          </w:tcPr>
          <w:p>
            <w:pPr>
              <w:spacing w:before="0" w:after="40" w:line="252" w:lineRule="auto"/>
            </w:pPr>
            <w:r>
              <w:rPr>
                <w:rFonts w:ascii="Calibri" w:hAnsi="Calibri"/>
                <w:sz w:val="17"/>
              </w:rPr>
              <w:t>DISABLE_TELEMETRY</w:t>
            </w:r>
          </w:p>
        </w:tc>
        <w:tc>
          <w:tcPr>
            <w:tcW w:type="dxa" w:w="4680"/>
            <w:tcMar>
              <w:top w:w="80" w:type="dxa"/>
              <w:start w:w="120" w:type="dxa"/>
              <w:bottom w:w="80" w:type="dxa"/>
              <w:end w:w="120" w:type="dxa"/>
            </w:tcMar>
            <w:vAlign w:val="center"/>
          </w:tcPr>
          <w:p>
            <w:pPr>
              <w:spacing w:before="0" w:after="40" w:line="252" w:lineRule="auto"/>
            </w:pPr>
            <w:r>
              <w:rPr>
                <w:rFonts w:ascii="Calibri" w:hAnsi="Calibri"/>
                <w:sz w:val="17"/>
              </w:rPr>
              <w:t>Disables skills CLI telemetry for this shell</w:t>
            </w:r>
          </w:p>
        </w:tc>
      </w:tr>
    </w:tbl>
    <w:p>
      <w:pPr>
        <w:spacing w:after="40"/>
      </w:pPr>
    </w:p>
    <w:p>
      <w:r>
        <w:t>The global Codex destination is ~/.codex/skills/.</w:t>
      </w:r>
    </w:p>
    <w:p>
      <w:pPr>
        <w:pStyle w:val="Heading3"/>
      </w:pPr>
      <w:r>
        <w:t>Install into one project</w:t>
      </w:r>
    </w:p>
    <w:p>
      <w:r>
        <w:t>Run from the project root:</w:t>
      </w:r>
    </w:p>
    <w:p>
      <w:pPr>
        <w:pStyle w:val="CodeBlock"/>
        <w:shd w:fill="F2F4F7"/>
      </w:pPr>
      <w:r>
        <w:rPr>
          <w:rFonts w:ascii="Consolas" w:hAnsi="Consolas"/>
          <w:color w:val="19324D"/>
          <w:sz w:val="17"/>
        </w:rPr>
        <w:t>$env:DISABLE_TELEMETRY = "1"</w:t>
        <w:br/>
      </w:r>
      <w:r>
        <w:rPr>
          <w:rFonts w:ascii="Consolas" w:hAnsi="Consolas"/>
          <w:color w:val="19324D"/>
          <w:sz w:val="17"/>
        </w:rPr>
        <w:t>npx --yes skills@latest add https://github.com/1aifanatic/fde-agent-skills.git --skill '*' --agent codex --copy --yes</w:t>
      </w:r>
    </w:p>
    <w:p>
      <w:r>
        <w:t>The project destination is .agents/skills/. Project installation is useful when the project should pin, review, and share the skill source with the delivery team.</w:t>
      </w:r>
    </w:p>
    <w:p>
      <w:pPr>
        <w:pStyle w:val="Heading3"/>
      </w:pPr>
      <w:r>
        <w:t>Reload Codex</w:t>
      </w:r>
    </w:p>
    <w:p>
      <w:r>
        <w:t>Restart or reload Codex after installation so the new skill metadata is discovered. Start a fresh prompt with:</w:t>
      </w:r>
    </w:p>
    <w:p>
      <w:pPr>
        <w:pStyle w:val="CodeBlock"/>
        <w:shd w:fill="F2F4F7"/>
      </w:pPr>
      <w:r>
        <w:rPr>
          <w:rFonts w:ascii="Consolas" w:hAnsi="Consolas"/>
          <w:color w:val="19324D"/>
          <w:sz w:val="17"/>
        </w:rPr>
        <w:t>$fde-run-engagement Start an FDE engagement and interview me to establish the charter.</w:t>
      </w:r>
    </w:p>
    <w:p>
      <w:pPr>
        <w:pStyle w:val="Heading2"/>
      </w:pPr>
      <w:r>
        <w:t>Alternative Git transports and CI</w:t>
      </w:r>
    </w:p>
    <w:p>
      <w:r>
        <w:t>The recommended public HTTPS command requires no authentication. Use an alternate transport only when your environment requires it.</w:t>
      </w:r>
    </w:p>
    <w:p>
      <w:pPr>
        <w:pStyle w:val="Heading3"/>
      </w:pPr>
      <w:r>
        <w:t>Optional GitHub CLI authentication</w:t>
      </w:r>
    </w:p>
    <w:p>
      <w:r>
        <w:t>GitHub CLI authentication is optional and can help diagnose account-level network or rate-limit issues:</w:t>
      </w:r>
    </w:p>
    <w:p>
      <w:pPr>
        <w:pStyle w:val="CodeBlock"/>
        <w:shd w:fill="F2F4F7"/>
      </w:pPr>
      <w:r>
        <w:rPr>
          <w:rFonts w:ascii="Consolas" w:hAnsi="Consolas"/>
          <w:color w:val="19324D"/>
          <w:sz w:val="17"/>
        </w:rPr>
        <w:t>gh auth login</w:t>
        <w:br/>
      </w:r>
      <w:r>
        <w:rPr>
          <w:rFonts w:ascii="Consolas" w:hAnsi="Consolas"/>
          <w:color w:val="19324D"/>
          <w:sz w:val="17"/>
        </w:rPr>
        <w:t>gh auth status</w:t>
        <w:br/>
      </w:r>
      <w:r>
        <w:rPr>
          <w:rFonts w:ascii="Consolas" w:hAnsi="Consolas"/>
          <w:color w:val="19324D"/>
          <w:sz w:val="17"/>
        </w:rPr>
        <w:t>gh auth setup-git</w:t>
        <w:br/>
      </w:r>
      <w:r>
        <w:rPr>
          <w:rFonts w:ascii="Consolas" w:hAnsi="Consolas"/>
          <w:color w:val="19324D"/>
          <w:sz w:val="17"/>
        </w:rPr>
        <w:t>gh repo view 1aifanatic/fde-agent-skills</w:t>
      </w:r>
    </w:p>
    <w:p>
      <w:r>
        <w:t>Do not paste tokens into the install command or logs.</w:t>
      </w:r>
    </w:p>
    <w:p>
      <w:pPr>
        <w:pStyle w:val="Heading3"/>
      </w:pPr>
      <w:r>
        <w:t>SSH authentication</w:t>
      </w:r>
    </w:p>
    <w:p>
      <w:r>
        <w:t>Use the SSH URL when SSH keys are already authorized:</w:t>
      </w:r>
    </w:p>
    <w:p>
      <w:pPr>
        <w:pStyle w:val="CodeBlock"/>
        <w:shd w:fill="F2F4F7"/>
      </w:pPr>
      <w:r>
        <w:rPr>
          <w:rFonts w:ascii="Consolas" w:hAnsi="Consolas"/>
          <w:color w:val="19324D"/>
          <w:sz w:val="17"/>
        </w:rPr>
        <w:t>ssh -T git@github.com</w:t>
        <w:br/>
      </w:r>
      <w:r>
        <w:rPr>
          <w:rFonts w:ascii="Consolas" w:hAnsi="Consolas"/>
          <w:color w:val="19324D"/>
          <w:sz w:val="17"/>
        </w:rPr>
        <w:t>$env:DISABLE_TELEMETRY = "1"</w:t>
        <w:br/>
      </w:r>
      <w:r>
        <w:rPr>
          <w:rFonts w:ascii="Consolas" w:hAnsi="Consolas"/>
          <w:color w:val="19324D"/>
          <w:sz w:val="17"/>
        </w:rPr>
        <w:t>npx --yes skills@latest add git@github.com:1aifanatic/fde-agent-skills.git --skill '*' --agent codex --global --copy --yes</w:t>
      </w:r>
    </w:p>
    <w:p>
      <w:pPr>
        <w:pStyle w:val="Heading3"/>
      </w:pPr>
      <w:r>
        <w:t>CI installation</w:t>
      </w:r>
    </w:p>
    <w:p>
      <w:r>
        <w:t>Public CI workers can install without a repository token:</w:t>
      </w:r>
    </w:p>
    <w:p>
      <w:pPr>
        <w:pStyle w:val="CodeBlock"/>
        <w:shd w:fill="F2F4F7"/>
      </w:pPr>
      <w:r>
        <w:rPr>
          <w:rFonts w:ascii="Consolas" w:hAnsi="Consolas"/>
          <w:color w:val="19324D"/>
          <w:sz w:val="17"/>
        </w:rPr>
        <w:t>$env:DISABLE_TELEMETRY = "1"</w:t>
        <w:br/>
      </w:r>
      <w:r>
        <w:rPr>
          <w:rFonts w:ascii="Consolas" w:hAnsi="Consolas"/>
          <w:color w:val="19324D"/>
          <w:sz w:val="17"/>
        </w:rPr>
        <w:t>npx --yes skills@latest add https://github.com/1aifanatic/fde-agent-skills.git --skill '*' --agent codex --copy --yes</w:t>
      </w:r>
    </w:p>
    <w:p>
      <w:r>
        <w:t>If your organization requires authenticated GitHub access, inject a short-lived least-privilege token through its secret manager. Never commit or print it.</w:t>
      </w:r>
    </w:p>
    <w:p>
      <w:pPr>
        <w:pStyle w:val="Heading2"/>
      </w:pPr>
      <w:r>
        <w:t>Discover before installing</w:t>
      </w:r>
    </w:p>
    <w:p>
      <w:r>
        <w:t>List what the CLI finds:</w:t>
      </w:r>
    </w:p>
    <w:p>
      <w:pPr>
        <w:pStyle w:val="CodeBlock"/>
        <w:shd w:fill="F2F4F7"/>
      </w:pPr>
      <w:r>
        <w:rPr>
          <w:rFonts w:ascii="Consolas" w:hAnsi="Consolas"/>
          <w:color w:val="19324D"/>
          <w:sz w:val="17"/>
        </w:rPr>
        <w:t>$env:DISABLE_TELEMETRY = "1"</w:t>
        <w:br/>
      </w:r>
      <w:r>
        <w:rPr>
          <w:rFonts w:ascii="Consolas" w:hAnsi="Consolas"/>
          <w:color w:val="19324D"/>
          <w:sz w:val="17"/>
        </w:rPr>
        <w:t>npx --yes skills@latest add https://github.com/1aifanatic/fde-agent-skills.git --list</w:t>
      </w:r>
    </w:p>
    <w:p>
      <w:r>
        <w:t>Expected skill names:</w:t>
      </w:r>
    </w:p>
    <w:p>
      <w:pPr>
        <w:pStyle w:val="ListNumber"/>
      </w:pPr>
      <w:r>
        <w:t>fde-capture-knowledge</w:t>
      </w:r>
    </w:p>
    <w:p>
      <w:pPr>
        <w:pStyle w:val="ListNumber"/>
      </w:pPr>
      <w:r>
        <w:t>fde-control-change</w:t>
      </w:r>
    </w:p>
    <w:p>
      <w:pPr>
        <w:pStyle w:val="ListNumber"/>
      </w:pPr>
      <w:r>
        <w:t>fde-interview-engagement</w:t>
      </w:r>
    </w:p>
    <w:p>
      <w:pPr>
        <w:pStyle w:val="ListNumber"/>
      </w:pPr>
      <w:r>
        <w:t>fde-plan-delivery</w:t>
      </w:r>
    </w:p>
    <w:p>
      <w:pPr>
        <w:pStyle w:val="ListNumber"/>
      </w:pPr>
      <w:r>
        <w:t>fde-reengineer-process</w:t>
      </w:r>
    </w:p>
    <w:p>
      <w:pPr>
        <w:pStyle w:val="ListNumber"/>
      </w:pPr>
      <w:r>
        <w:t>fde-run-engagement</w:t>
      </w:r>
    </w:p>
    <w:p>
      <w:r>
        <w:t>The repository was smoke-tested with this command. The CLI found all six skills and copied their scripts, references, and metadata.</w:t>
      </w:r>
    </w:p>
    <w:p>
      <w:pPr>
        <w:pStyle w:val="Heading2"/>
      </w:pPr>
      <w:r>
        <w:t>Install selected skills</w:t>
      </w:r>
    </w:p>
    <w:p>
      <w:r>
        <w:t>The suite is designed to work together, so installing all six is recommended. For an advanced, bounded use case:</w:t>
      </w:r>
    </w:p>
    <w:p>
      <w:pPr>
        <w:pStyle w:val="CodeBlock"/>
        <w:shd w:fill="F2F4F7"/>
      </w:pPr>
      <w:r>
        <w:rPr>
          <w:rFonts w:ascii="Consolas" w:hAnsi="Consolas"/>
          <w:color w:val="19324D"/>
          <w:sz w:val="17"/>
        </w:rPr>
        <w:t>$env:DISABLE_TELEMETRY = "1"</w:t>
        <w:br/>
      </w:r>
      <w:r>
        <w:rPr>
          <w:rFonts w:ascii="Consolas" w:hAnsi="Consolas"/>
          <w:color w:val="19324D"/>
          <w:sz w:val="17"/>
        </w:rPr>
        <w:t>npx --yes skills@latest add https://github.com/1aifanatic/fde-agent-skills.git --skill fde-interview-engagement --skill fde-capture-knowledge --agent codex --global --copy --yes</w:t>
      </w:r>
    </w:p>
    <w:p>
      <w:r>
        <w:t>Important dependency guidance:</w:t>
      </w:r>
    </w:p>
    <w:p>
      <w:pPr>
        <w:pStyle w:val="ListBullet"/>
      </w:pPr>
      <w:r>
        <w:t>fde-run-engagement routes work to all five specialist skills.</w:t>
      </w:r>
    </w:p>
    <w:p>
      <w:pPr>
        <w:pStyle w:val="ListBullet"/>
      </w:pPr>
      <w:r>
        <w:t>Specialist skills reference the orchestrator's shared taxonomy and workspace contract.</w:t>
      </w:r>
    </w:p>
    <w:p>
      <w:pPr>
        <w:pStyle w:val="ListBullet"/>
      </w:pPr>
      <w:r>
        <w:t>Install all six unless you intentionally manage those dependencies another way.</w:t>
      </w:r>
    </w:p>
    <w:p>
      <w:pPr>
        <w:pStyle w:val="Heading2"/>
      </w:pPr>
      <w:r>
        <w:t>Verify installation</w:t>
      </w:r>
    </w:p>
    <w:p>
      <w:r>
        <w:t>List global Codex skills:</w:t>
      </w:r>
    </w:p>
    <w:p>
      <w:pPr>
        <w:pStyle w:val="CodeBlock"/>
        <w:shd w:fill="F2F4F7"/>
      </w:pPr>
      <w:r>
        <w:rPr>
          <w:rFonts w:ascii="Consolas" w:hAnsi="Consolas"/>
          <w:color w:val="19324D"/>
          <w:sz w:val="17"/>
        </w:rPr>
        <w:t>npx --yes skills@latest list --global --agent codex</w:t>
      </w:r>
    </w:p>
    <w:p>
      <w:r>
        <w:t>Confirm the files directly if needed:</w:t>
      </w:r>
    </w:p>
    <w:p>
      <w:pPr>
        <w:pStyle w:val="CodeBlock"/>
        <w:shd w:fill="F2F4F7"/>
      </w:pPr>
      <w:r>
        <w:rPr>
          <w:rFonts w:ascii="Consolas" w:hAnsi="Consolas"/>
          <w:color w:val="19324D"/>
          <w:sz w:val="17"/>
        </w:rPr>
        <w:t>Get-ChildItem "$env:USERPROFILE\.codex\skills" -Directory |</w:t>
        <w:br/>
      </w:r>
      <w:r>
        <w:rPr>
          <w:rFonts w:ascii="Consolas" w:hAnsi="Consolas"/>
          <w:color w:val="19324D"/>
          <w:sz w:val="17"/>
        </w:rPr>
        <w:t xml:space="preserve">  Where-Object Name -Like "fde-*" |</w:t>
        <w:br/>
      </w:r>
      <w:r>
        <w:rPr>
          <w:rFonts w:ascii="Consolas" w:hAnsi="Consolas"/>
          <w:color w:val="19324D"/>
          <w:sz w:val="17"/>
        </w:rPr>
        <w:t xml:space="preserve">  Select-Object Name</w:t>
      </w:r>
    </w:p>
    <w:p>
      <w:r>
        <w:t>For a project install:</w:t>
      </w:r>
    </w:p>
    <w:p>
      <w:pPr>
        <w:pStyle w:val="CodeBlock"/>
        <w:shd w:fill="F2F4F7"/>
      </w:pPr>
      <w:r>
        <w:rPr>
          <w:rFonts w:ascii="Consolas" w:hAnsi="Consolas"/>
          <w:color w:val="19324D"/>
          <w:sz w:val="17"/>
        </w:rPr>
        <w:t>Get-ChildItem ".\.agents\skills" -Directory |</w:t>
        <w:br/>
      </w:r>
      <w:r>
        <w:rPr>
          <w:rFonts w:ascii="Consolas" w:hAnsi="Consolas"/>
          <w:color w:val="19324D"/>
          <w:sz w:val="17"/>
        </w:rPr>
        <w:t xml:space="preserve">  Where-Object Name -Like "fde-*" |</w:t>
        <w:br/>
      </w:r>
      <w:r>
        <w:rPr>
          <w:rFonts w:ascii="Consolas" w:hAnsi="Consolas"/>
          <w:color w:val="19324D"/>
          <w:sz w:val="17"/>
        </w:rPr>
        <w:t xml:space="preserve">  Select-Object Name</w:t>
      </w:r>
    </w:p>
    <w:p>
      <w:r>
        <w:t>Then invoke one skill in Codex. Discovery is complete when the skill appears and follows its workflow.</w:t>
      </w:r>
    </w:p>
    <w:p>
      <w:pPr>
        <w:pStyle w:val="Heading2"/>
      </w:pPr>
      <w:r>
        <w:t>Update</w:t>
      </w:r>
    </w:p>
    <w:p>
      <w:r>
        <w:t>Update installed global skills:</w:t>
      </w:r>
    </w:p>
    <w:p>
      <w:pPr>
        <w:pStyle w:val="CodeBlock"/>
        <w:shd w:fill="F2F4F7"/>
      </w:pPr>
      <w:r>
        <w:rPr>
          <w:rFonts w:ascii="Consolas" w:hAnsi="Consolas"/>
          <w:color w:val="19324D"/>
          <w:sz w:val="17"/>
        </w:rPr>
        <w:t>$env:DISABLE_TELEMETRY = "1"</w:t>
        <w:br/>
      </w:r>
      <w:r>
        <w:rPr>
          <w:rFonts w:ascii="Consolas" w:hAnsi="Consolas"/>
          <w:color w:val="19324D"/>
          <w:sz w:val="17"/>
        </w:rPr>
        <w:t>npx --yes skills@latest update --global --yes</w:t>
      </w:r>
    </w:p>
    <w:p>
      <w:r>
        <w:t>Update a project installation:</w:t>
      </w:r>
    </w:p>
    <w:p>
      <w:pPr>
        <w:pStyle w:val="CodeBlock"/>
        <w:shd w:fill="F2F4F7"/>
      </w:pPr>
      <w:r>
        <w:rPr>
          <w:rFonts w:ascii="Consolas" w:hAnsi="Consolas"/>
          <w:color w:val="19324D"/>
          <w:sz w:val="17"/>
        </w:rPr>
        <w:t>$env:DISABLE_TELEMETRY = "1"</w:t>
        <w:br/>
      </w:r>
      <w:r>
        <w:rPr>
          <w:rFonts w:ascii="Consolas" w:hAnsi="Consolas"/>
          <w:color w:val="19324D"/>
          <w:sz w:val="17"/>
        </w:rPr>
        <w:t>npx --yes skills@latest update --project --yes</w:t>
      </w:r>
    </w:p>
    <w:p>
      <w:r>
        <w:t>If the repository later adds a new skill, rerun the original add command with --skill '*' because update refreshes already tracked skills and may not add a newly introduced skill.</w:t>
      </w:r>
    </w:p>
    <w:p>
      <w:pPr>
        <w:pStyle w:val="Heading2"/>
      </w:pPr>
      <w:r>
        <w:t>Remove</w:t>
      </w:r>
    </w:p>
    <w:p>
      <w:r>
        <w:t>Remove the suite interactively:</w:t>
      </w:r>
    </w:p>
    <w:p>
      <w:pPr>
        <w:pStyle w:val="CodeBlock"/>
        <w:shd w:fill="F2F4F7"/>
      </w:pPr>
      <w:r>
        <w:rPr>
          <w:rFonts w:ascii="Consolas" w:hAnsi="Consolas"/>
          <w:color w:val="19324D"/>
          <w:sz w:val="17"/>
        </w:rPr>
        <w:t>npx --yes skills@latest remove --global</w:t>
      </w:r>
    </w:p>
    <w:p>
      <w:r>
        <w:t>Or name all six:</w:t>
      </w:r>
    </w:p>
    <w:p>
      <w:pPr>
        <w:pStyle w:val="CodeBlock"/>
        <w:shd w:fill="F2F4F7"/>
      </w:pPr>
      <w:r>
        <w:rPr>
          <w:rFonts w:ascii="Consolas" w:hAnsi="Consolas"/>
          <w:color w:val="19324D"/>
          <w:sz w:val="17"/>
        </w:rPr>
        <w:t>npx --yes skills@latest remove --global fde-run-engagement fde-interview-engagement fde-capture-knowledge fde-reengineer-process fde-plan-delivery fde-control-change</w:t>
      </w:r>
    </w:p>
    <w:p>
      <w:r>
        <w:t>Removal deletes installed skill packages. It should not delete a project's fde/ engagement workspace, but review the prompt and back up customer records according to your governance policy.</w:t>
      </w:r>
    </w:p>
    <w:p>
      <w:pPr>
        <w:pStyle w:val="Heading2"/>
      </w:pPr>
      <w:r>
        <w:t>Copy versus symlink</w:t>
      </w:r>
    </w:p>
    <w:p>
      <w:r>
        <w:t>The CLI can install through a canonical copy plus symlinks or through independent copies.</w:t>
      </w:r>
    </w:p>
    <w:p>
      <w:pPr>
        <w:pStyle w:val="ListBullet"/>
      </w:pPr>
      <w:r>
        <w:t>Use --copy for the most predictable Windows and enterprise installation.</w:t>
      </w:r>
    </w:p>
    <w:p>
      <w:pPr>
        <w:pStyle w:val="ListBullet"/>
      </w:pPr>
      <w:r>
        <w:t>Use interactive symlink mode when a single local source of truth is valuable and symlinks are supported.</w:t>
      </w:r>
    </w:p>
    <w:p>
      <w:pPr>
        <w:pStyle w:val="ListBullet"/>
      </w:pPr>
      <w:r>
        <w:t>Use project copy mode when the team wants installed files visible and reviewable inside the repository.</w:t>
      </w:r>
    </w:p>
    <w:p>
      <w:r>
        <w:t>Updates should still be performed through the skills CLI so the source lock and installed copies remain consistent.</w:t>
      </w:r>
    </w:p>
    <w:p>
      <w:pPr>
        <w:pStyle w:val="Heading2"/>
      </w:pPr>
      <w:r>
        <w:t>Telemetry</w:t>
      </w:r>
    </w:p>
    <w:p>
      <w:r>
        <w:t>The upstream CLI documents its telemetry behavior for public repositories. This guide sets DISABLE_TELEMETRY=1 as a conservative default; omit it if your organization permits the CLI's documented telemetry.</w:t>
      </w:r>
    </w:p>
    <w:p>
      <w:r>
        <w:t>Official sources:</w:t>
      </w:r>
    </w:p>
    <w:p>
      <w:pPr>
        <w:pStyle w:val="ListBullet"/>
      </w:pPr>
      <w:r>
        <w:t>https://www.skills.sh/docs/cli</w:t>
      </w:r>
    </w:p>
    <w:p>
      <w:pPr>
        <w:pStyle w:val="ListBullet"/>
      </w:pPr>
      <w:r>
        <w:t>https://github.com/vercel-labs/skills</w:t>
      </w:r>
    </w:p>
    <w:p>
      <w:pPr>
        <w:pStyle w:val="Heading2"/>
      </w:pPr>
      <w:r>
        <w:t>Troubleshooting</w:t>
      </w:r>
    </w:p>
    <w:p>
      <w:pPr>
        <w:pStyle w:val="Heading3"/>
      </w:pPr>
      <w:r>
        <w:t>Repository cannot be found</w:t>
      </w:r>
    </w:p>
    <w:p>
      <w:r>
        <w:t>Check public access independently:</w:t>
      </w:r>
    </w:p>
    <w:p>
      <w:pPr>
        <w:pStyle w:val="CodeBlock"/>
        <w:shd w:fill="F2F4F7"/>
      </w:pPr>
      <w:r>
        <w:rPr>
          <w:rFonts w:ascii="Consolas" w:hAnsi="Consolas"/>
          <w:color w:val="19324D"/>
          <w:sz w:val="17"/>
        </w:rPr>
        <w:t>git ls-remote https://github.com/1aifanatic/fde-agent-skills.git</w:t>
      </w:r>
    </w:p>
    <w:p>
      <w:r>
        <w:t>If HTTPS fails but SSH is configured, use the SSH installation command.</w:t>
      </w:r>
    </w:p>
    <w:p>
      <w:pPr>
        <w:pStyle w:val="Heading3"/>
      </w:pPr>
      <w:r>
        <w:t>No agent detected</w:t>
      </w:r>
    </w:p>
    <w:p>
      <w:r>
        <w:t>Specify Codex explicitly:</w:t>
      </w:r>
    </w:p>
    <w:p>
      <w:pPr>
        <w:pStyle w:val="CodeBlock"/>
        <w:shd w:fill="F2F4F7"/>
      </w:pPr>
      <w:r>
        <w:rPr>
          <w:rFonts w:ascii="Consolas" w:hAnsi="Consolas"/>
          <w:color w:val="19324D"/>
          <w:sz w:val="17"/>
        </w:rPr>
        <w:t>npx --yes skills@latest add https://github.com/1aifanatic/fde-agent-skills.git --skill '*' --agent codex --copy --yes</w:t>
      </w:r>
    </w:p>
    <w:p>
      <w:pPr>
        <w:pStyle w:val="Heading3"/>
      </w:pPr>
      <w:r>
        <w:t>Skills installed but not visible</w:t>
      </w:r>
    </w:p>
    <w:p>
      <w:pPr>
        <w:pStyle w:val="ListNumber"/>
      </w:pPr>
      <w:r>
        <w:t>Confirm the destination contains all six directories.</w:t>
      </w:r>
    </w:p>
    <w:p>
      <w:pPr>
        <w:pStyle w:val="ListNumber"/>
      </w:pPr>
      <w:r>
        <w:t>Confirm every directory contains SKILL.md.</w:t>
      </w:r>
    </w:p>
    <w:p>
      <w:pPr>
        <w:pStyle w:val="ListNumber"/>
      </w:pPr>
      <w:r>
        <w:t>Restart or reload Codex.</w:t>
      </w:r>
    </w:p>
    <w:p>
      <w:pPr>
        <w:pStyle w:val="ListNumber"/>
      </w:pPr>
      <w:r>
        <w:t>Start a new turn and explicitly invoke $fde-run-engagement.</w:t>
      </w:r>
    </w:p>
    <w:p>
      <w:pPr>
        <w:pStyle w:val="ListNumber"/>
      </w:pPr>
      <w:r>
        <w:t>Check for another older skill directory with the same name.</w:t>
      </w:r>
    </w:p>
    <w:p>
      <w:pPr>
        <w:pStyle w:val="Heading3"/>
      </w:pPr>
      <w:r>
        <w:t>Scripts or references are missing</w:t>
      </w:r>
    </w:p>
    <w:p>
      <w:r>
        <w:t>Install from the repository root and use the current skills CLI. The verified package contains the orchestrator's scripts and references as well as all SKILL.md files.</w:t>
      </w:r>
    </w:p>
    <w:p>
      <w:pPr>
        <w:pStyle w:val="Heading3"/>
      </w:pPr>
      <w:r>
        <w:t>Global install permission issue</w:t>
      </w:r>
    </w:p>
    <w:p>
      <w:r>
        <w:t>Use project scope by omitting --global, or fix ownership of the user-level Codex skill directory. Do not run the installer as an administrator merely to bypass a path problem without understanding the effect.</w:t>
      </w:r>
    </w:p>
    <w:p>
      <w:pPr>
        <w:pStyle w:val="Heading3"/>
      </w:pPr>
      <w:r>
        <w:t>Symlink creation fails on Windows</w:t>
      </w:r>
    </w:p>
    <w:p>
      <w:r>
        <w:t>Add --copy, as shown in the recommended command.</w:t>
      </w:r>
    </w:p>
    <w:p>
      <w:pPr>
        <w:pStyle w:val="Heading3"/>
      </w:pPr>
      <w:r>
        <w:t>Existing skill blocks installation</w:t>
      </w:r>
    </w:p>
    <w:p>
      <w:r>
        <w:t>Review whether the existing directory contains user changes. Back it up, remove it intentionally through the CLI, and reinstall. Do not overwrite unknown local work silently.</w:t>
      </w:r>
    </w:p>
    <w:p>
      <w:pPr>
        <w:pStyle w:val="Heading3"/>
      </w:pPr>
      <w:r>
        <w:t>CI troubleshooting</w:t>
      </w:r>
    </w:p>
    <w:p>
      <w:r>
        <w:t>Use project scope, --copy, --yes, and disabled telemetry. Review the installed skill source during the build. Add GitHub credentials only when required by organizational network or rate-limit policy, and never persist them in artifacts or logs.</w:t>
      </w:r>
    </w:p>
    <w:p>
      <w:pPr>
        <w:pStyle w:val="Heading2"/>
      </w:pPr>
      <w:r>
        <w:t>Manual fallback</w:t>
      </w:r>
    </w:p>
    <w:p>
      <w:r>
        <w:t>If npx is unavailable, clone the repository with existing Git credentials and copy the six directories under skills/ into ~/.codex/skills/. Keep the six siblings together because specialist skills reference the orchestrator's shared resources through relative paths.</w:t>
      </w:r>
    </w:p>
    <w:p>
      <w:r>
        <w:t>The npx path is preferred because it handles discovery, agent-specific destinations, installation scope, and updates consistently.</w:t>
      </w:r>
    </w:p>
    <w:p>
      <w:r>
        <w:br w:type="page"/>
      </w:r>
    </w:p>
    <w:p>
      <w:pPr>
        <w:pStyle w:val="Heading1"/>
      </w:pPr>
      <w:r>
        <w:t>Part II — Operating model and usage</w:t>
      </w:r>
    </w:p>
    <w:p>
      <w:pPr>
        <w:spacing w:after="200"/>
      </w:pPr>
      <w:r>
        <w:rPr>
          <w:rFonts w:ascii="Calibri" w:hAnsi="Calibri"/>
          <w:b/>
          <w:color w:val="667085"/>
          <w:sz w:val="17"/>
        </w:rPr>
        <w:t xml:space="preserve">Maintained source: </w:t>
      </w:r>
      <w:r>
        <w:rPr>
          <w:rFonts w:ascii="Calibri" w:hAnsi="Calibri"/>
          <w:color w:val="667085"/>
          <w:sz w:val="17"/>
        </w:rPr>
        <w:t>docs/USER_GUIDE.md</w:t>
      </w:r>
    </w:p>
    <w:p>
      <w:pPr>
        <w:pStyle w:val="Heading2"/>
      </w:pPr>
      <w:r>
        <w:t>Purpose</w:t>
      </w:r>
    </w:p>
    <w:p>
      <w:r>
        <w:t>The FDE Agent Skills suite gives a forward deployed engineer a repeatable engagement method inside an AI coding agent. It focuses the agent on the work that usually determines whether an enterprise AI project succeeds: understanding the business, recovering operational truth, redesigning the process, tracing decisions into delivery, and controlling change.</w:t>
      </w:r>
    </w:p>
    <w:p>
      <w:r>
        <w:t>The suite is an engagement and delivery-control layer. It is not a replacement for domain owners, implementation tools, product-specific skills, security review, UAT, or release authority.</w:t>
      </w:r>
    </w:p>
    <w:p>
      <w:pPr>
        <w:pStyle w:val="Heading2"/>
      </w:pPr>
      <w:r>
        <w:t>Why use this suite</w:t>
      </w:r>
    </w:p>
    <w:p>
      <w:pPr>
        <w:pStyle w:val="Heading3"/>
      </w:pPr>
      <w:r>
        <w:t>The real bottleneck is context and process design</w:t>
      </w:r>
    </w:p>
    <w:p>
      <w:r>
        <w:t>Modern agents can execute many bounded tasks. Enterprise work remains difficult because:</w:t>
      </w:r>
    </w:p>
    <w:p>
      <w:pPr>
        <w:pStyle w:val="ListBullet"/>
      </w:pPr>
      <w:r>
        <w:t>every customer has different policies, terminology, ownership, data, systems, and exceptions;</w:t>
      </w:r>
    </w:p>
    <w:p>
      <w:pPr>
        <w:pStyle w:val="ListBullet"/>
      </w:pPr>
      <w:r>
        <w:t>official documentation usually describes the intended happy path;</w:t>
      </w:r>
    </w:p>
    <w:p>
      <w:pPr>
        <w:pStyle w:val="ListBullet"/>
      </w:pPr>
      <w:r>
        <w:t>actual work contains queues, informal experts, retries, escalation, reconciliation, and control interpretation;</w:t>
      </w:r>
    </w:p>
    <w:p>
      <w:pPr>
        <w:pStyle w:val="ListBullet"/>
      </w:pPr>
      <w:r>
        <w:t>stakeholders describe the same process differently;</w:t>
      </w:r>
    </w:p>
    <w:p>
      <w:pPr>
        <w:pStyle w:val="ListBullet"/>
      </w:pPr>
      <w:r>
        <w:t>automating a bad process can make the bad process faster and harder to govern;</w:t>
      </w:r>
    </w:p>
    <w:p>
      <w:pPr>
        <w:pStyle w:val="ListBullet"/>
      </w:pPr>
      <w:r>
        <w:t>delivery teams need exact evidence, decisions, requirements, tests, approvals, and rollback—not just a summary.</w:t>
      </w:r>
    </w:p>
    <w:p>
      <w:r>
        <w:t>The suite turns these uncertainties into explicit, owned artifacts.</w:t>
      </w:r>
    </w:p>
    <w:p>
      <w:pPr>
        <w:pStyle w:val="Heading3"/>
      </w:pPr>
      <w:r>
        <w:t>The cost of unstructured FDE work</w:t>
      </w:r>
    </w:p>
    <w:p>
      <w:r>
        <w:t>Without a durable operating model, an FDE spends time re-reading documents, reconstructing meeting context, translating between stakeholders, finding the latest decision, repairing ambiguous requirements, and defending against accidental scope or production changes. Knowledge quality declines as the engagement grows.</w:t>
      </w:r>
    </w:p>
    <w:p>
      <w:r>
        <w:t>The suite reduces that coordination load by giving every type of knowledge a stable home and every stage a completion gate.</w:t>
      </w:r>
    </w:p>
    <w:p>
      <w:pPr>
        <w:pStyle w:val="Heading3"/>
      </w:pPr>
      <w:r>
        <w:t>What the suite improves</w:t>
      </w:r>
    </w:p>
    <w:p>
      <w:pPr>
        <w:pStyle w:val="ListBullet"/>
      </w:pPr>
      <w:r>
        <w:rPr>
          <w:b/>
        </w:rPr>
        <w:t>Resumability:</w:t>
      </w:r>
      <w:r>
        <w:t xml:space="preserve"> another FDE or agent can continue from the repository.</w:t>
      </w:r>
    </w:p>
    <w:p>
      <w:pPr>
        <w:pStyle w:val="ListBullet"/>
      </w:pPr>
      <w:r>
        <w:rPr>
          <w:b/>
        </w:rPr>
        <w:t>Evidence quality:</w:t>
      </w:r>
      <w:r>
        <w:t xml:space="preserve"> material claims have source and status.</w:t>
      </w:r>
    </w:p>
    <w:p>
      <w:pPr>
        <w:pStyle w:val="ListBullet"/>
      </w:pPr>
      <w:r>
        <w:rPr>
          <w:b/>
        </w:rPr>
        <w:t>Interview quality:</w:t>
      </w:r>
      <w:r>
        <w:t xml:space="preserve"> questions close named gaps and unlock decisions.</w:t>
      </w:r>
    </w:p>
    <w:p>
      <w:pPr>
        <w:pStyle w:val="ListBullet"/>
      </w:pPr>
      <w:r>
        <w:rPr>
          <w:b/>
        </w:rPr>
        <w:t>Design quality:</w:t>
      </w:r>
      <w:r>
        <w:t xml:space="preserve"> exceptions and controls shape the future state.</w:t>
      </w:r>
    </w:p>
    <w:p>
      <w:pPr>
        <w:pStyle w:val="ListBullet"/>
      </w:pPr>
      <w:r>
        <w:rPr>
          <w:b/>
        </w:rPr>
        <w:t>Automation judgment:</w:t>
      </w:r>
      <w:r>
        <w:t xml:space="preserve"> AI is one mechanism among several, not the default.</w:t>
      </w:r>
    </w:p>
    <w:p>
      <w:pPr>
        <w:pStyle w:val="ListBullet"/>
      </w:pPr>
      <w:r>
        <w:rPr>
          <w:b/>
        </w:rPr>
        <w:t>Delivery quality:</w:t>
      </w:r>
      <w:r>
        <w:t xml:space="preserve"> requirements trace into components, tests, evidence, and release.</w:t>
      </w:r>
    </w:p>
    <w:p>
      <w:pPr>
        <w:pStyle w:val="ListBullet"/>
      </w:pPr>
      <w:r>
        <w:rPr>
          <w:b/>
        </w:rPr>
        <w:t>Change safety:</w:t>
      </w:r>
      <w:r>
        <w:t xml:space="preserve"> requests are attributable, authorized, reversible, and testable.</w:t>
      </w:r>
    </w:p>
    <w:p>
      <w:pPr>
        <w:pStyle w:val="ListBullet"/>
      </w:pPr>
      <w:r>
        <w:rPr>
          <w:b/>
        </w:rPr>
        <w:t>Honesty:</w:t>
      </w:r>
      <w:r>
        <w:t xml:space="preserve"> planned, approved, implemented, released, and measured are distinct states.</w:t>
      </w:r>
    </w:p>
    <w:p>
      <w:pPr>
        <w:pStyle w:val="Heading2"/>
      </w:pPr>
      <w:r>
        <w:t>Operating principles</w:t>
      </w:r>
    </w:p>
    <w:p>
      <w:pPr>
        <w:pStyle w:val="ListNumber"/>
      </w:pPr>
      <w:r>
        <w:rPr>
          <w:b/>
        </w:rPr>
        <w:t>Evidence before confidence.</w:t>
      </w:r>
      <w:r>
        <w:t xml:space="preserve"> Summaries help navigation; source-linked claims support decisions.</w:t>
      </w:r>
    </w:p>
    <w:p>
      <w:pPr>
        <w:pStyle w:val="ListNumber"/>
      </w:pPr>
      <w:r>
        <w:rPr>
          <w:b/>
        </w:rPr>
        <w:t>Exceptions reveal the process.</w:t>
      </w:r>
      <w:r>
        <w:t xml:space="preserve"> Map failure paths, manual workarounds, and actual escalation.</w:t>
      </w:r>
    </w:p>
    <w:p>
      <w:pPr>
        <w:pStyle w:val="ListNumber"/>
      </w:pPr>
      <w:r>
        <w:rPr>
          <w:b/>
        </w:rPr>
        <w:t>Simplify before automating.</w:t>
      </w:r>
      <w:r>
        <w:t xml:space="preserve"> Eliminate unnecessary work and settle policy/data ambiguity first.</w:t>
      </w:r>
    </w:p>
    <w:p>
      <w:pPr>
        <w:pStyle w:val="ListNumber"/>
      </w:pPr>
      <w:r>
        <w:rPr>
          <w:b/>
        </w:rPr>
        <w:t>Use the least risky effective mechanism.</w:t>
      </w:r>
      <w:r>
        <w:t xml:space="preserve"> Prefer deterministic rules when behavior is deterministic.</w:t>
      </w:r>
    </w:p>
    <w:p>
      <w:pPr>
        <w:pStyle w:val="ListNumber"/>
      </w:pPr>
      <w:r>
        <w:rPr>
          <w:b/>
        </w:rPr>
        <w:t>Keep authority human.</w:t>
      </w:r>
      <w:r>
        <w:t xml:space="preserve"> The agent proposes; named owners approve consequential decisions and actions.</w:t>
      </w:r>
    </w:p>
    <w:p>
      <w:pPr>
        <w:pStyle w:val="ListNumber"/>
      </w:pPr>
      <w:r>
        <w:rPr>
          <w:b/>
        </w:rPr>
        <w:t>Make state durable.</w:t>
      </w:r>
      <w:r>
        <w:t xml:space="preserve"> No important status, decision, risk, or next action should exist only in chat.</w:t>
      </w:r>
    </w:p>
    <w:p>
      <w:pPr>
        <w:pStyle w:val="ListNumber"/>
      </w:pPr>
      <w:r>
        <w:rPr>
          <w:b/>
        </w:rPr>
        <w:t>Preserve disagreement.</w:t>
      </w:r>
      <w:r>
        <w:t xml:space="preserve"> Contradictory evidence stays visible until a qualified resolver decides.</w:t>
      </w:r>
    </w:p>
    <w:p>
      <w:pPr>
        <w:pStyle w:val="ListNumber"/>
      </w:pPr>
      <w:r>
        <w:rPr>
          <w:b/>
        </w:rPr>
        <w:t>Measure outcomes after release.</w:t>
      </w:r>
      <w:r>
        <w:t xml:space="preserve"> A target or forecast is not observed ROI.</w:t>
      </w:r>
    </w:p>
    <w:p>
      <w:pPr>
        <w:pStyle w:val="Heading2"/>
      </w:pPr>
      <w:r>
        <w:t>Skill router</w:t>
      </w:r>
    </w:p>
    <w:tbl>
      <w:tblPr>
        <w:tblStyle w:val="TableGrid"/>
        <w:tblW w:type="dxa" w:w="9360"/>
        <w:jc w:val="left"/>
        <w:tblLayout w:type="fixed"/>
        <w:tblLook w:firstColumn="1" w:firstRow="1" w:lastColumn="0" w:lastRow="0" w:noHBand="0" w:noVBand="1" w:val="04A0"/>
        <w:tblInd w:w="120" w:type="dxa"/>
      </w:tblPr>
      <w:tblGrid>
        <w:gridCol w:w="3680"/>
        <w:gridCol w:w="2000"/>
        <w:gridCol w:w="3680"/>
      </w:tblGrid>
      <w:tr>
        <w:trPr>
          <w:trHeight w:hRule="auto"/>
          <w:tblHeader w:val="true"/>
          <w:tblHeader w:val="true"/>
          <w:tblHeader w:val="true"/>
        </w:trPr>
        <w:tc>
          <w:tcPr>
            <w:tcW w:type="dxa" w:w="3680"/>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Current need</w:t>
            </w:r>
          </w:p>
        </w:tc>
        <w:tc>
          <w:tcPr>
            <w:tcW w:type="dxa" w:w="2000"/>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Invoke</w:t>
            </w:r>
          </w:p>
        </w:tc>
        <w:tc>
          <w:tcPr>
            <w:tcW w:type="dxa" w:w="3680"/>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Completion condition</w:t>
            </w:r>
          </w:p>
        </w:tc>
      </w:tr>
      <w:tr>
        <w:trPr>
          <w:trHeight w:hRule="auto"/>
        </w:trPr>
        <w:tc>
          <w:tcPr>
            <w:tcW w:type="dxa" w:w="3680"/>
            <w:tcMar>
              <w:top w:w="80" w:type="dxa"/>
              <w:start w:w="120" w:type="dxa"/>
              <w:bottom w:w="80" w:type="dxa"/>
              <w:end w:w="120" w:type="dxa"/>
            </w:tcMar>
            <w:vAlign w:val="center"/>
          </w:tcPr>
          <w:p>
            <w:pPr>
              <w:spacing w:before="0" w:after="40" w:line="252" w:lineRule="auto"/>
            </w:pPr>
            <w:r>
              <w:rPr>
                <w:rFonts w:ascii="Calibri" w:hAnsi="Calibri"/>
                <w:sz w:val="17"/>
              </w:rPr>
              <w:t>New engagement, status, lifecycle, handoff, or next action</w:t>
            </w:r>
          </w:p>
        </w:tc>
        <w:tc>
          <w:tcPr>
            <w:tcW w:type="dxa" w:w="2000"/>
            <w:tcMar>
              <w:top w:w="80" w:type="dxa"/>
              <w:start w:w="120" w:type="dxa"/>
              <w:bottom w:w="80" w:type="dxa"/>
              <w:end w:w="120" w:type="dxa"/>
            </w:tcMar>
            <w:vAlign w:val="center"/>
          </w:tcPr>
          <w:p>
            <w:pPr>
              <w:spacing w:before="0" w:after="40" w:line="252" w:lineRule="auto"/>
            </w:pPr>
            <w:r>
              <w:rPr>
                <w:rFonts w:ascii="Calibri" w:hAnsi="Calibri"/>
                <w:sz w:val="17"/>
              </w:rPr>
              <w:t>$fde-run-engagement</w:t>
            </w:r>
          </w:p>
        </w:tc>
        <w:tc>
          <w:tcPr>
            <w:tcW w:type="dxa" w:w="3680"/>
            <w:tcMar>
              <w:top w:w="80" w:type="dxa"/>
              <w:start w:w="120" w:type="dxa"/>
              <w:bottom w:w="80" w:type="dxa"/>
              <w:end w:w="120" w:type="dxa"/>
            </w:tcMar>
            <w:vAlign w:val="center"/>
          </w:tcPr>
          <w:p>
            <w:pPr>
              <w:spacing w:before="0" w:after="40" w:line="252" w:lineRule="auto"/>
            </w:pPr>
            <w:r>
              <w:rPr>
                <w:rFonts w:ascii="Calibri" w:hAnsi="Calibri"/>
                <w:sz w:val="17"/>
              </w:rPr>
              <w:t>Stable stage, owners, evidence health, blockers, and durable next action</w:t>
            </w:r>
          </w:p>
        </w:tc>
      </w:tr>
      <w:tr>
        <w:trPr>
          <w:trHeight w:hRule="auto"/>
        </w:trPr>
        <w:tc>
          <w:tcPr>
            <w:tcW w:type="dxa" w:w="3680"/>
            <w:tcMar>
              <w:top w:w="80" w:type="dxa"/>
              <w:start w:w="120" w:type="dxa"/>
              <w:bottom w:w="80" w:type="dxa"/>
              <w:end w:w="120" w:type="dxa"/>
            </w:tcMar>
            <w:vAlign w:val="center"/>
          </w:tcPr>
          <w:p>
            <w:pPr>
              <w:spacing w:before="0" w:after="40" w:line="252" w:lineRule="auto"/>
            </w:pPr>
            <w:r>
              <w:rPr>
                <w:rFonts w:ascii="Calibri" w:hAnsi="Calibri"/>
                <w:sz w:val="17"/>
              </w:rPr>
              <w:t>Missing business/process/technical/control/support knowledge</w:t>
            </w:r>
          </w:p>
        </w:tc>
        <w:tc>
          <w:tcPr>
            <w:tcW w:type="dxa" w:w="2000"/>
            <w:tcMar>
              <w:top w:w="80" w:type="dxa"/>
              <w:start w:w="120" w:type="dxa"/>
              <w:bottom w:w="80" w:type="dxa"/>
              <w:end w:w="120" w:type="dxa"/>
            </w:tcMar>
            <w:vAlign w:val="center"/>
          </w:tcPr>
          <w:p>
            <w:pPr>
              <w:spacing w:before="0" w:after="40" w:line="252" w:lineRule="auto"/>
            </w:pPr>
            <w:r>
              <w:rPr>
                <w:rFonts w:ascii="Calibri" w:hAnsi="Calibri"/>
                <w:sz w:val="17"/>
              </w:rPr>
              <w:t>$fde-interview-engagement</w:t>
            </w:r>
          </w:p>
        </w:tc>
        <w:tc>
          <w:tcPr>
            <w:tcW w:type="dxa" w:w="3680"/>
            <w:tcMar>
              <w:top w:w="80" w:type="dxa"/>
              <w:start w:w="120" w:type="dxa"/>
              <w:bottom w:w="80" w:type="dxa"/>
              <w:end w:w="120" w:type="dxa"/>
            </w:tcMar>
            <w:vAlign w:val="center"/>
          </w:tcPr>
          <w:p>
            <w:pPr>
              <w:spacing w:before="0" w:after="40" w:line="252" w:lineRule="auto"/>
            </w:pPr>
            <w:r>
              <w:rPr>
                <w:rFonts w:ascii="Calibri" w:hAnsi="Calibri"/>
                <w:sz w:val="17"/>
              </w:rPr>
              <w:t>Every gate-critical gap is answered, evidenced, contradicted with owner, or scheduled</w:t>
            </w:r>
          </w:p>
        </w:tc>
      </w:tr>
      <w:tr>
        <w:trPr>
          <w:trHeight w:hRule="auto"/>
        </w:trPr>
        <w:tc>
          <w:tcPr>
            <w:tcW w:type="dxa" w:w="3680"/>
            <w:tcMar>
              <w:top w:w="80" w:type="dxa"/>
              <w:start w:w="120" w:type="dxa"/>
              <w:bottom w:w="80" w:type="dxa"/>
              <w:end w:w="120" w:type="dxa"/>
            </w:tcMar>
            <w:vAlign w:val="center"/>
          </w:tcPr>
          <w:p>
            <w:pPr>
              <w:spacing w:before="0" w:after="40" w:line="252" w:lineRule="auto"/>
            </w:pPr>
            <w:r>
              <w:rPr>
                <w:rFonts w:ascii="Calibri" w:hAnsi="Calibri"/>
                <w:sz w:val="17"/>
              </w:rPr>
              <w:t>New documents, notes, transcripts, diagrams, or conflicting claims</w:t>
            </w:r>
          </w:p>
        </w:tc>
        <w:tc>
          <w:tcPr>
            <w:tcW w:type="dxa" w:w="2000"/>
            <w:tcMar>
              <w:top w:w="80" w:type="dxa"/>
              <w:start w:w="120" w:type="dxa"/>
              <w:bottom w:w="80" w:type="dxa"/>
              <w:end w:w="120" w:type="dxa"/>
            </w:tcMar>
            <w:vAlign w:val="center"/>
          </w:tcPr>
          <w:p>
            <w:pPr>
              <w:spacing w:before="0" w:after="40" w:line="252" w:lineRule="auto"/>
            </w:pPr>
            <w:r>
              <w:rPr>
                <w:rFonts w:ascii="Calibri" w:hAnsi="Calibri"/>
                <w:sz w:val="17"/>
              </w:rPr>
              <w:t>$fde-capture-knowledge</w:t>
            </w:r>
          </w:p>
        </w:tc>
        <w:tc>
          <w:tcPr>
            <w:tcW w:type="dxa" w:w="3680"/>
            <w:tcMar>
              <w:top w:w="80" w:type="dxa"/>
              <w:start w:w="120" w:type="dxa"/>
              <w:bottom w:w="80" w:type="dxa"/>
              <w:end w:w="120" w:type="dxa"/>
            </w:tcMar>
            <w:vAlign w:val="center"/>
          </w:tcPr>
          <w:p>
            <w:pPr>
              <w:spacing w:before="0" w:after="40" w:line="252" w:lineRule="auto"/>
            </w:pPr>
            <w:r>
              <w:rPr>
                <w:rFonts w:ascii="Calibri" w:hAnsi="Calibri"/>
                <w:sz w:val="17"/>
              </w:rPr>
              <w:t>Every material downstream assertion has a source/status or visible gap</w:t>
            </w:r>
          </w:p>
        </w:tc>
      </w:tr>
      <w:tr>
        <w:trPr>
          <w:trHeight w:hRule="auto"/>
        </w:trPr>
        <w:tc>
          <w:tcPr>
            <w:tcW w:type="dxa" w:w="3680"/>
            <w:tcMar>
              <w:top w:w="80" w:type="dxa"/>
              <w:start w:w="120" w:type="dxa"/>
              <w:bottom w:w="80" w:type="dxa"/>
              <w:end w:w="120" w:type="dxa"/>
            </w:tcMar>
            <w:vAlign w:val="center"/>
          </w:tcPr>
          <w:p>
            <w:pPr>
              <w:spacing w:before="0" w:after="40" w:line="252" w:lineRule="auto"/>
            </w:pPr>
            <w:r>
              <w:rPr>
                <w:rFonts w:ascii="Calibri" w:hAnsi="Calibri"/>
                <w:sz w:val="17"/>
              </w:rPr>
              <w:t>Current-state map, exceptions, automation allocation, future-state design</w:t>
            </w:r>
          </w:p>
        </w:tc>
        <w:tc>
          <w:tcPr>
            <w:tcW w:type="dxa" w:w="2000"/>
            <w:tcMar>
              <w:top w:w="80" w:type="dxa"/>
              <w:start w:w="120" w:type="dxa"/>
              <w:bottom w:w="80" w:type="dxa"/>
              <w:end w:w="120" w:type="dxa"/>
            </w:tcMar>
            <w:vAlign w:val="center"/>
          </w:tcPr>
          <w:p>
            <w:pPr>
              <w:spacing w:before="0" w:after="40" w:line="252" w:lineRule="auto"/>
            </w:pPr>
            <w:r>
              <w:rPr>
                <w:rFonts w:ascii="Calibri" w:hAnsi="Calibri"/>
                <w:sz w:val="17"/>
              </w:rPr>
              <w:t>$fde-reengineer-process</w:t>
            </w:r>
          </w:p>
        </w:tc>
        <w:tc>
          <w:tcPr>
            <w:tcW w:type="dxa" w:w="3680"/>
            <w:tcMar>
              <w:top w:w="80" w:type="dxa"/>
              <w:start w:w="120" w:type="dxa"/>
              <w:bottom w:w="80" w:type="dxa"/>
              <w:end w:w="120" w:type="dxa"/>
            </w:tcMar>
            <w:vAlign w:val="center"/>
          </w:tcPr>
          <w:p>
            <w:pPr>
              <w:spacing w:before="0" w:after="40" w:line="252" w:lineRule="auto"/>
            </w:pPr>
            <w:r>
              <w:rPr>
                <w:rFonts w:ascii="Calibri" w:hAnsi="Calibri"/>
                <w:sz w:val="17"/>
              </w:rPr>
              <w:t>Every step, exception, control, and ownership change has a disposition</w:t>
            </w:r>
          </w:p>
        </w:tc>
      </w:tr>
      <w:tr>
        <w:trPr>
          <w:trHeight w:hRule="auto"/>
        </w:trPr>
        <w:tc>
          <w:tcPr>
            <w:tcW w:type="dxa" w:w="3680"/>
            <w:tcMar>
              <w:top w:w="80" w:type="dxa"/>
              <w:start w:w="120" w:type="dxa"/>
              <w:bottom w:w="80" w:type="dxa"/>
              <w:end w:w="120" w:type="dxa"/>
            </w:tcMar>
            <w:vAlign w:val="center"/>
          </w:tcPr>
          <w:p>
            <w:pPr>
              <w:spacing w:before="0" w:after="40" w:line="252" w:lineRule="auto"/>
            </w:pPr>
            <w:r>
              <w:rPr>
                <w:rFonts w:ascii="Calibri" w:hAnsi="Calibri"/>
                <w:sz w:val="17"/>
              </w:rPr>
              <w:t>Requirements, architecture responsibilities, backlog, tests, release plan</w:t>
            </w:r>
          </w:p>
        </w:tc>
        <w:tc>
          <w:tcPr>
            <w:tcW w:type="dxa" w:w="2000"/>
            <w:tcMar>
              <w:top w:w="80" w:type="dxa"/>
              <w:start w:w="120" w:type="dxa"/>
              <w:bottom w:w="80" w:type="dxa"/>
              <w:end w:w="120" w:type="dxa"/>
            </w:tcMar>
            <w:vAlign w:val="center"/>
          </w:tcPr>
          <w:p>
            <w:pPr>
              <w:spacing w:before="0" w:after="40" w:line="252" w:lineRule="auto"/>
            </w:pPr>
            <w:r>
              <w:rPr>
                <w:rFonts w:ascii="Calibri" w:hAnsi="Calibri"/>
                <w:sz w:val="17"/>
              </w:rPr>
              <w:t>$fde-plan-delivery</w:t>
            </w:r>
          </w:p>
        </w:tc>
        <w:tc>
          <w:tcPr>
            <w:tcW w:type="dxa" w:w="3680"/>
            <w:tcMar>
              <w:top w:w="80" w:type="dxa"/>
              <w:start w:w="120" w:type="dxa"/>
              <w:bottom w:w="80" w:type="dxa"/>
              <w:end w:w="120" w:type="dxa"/>
            </w:tcMar>
            <w:vAlign w:val="center"/>
          </w:tcPr>
          <w:p>
            <w:pPr>
              <w:spacing w:before="0" w:after="40" w:line="252" w:lineRule="auto"/>
            </w:pPr>
            <w:r>
              <w:rPr>
                <w:rFonts w:ascii="Calibri" w:hAnsi="Calibri"/>
                <w:sz w:val="17"/>
              </w:rPr>
              <w:t>Every critical requirement connects to planned implementation and verification</w:t>
            </w:r>
          </w:p>
        </w:tc>
      </w:tr>
      <w:tr>
        <w:trPr>
          <w:trHeight w:hRule="auto"/>
        </w:trPr>
        <w:tc>
          <w:tcPr>
            <w:tcW w:type="dxa" w:w="3680"/>
            <w:tcMar>
              <w:top w:w="80" w:type="dxa"/>
              <w:start w:w="120" w:type="dxa"/>
              <w:bottom w:w="80" w:type="dxa"/>
              <w:end w:w="120" w:type="dxa"/>
            </w:tcMar>
            <w:vAlign w:val="center"/>
          </w:tcPr>
          <w:p>
            <w:pPr>
              <w:spacing w:before="0" w:after="40" w:line="252" w:lineRule="auto"/>
            </w:pPr>
            <w:r>
              <w:rPr>
                <w:rFonts w:ascii="Calibri" w:hAnsi="Calibri"/>
                <w:sz w:val="17"/>
              </w:rPr>
              <w:t>Enhancement, defect, email request, routing/config change, production fix</w:t>
            </w:r>
          </w:p>
        </w:tc>
        <w:tc>
          <w:tcPr>
            <w:tcW w:type="dxa" w:w="2000"/>
            <w:tcMar>
              <w:top w:w="80" w:type="dxa"/>
              <w:start w:w="120" w:type="dxa"/>
              <w:bottom w:w="80" w:type="dxa"/>
              <w:end w:w="120" w:type="dxa"/>
            </w:tcMar>
            <w:vAlign w:val="center"/>
          </w:tcPr>
          <w:p>
            <w:pPr>
              <w:spacing w:before="0" w:after="40" w:line="252" w:lineRule="auto"/>
            </w:pPr>
            <w:r>
              <w:rPr>
                <w:rFonts w:ascii="Calibri" w:hAnsi="Calibri"/>
                <w:sz w:val="17"/>
              </w:rPr>
              <w:t>$fde-control-change</w:t>
            </w:r>
          </w:p>
        </w:tc>
        <w:tc>
          <w:tcPr>
            <w:tcW w:type="dxa" w:w="3680"/>
            <w:tcMar>
              <w:top w:w="80" w:type="dxa"/>
              <w:start w:w="120" w:type="dxa"/>
              <w:bottom w:w="80" w:type="dxa"/>
              <w:end w:w="120" w:type="dxa"/>
            </w:tcMar>
            <w:vAlign w:val="center"/>
          </w:tcPr>
          <w:p>
            <w:pPr>
              <w:spacing w:before="0" w:after="40" w:line="252" w:lineRule="auto"/>
            </w:pPr>
            <w:r>
              <w:rPr>
                <w:rFonts w:ascii="Calibri" w:hAnsi="Calibri"/>
                <w:sz w:val="17"/>
              </w:rPr>
              <w:t>Request, authority, impact, approval, evidence, monitoring, and rollback agree</w:t>
            </w:r>
          </w:p>
        </w:tc>
      </w:tr>
    </w:tbl>
    <w:p>
      <w:pPr>
        <w:spacing w:after="40"/>
      </w:pPr>
    </w:p>
    <w:p>
      <w:r>
        <w:t>Start with $fde-run-engagement when unsure. It is the router and lifecycle owner.</w:t>
      </w:r>
    </w:p>
    <w:p>
      <w:pPr>
        <w:pStyle w:val="Heading2"/>
      </w:pPr>
      <w:r>
        <w:t>Engagement lifecycle</w:t>
      </w:r>
    </w:p>
    <w:p>
      <w:pPr>
        <w:pStyle w:val="Heading3"/>
      </w:pPr>
      <w:r>
        <w:t>Stage 1: Frame</w:t>
      </w:r>
    </w:p>
    <w:p>
      <w:r>
        <w:t>Goal: define why the engagement exists and who can decide.</w:t>
      </w:r>
    </w:p>
    <w:p>
      <w:r>
        <w:t>Capture:</w:t>
      </w:r>
    </w:p>
    <w:p>
      <w:pPr>
        <w:pStyle w:val="ListBullet"/>
      </w:pPr>
      <w:r>
        <w:t>business problem and desired outcome;</w:t>
      </w:r>
    </w:p>
    <w:p>
      <w:pPr>
        <w:pStyle w:val="ListBullet"/>
      </w:pPr>
      <w:r>
        <w:t>process boundary and non-goals;</w:t>
      </w:r>
    </w:p>
    <w:p>
      <w:pPr>
        <w:pStyle w:val="ListBullet"/>
      </w:pPr>
      <w:r>
        <w:t>sponsor, process owner, performers, control owner, technical owner, and support owner;</w:t>
      </w:r>
    </w:p>
    <w:p>
      <w:pPr>
        <w:pStyle w:val="ListBullet"/>
      </w:pPr>
      <w:r>
        <w:t>baseline and target measures;</w:t>
      </w:r>
    </w:p>
    <w:p>
      <w:pPr>
        <w:pStyle w:val="ListBullet"/>
      </w:pPr>
      <w:r>
        <w:t>systems of record and constraints;</w:t>
      </w:r>
    </w:p>
    <w:p>
      <w:pPr>
        <w:pStyle w:val="ListBullet"/>
      </w:pPr>
      <w:r>
        <w:t>available evidence and access;</w:t>
      </w:r>
    </w:p>
    <w:p>
      <w:pPr>
        <w:pStyle w:val="ListBullet"/>
      </w:pPr>
      <w:r>
        <w:t>timeline, dependencies, and authority.</w:t>
      </w:r>
    </w:p>
    <w:p>
      <w:r>
        <w:t>Do not advance on a slogan such as “automate AP” or “build a support agent.” A bounded engagement has an observable start and end, accountable owners, explicit exclusions, and a testable value hypothesis.</w:t>
      </w:r>
    </w:p>
    <w:p>
      <w:pPr>
        <w:pStyle w:val="Heading3"/>
      </w:pPr>
      <w:r>
        <w:t>Stage 2: Discover and capture</w:t>
      </w:r>
    </w:p>
    <w:p>
      <w:r>
        <w:t>Goal: recover the operational truth needed to design safely.</w:t>
      </w:r>
    </w:p>
    <w:p>
      <w:r>
        <w:t>Use interviews and evidence together:</w:t>
      </w:r>
    </w:p>
    <w:p>
      <w:pPr>
        <w:pStyle w:val="ListBullet"/>
      </w:pPr>
      <w:r>
        <w:t>inspect documents and systems first;</w:t>
      </w:r>
    </w:p>
    <w:p>
      <w:pPr>
        <w:pStyle w:val="ListBullet"/>
      </w:pPr>
      <w:r>
        <w:t>ask people for authority, lived exceptions, hidden work, preferences, and evidence you cannot access;</w:t>
      </w:r>
    </w:p>
    <w:p>
      <w:pPr>
        <w:pStyle w:val="ListBullet"/>
      </w:pPr>
      <w:r>
        <w:t>index every source before relying on it;</w:t>
      </w:r>
    </w:p>
    <w:p>
      <w:pPr>
        <w:pStyle w:val="ListBullet"/>
      </w:pPr>
      <w:r>
        <w:t>extract atomic claims with locators;</w:t>
      </w:r>
    </w:p>
    <w:p>
      <w:pPr>
        <w:pStyle w:val="ListBullet"/>
      </w:pPr>
      <w:r>
        <w:t>distinguish stated, inferred, confirmed, approved, contradicted, stale, and not-applicable knowledge;</w:t>
      </w:r>
    </w:p>
    <w:p>
      <w:pPr>
        <w:pStyle w:val="ListBullet"/>
      </w:pPr>
      <w:r>
        <w:t>record identity ambiguity rather than guessing;</w:t>
      </w:r>
    </w:p>
    <w:p>
      <w:pPr>
        <w:pStyle w:val="ListBullet"/>
      </w:pPr>
      <w:r>
        <w:t>open contradictions that affect scope, control, ownership, routing, architecture, or acceptance.</w:t>
      </w:r>
    </w:p>
    <w:p>
      <w:r>
        <w:t>A good discovery output is not a huge transcript. It is a small set of reliable decisions and a visible plan for consequential unknowns.</w:t>
      </w:r>
    </w:p>
    <w:p>
      <w:pPr>
        <w:pStyle w:val="Heading3"/>
      </w:pPr>
      <w:r>
        <w:t>Stage 3: Model the current state</w:t>
      </w:r>
    </w:p>
    <w:p>
      <w:r>
        <w:t>Goal: describe the actual work sufficiently to redesign it.</w:t>
      </w:r>
    </w:p>
    <w:p>
      <w:r>
        <w:t>For each step, capture:</w:t>
      </w:r>
    </w:p>
    <w:p>
      <w:pPr>
        <w:pStyle w:val="ListBullet"/>
      </w:pPr>
      <w:r>
        <w:t>trigger and completion proof;</w:t>
      </w:r>
    </w:p>
    <w:p>
      <w:pPr>
        <w:pStyle w:val="ListBullet"/>
      </w:pPr>
      <w:r>
        <w:t>performer and accountable owner;</w:t>
      </w:r>
    </w:p>
    <w:p>
      <w:pPr>
        <w:pStyle w:val="ListBullet"/>
      </w:pPr>
      <w:r>
        <w:t>inputs, systems, credentials, and data;</w:t>
      </w:r>
    </w:p>
    <w:p>
      <w:pPr>
        <w:pStyle w:val="ListBullet"/>
      </w:pPr>
      <w:r>
        <w:t>rule or judgment;</w:t>
      </w:r>
    </w:p>
    <w:p>
      <w:pPr>
        <w:pStyle w:val="ListBullet"/>
      </w:pPr>
      <w:r>
        <w:t>outputs and downstream dependencies;</w:t>
      </w:r>
    </w:p>
    <w:p>
      <w:pPr>
        <w:pStyle w:val="ListBullet"/>
      </w:pPr>
      <w:r>
        <w:t>normal timing and volume;</w:t>
      </w:r>
    </w:p>
    <w:p>
      <w:pPr>
        <w:pStyle w:val="ListBullet"/>
      </w:pPr>
      <w:r>
        <w:t>exception, recovery, escalation, and control;</w:t>
      </w:r>
    </w:p>
    <w:p>
      <w:pPr>
        <w:pStyle w:val="ListBullet"/>
      </w:pPr>
      <w:r>
        <w:t>evidence and confidence.</w:t>
      </w:r>
    </w:p>
    <w:p>
      <w:r>
        <w:t>Look for duplicate entry, wait states, forwarding, manual reconciliation, queues, hidden spreadsheets, policy ambiguity, and “Sarah handles it” ownership.</w:t>
      </w:r>
    </w:p>
    <w:p>
      <w:pPr>
        <w:pStyle w:val="Heading3"/>
      </w:pPr>
      <w:r>
        <w:t>Stage 4: Reengineer</w:t>
      </w:r>
    </w:p>
    <w:p>
      <w:r>
        <w:t>Goal: design a better operating model rather than attach AI to every step.</w:t>
      </w:r>
    </w:p>
    <w:p>
      <w:r>
        <w:t>Apply the decision ladder to each step:</w:t>
      </w:r>
    </w:p>
    <w:p>
      <w:pPr>
        <w:pStyle w:val="ListNumber"/>
      </w:pPr>
      <w:r>
        <w:t>Can the outcome or step be removed?</w:t>
      </w:r>
    </w:p>
    <w:p>
      <w:pPr>
        <w:pStyle w:val="ListNumber"/>
      </w:pPr>
      <w:r>
        <w:t>Can policy, ownership, or data be simplified?</w:t>
      </w:r>
    </w:p>
    <w:p>
      <w:pPr>
        <w:pStyle w:val="ListNumber"/>
      </w:pPr>
      <w:r>
        <w:t>Is the behavior deterministic enough for a rule, API, workflow, or RPA?</w:t>
      </w:r>
    </w:p>
    <w:p>
      <w:pPr>
        <w:pStyle w:val="ListNumber"/>
      </w:pPr>
      <w:r>
        <w:t>Does interpretation require probabilistic AI?</w:t>
      </w:r>
    </w:p>
    <w:p>
      <w:pPr>
        <w:pStyle w:val="ListNumber"/>
      </w:pPr>
      <w:r>
        <w:t>Which decisions need a human checkpoint?</w:t>
      </w:r>
    </w:p>
    <w:p>
      <w:pPr>
        <w:pStyle w:val="ListNumber"/>
      </w:pPr>
      <w:r>
        <w:t>Which work remains human-only because of accountability, empathy, negotiation, physical action, or unacceptable failure impact?</w:t>
      </w:r>
    </w:p>
    <w:p>
      <w:r>
        <w:t>The approved future state must preserve every current step or explicitly record why it is eliminated, combined, or replaced.</w:t>
      </w:r>
    </w:p>
    <w:p>
      <w:pPr>
        <w:pStyle w:val="Heading3"/>
      </w:pPr>
      <w:r>
        <w:t>Stage 5: Plan delivery</w:t>
      </w:r>
    </w:p>
    <w:p>
      <w:r>
        <w:t>Goal: translate approved business design into small verifiable work.</w:t>
      </w:r>
    </w:p>
    <w:p>
      <w:r>
        <w:t>Create:</w:t>
      </w:r>
    </w:p>
    <w:p>
      <w:pPr>
        <w:pStyle w:val="ListBullet"/>
      </w:pPr>
      <w:r>
        <w:t>stable business, functional, nonfunctional, control, operational, and adoption requirements;</w:t>
      </w:r>
    </w:p>
    <w:p>
      <w:pPr>
        <w:pStyle w:val="ListBullet"/>
      </w:pPr>
      <w:r>
        <w:t>architecture responsibilities and boundaries;</w:t>
      </w:r>
    </w:p>
    <w:p>
      <w:pPr>
        <w:pStyle w:val="ListBullet"/>
      </w:pPr>
      <w:r>
        <w:t>thin vertical-slice backlog;</w:t>
      </w:r>
    </w:p>
    <w:p>
      <w:pPr>
        <w:pStyle w:val="ListBullet"/>
      </w:pPr>
      <w:r>
        <w:t>deterministic, integration, evaluation, security, recovery, and UAT tests;</w:t>
      </w:r>
    </w:p>
    <w:p>
      <w:pPr>
        <w:pStyle w:val="ListBullet"/>
      </w:pPr>
      <w:r>
        <w:t>requirement-to-design-to-component-to-test-to-release traceability;</w:t>
      </w:r>
    </w:p>
    <w:p>
      <w:pPr>
        <w:pStyle w:val="ListBullet"/>
      </w:pPr>
      <w:r>
        <w:t>environment progression, monitoring, support, and rollback;</w:t>
      </w:r>
    </w:p>
    <w:p>
      <w:pPr>
        <w:pStyle w:val="ListBullet"/>
      </w:pPr>
      <w:r>
        <w:t>required approvals and evidence.</w:t>
      </w:r>
    </w:p>
    <w:p>
      <w:r>
        <w:t>Implementation details belong to the official product or artifact owner. The FDE plan names what must be true without inventing current product commands or schemas.</w:t>
      </w:r>
    </w:p>
    <w:p>
      <w:pPr>
        <w:pStyle w:val="Heading3"/>
      </w:pPr>
      <w:r>
        <w:t>Stage 6: Implement and verify</w:t>
      </w:r>
    </w:p>
    <w:p>
      <w:r>
        <w:t>Goal: produce tested behavior through the appropriate implementation skill or engineering workflow.</w:t>
      </w:r>
    </w:p>
    <w:p>
      <w:r>
        <w:t>The FDE suite keeps the business baseline, requirement IDs, risks, and evidence requirements stable. Official implementation skills own product-specific files and commands. Update traceability as components and tests become real.</w:t>
      </w:r>
    </w:p>
    <w:p>
      <w:r>
        <w:t>Do not change status from planned to implemented, tested, released, or measured without observed evidence.</w:t>
      </w:r>
    </w:p>
    <w:p>
      <w:pPr>
        <w:pStyle w:val="Heading3"/>
      </w:pPr>
      <w:r>
        <w:t>Stage 7: Release and operate</w:t>
      </w:r>
    </w:p>
    <w:p>
      <w:r>
        <w:t>Goal: move an approved, tested version into operation with support and recovery.</w:t>
      </w:r>
    </w:p>
    <w:p>
      <w:r>
        <w:t>Require:</w:t>
      </w:r>
    </w:p>
    <w:p>
      <w:pPr>
        <w:pStyle w:val="ListBullet"/>
      </w:pPr>
      <w:r>
        <w:t>exact release candidate and approvals;</w:t>
      </w:r>
    </w:p>
    <w:p>
      <w:pPr>
        <w:pStyle w:val="ListBullet"/>
      </w:pPr>
      <w:r>
        <w:t>successful required tests and UAT;</w:t>
      </w:r>
    </w:p>
    <w:p>
      <w:pPr>
        <w:pStyle w:val="ListBullet"/>
      </w:pPr>
      <w:r>
        <w:t>least-privilege access and environment readiness;</w:t>
      </w:r>
    </w:p>
    <w:p>
      <w:pPr>
        <w:pStyle w:val="ListBullet"/>
      </w:pPr>
      <w:r>
        <w:t>monitoring and support owner;</w:t>
      </w:r>
    </w:p>
    <w:p>
      <w:pPr>
        <w:pStyle w:val="ListBullet"/>
      </w:pPr>
      <w:r>
        <w:t>canary or staged rollout where appropriate;</w:t>
      </w:r>
    </w:p>
    <w:p>
      <w:pPr>
        <w:pStyle w:val="ListBullet"/>
      </w:pPr>
      <w:r>
        <w:t>rollback or compensating action;</w:t>
      </w:r>
    </w:p>
    <w:p>
      <w:pPr>
        <w:pStyle w:val="ListBullet"/>
      </w:pPr>
      <w:r>
        <w:t>release evidence and version;</w:t>
      </w:r>
    </w:p>
    <w:p>
      <w:pPr>
        <w:pStyle w:val="ListBullet"/>
      </w:pPr>
      <w:r>
        <w:t>post-release measurement plan.</w:t>
      </w:r>
    </w:p>
    <w:p>
      <w:pPr>
        <w:pStyle w:val="Heading3"/>
      </w:pPr>
      <w:r>
        <w:t>Stage 8: Control change</w:t>
      </w:r>
    </w:p>
    <w:p>
      <w:r>
        <w:t>Goal: prevent informal requests from bypassing the approved baseline.</w:t>
      </w:r>
    </w:p>
    <w:p>
      <w:r>
        <w:t>Every material change records:</w:t>
      </w:r>
    </w:p>
    <w:p>
      <w:pPr>
        <w:pStyle w:val="ListBullet"/>
      </w:pPr>
      <w:r>
        <w:t>request and source;</w:t>
      </w:r>
    </w:p>
    <w:p>
      <w:pPr>
        <w:pStyle w:val="ListBullet"/>
      </w:pPr>
      <w:r>
        <w:t>requester and authority;</w:t>
      </w:r>
    </w:p>
    <w:p>
      <w:pPr>
        <w:pStyle w:val="ListBullet"/>
      </w:pPr>
      <w:r>
        <w:t>exact baseline;</w:t>
      </w:r>
    </w:p>
    <w:p>
      <w:pPr>
        <w:pStyle w:val="ListBullet"/>
      </w:pPr>
      <w:r>
        <w:t>affected process, requirements, controls, components, tests, runbook, and users;</w:t>
      </w:r>
    </w:p>
    <w:p>
      <w:pPr>
        <w:pStyle w:val="ListBullet"/>
      </w:pPr>
      <w:r>
        <w:t>proposed patch and risk;</w:t>
      </w:r>
    </w:p>
    <w:p>
      <w:pPr>
        <w:pStyle w:val="ListBullet"/>
      </w:pPr>
      <w:r>
        <w:t>approval, UAT, monitoring, and rollback;</w:t>
      </w:r>
    </w:p>
    <w:p>
      <w:pPr>
        <w:pStyle w:val="ListBullet"/>
      </w:pPr>
      <w:r>
        <w:t>actual released state and evidence.</w:t>
      </w:r>
    </w:p>
    <w:p>
      <w:r>
        <w:t>An email can authorize analysis without authorizing production.</w:t>
      </w:r>
    </w:p>
    <w:p>
      <w:pPr>
        <w:pStyle w:val="Heading2"/>
      </w:pPr>
      <w:r>
        <w:t>The durable workspace</w:t>
      </w:r>
    </w:p>
    <w:p>
      <w:pPr>
        <w:pStyle w:val="Heading3"/>
      </w:pPr>
      <w:r>
        <w:t>Engagement</w:t>
      </w:r>
    </w:p>
    <w:p>
      <w:pPr>
        <w:pStyle w:val="ListBullet"/>
      </w:pPr>
      <w:r>
        <w:rPr>
          <w:b/>
        </w:rPr>
        <w:t>charter.md:</w:t>
      </w:r>
      <w:r>
        <w:t xml:space="preserve"> outcome, scope, owners, measures, constraints.</w:t>
      </w:r>
    </w:p>
    <w:p>
      <w:pPr>
        <w:pStyle w:val="ListBullet"/>
      </w:pPr>
      <w:r>
        <w:rPr>
          <w:b/>
        </w:rPr>
        <w:t>status.md:</w:t>
      </w:r>
      <w:r>
        <w:t xml:space="preserve"> current stage, gate, blockers, recent changes, one next action.</w:t>
      </w:r>
    </w:p>
    <w:p>
      <w:pPr>
        <w:pStyle w:val="Heading3"/>
      </w:pPr>
      <w:r>
        <w:t>Knowledge</w:t>
      </w:r>
    </w:p>
    <w:p>
      <w:pPr>
        <w:pStyle w:val="ListBullet"/>
      </w:pPr>
      <w:r>
        <w:rPr>
          <w:b/>
        </w:rPr>
        <w:t>evidence-index.md:</w:t>
      </w:r>
      <w:r>
        <w:t xml:space="preserve"> source catalog and locators.</w:t>
      </w:r>
    </w:p>
    <w:p>
      <w:pPr>
        <w:pStyle w:val="ListBullet"/>
      </w:pPr>
      <w:r>
        <w:rPr>
          <w:b/>
        </w:rPr>
        <w:t>glossary.md:</w:t>
      </w:r>
      <w:r>
        <w:t xml:space="preserve"> stable business language.</w:t>
      </w:r>
    </w:p>
    <w:p>
      <w:pPr>
        <w:pStyle w:val="ListBullet"/>
      </w:pPr>
      <w:r>
        <w:rPr>
          <w:b/>
        </w:rPr>
        <w:t>stakeholders.md:</w:t>
      </w:r>
      <w:r>
        <w:t xml:space="preserve"> roles, responsibility, authority, and evidence.</w:t>
      </w:r>
    </w:p>
    <w:p>
      <w:pPr>
        <w:pStyle w:val="ListBullet"/>
      </w:pPr>
      <w:r>
        <w:rPr>
          <w:b/>
        </w:rPr>
        <w:t>knowledge-needs.md:</w:t>
      </w:r>
      <w:r>
        <w:t xml:space="preserve"> prioritized unknowns, blocked decisions, owners, and due stages.</w:t>
      </w:r>
    </w:p>
    <w:p>
      <w:pPr>
        <w:pStyle w:val="ListBullet"/>
      </w:pPr>
      <w:r>
        <w:rPr>
          <w:b/>
        </w:rPr>
        <w:t>contradictions.md:</w:t>
      </w:r>
      <w:r>
        <w:t xml:space="preserve"> competing claims, impact, resolver, and decision.</w:t>
      </w:r>
    </w:p>
    <w:p>
      <w:pPr>
        <w:pStyle w:val="Heading3"/>
      </w:pPr>
      <w:r>
        <w:t>Process</w:t>
      </w:r>
    </w:p>
    <w:p>
      <w:pPr>
        <w:pStyle w:val="ListBullet"/>
      </w:pPr>
      <w:r>
        <w:rPr>
          <w:b/>
        </w:rPr>
        <w:t>current-state.md:</w:t>
      </w:r>
      <w:r>
        <w:t xml:space="preserve"> normal flow and actual exception/recovery paths.</w:t>
      </w:r>
    </w:p>
    <w:p>
      <w:pPr>
        <w:pStyle w:val="ListBullet"/>
      </w:pPr>
      <w:r>
        <w:rPr>
          <w:b/>
        </w:rPr>
        <w:t>automation-allocation.md:</w:t>
      </w:r>
      <w:r>
        <w:t xml:space="preserve"> step-level mechanism decision and accountability.</w:t>
      </w:r>
    </w:p>
    <w:p>
      <w:pPr>
        <w:pStyle w:val="ListBullet"/>
      </w:pPr>
      <w:r>
        <w:rPr>
          <w:b/>
        </w:rPr>
        <w:t>future-state.md:</w:t>
      </w:r>
      <w:r>
        <w:t xml:space="preserve"> target flow, controls, measures, fallback, and current-to-future reconciliation.</w:t>
      </w:r>
    </w:p>
    <w:p>
      <w:pPr>
        <w:pStyle w:val="Heading3"/>
      </w:pPr>
      <w:r>
        <w:t>Delivery</w:t>
      </w:r>
    </w:p>
    <w:p>
      <w:pPr>
        <w:pStyle w:val="ListBullet"/>
      </w:pPr>
      <w:r>
        <w:rPr>
          <w:b/>
        </w:rPr>
        <w:t>requirements.md:</w:t>
      </w:r>
      <w:r>
        <w:t xml:space="preserve"> stable requirements and acceptance.</w:t>
      </w:r>
    </w:p>
    <w:p>
      <w:pPr>
        <w:pStyle w:val="ListBullet"/>
      </w:pPr>
      <w:r>
        <w:rPr>
          <w:b/>
        </w:rPr>
        <w:t>architecture.md:</w:t>
      </w:r>
      <w:r>
        <w:t xml:space="preserve"> component responsibilities, contracts, and boundaries.</w:t>
      </w:r>
    </w:p>
    <w:p>
      <w:pPr>
        <w:pStyle w:val="ListBullet"/>
      </w:pPr>
      <w:r>
        <w:rPr>
          <w:b/>
        </w:rPr>
        <w:t>backlog.md:</w:t>
      </w:r>
      <w:r>
        <w:t xml:space="preserve"> session-sized vertical slices with tests and rollback.</w:t>
      </w:r>
    </w:p>
    <w:p>
      <w:pPr>
        <w:pStyle w:val="ListBullet"/>
      </w:pPr>
      <w:r>
        <w:rPr>
          <w:b/>
        </w:rPr>
        <w:t>traceability.md:</w:t>
      </w:r>
      <w:r>
        <w:t xml:space="preserve"> chain from requirement to release evidence.</w:t>
      </w:r>
    </w:p>
    <w:p>
      <w:pPr>
        <w:pStyle w:val="ListBullet"/>
      </w:pPr>
      <w:r>
        <w:rPr>
          <w:b/>
        </w:rPr>
        <w:t>test-plan.md:</w:t>
      </w:r>
      <w:r>
        <w:t xml:space="preserve"> deterministic, integration, AI, security, recovery, and UAT coverage.</w:t>
      </w:r>
    </w:p>
    <w:p>
      <w:pPr>
        <w:pStyle w:val="ListBullet"/>
      </w:pPr>
      <w:r>
        <w:rPr>
          <w:b/>
        </w:rPr>
        <w:t>runbook.md:</w:t>
      </w:r>
      <w:r>
        <w:t xml:space="preserve"> deployment, monitoring, support, recovery, rollback, and retention.</w:t>
      </w:r>
    </w:p>
    <w:p>
      <w:pPr>
        <w:pStyle w:val="Heading3"/>
      </w:pPr>
      <w:r>
        <w:t>Governance</w:t>
      </w:r>
    </w:p>
    <w:p>
      <w:pPr>
        <w:pStyle w:val="ListBullet"/>
      </w:pPr>
      <w:r>
        <w:rPr>
          <w:b/>
        </w:rPr>
        <w:t>decisions.md:</w:t>
      </w:r>
      <w:r>
        <w:t xml:space="preserve"> approved choices and superseded baselines.</w:t>
      </w:r>
    </w:p>
    <w:p>
      <w:pPr>
        <w:pStyle w:val="ListBullet"/>
      </w:pPr>
      <w:r>
        <w:rPr>
          <w:b/>
        </w:rPr>
        <w:t>risks-controls.md:</w:t>
      </w:r>
      <w:r>
        <w:t xml:space="preserve"> risk, owner, control, evidence, and residual risk.</w:t>
      </w:r>
    </w:p>
    <w:p>
      <w:pPr>
        <w:pStyle w:val="ListBullet"/>
      </w:pPr>
      <w:r>
        <w:rPr>
          <w:b/>
        </w:rPr>
        <w:t>approvals.md:</w:t>
      </w:r>
      <w:r>
        <w:t xml:space="preserve"> exact gate/action and approved version.</w:t>
      </w:r>
    </w:p>
    <w:p>
      <w:pPr>
        <w:pStyle w:val="ListBullet"/>
      </w:pPr>
      <w:r>
        <w:rPr>
          <w:b/>
        </w:rPr>
        <w:t>change-log.md:</w:t>
      </w:r>
      <w:r>
        <w:t xml:space="preserve"> post-baseline requests through release or closure.</w:t>
      </w:r>
    </w:p>
    <w:p>
      <w:pPr>
        <w:pStyle w:val="Heading3"/>
      </w:pPr>
      <w:r>
        <w:t>Handoff</w:t>
      </w:r>
    </w:p>
    <w:p>
      <w:pPr>
        <w:pStyle w:val="ListBullet"/>
      </w:pPr>
      <w:r>
        <w:rPr>
          <w:b/>
        </w:rPr>
        <w:t>handoff.md:</w:t>
      </w:r>
      <w:r>
        <w:t xml:space="preserve"> mission, stage, confirmed knowledge, critical gaps, decisions, risks, and next action.</w:t>
      </w:r>
    </w:p>
    <w:p>
      <w:pPr>
        <w:pStyle w:val="Heading2"/>
      </w:pPr>
      <w:r>
        <w:t>Evidence statuses</w:t>
      </w:r>
    </w:p>
    <w:p>
      <w:r>
        <w:t>Use status precisely:</w:t>
      </w:r>
    </w:p>
    <w:tbl>
      <w:tblPr>
        <w:tblStyle w:val="TableGrid"/>
        <w:tblW w:type="dxa" w:w="9360"/>
        <w:jc w:val="left"/>
        <w:tblLayout w:type="fixed"/>
        <w:tblLook w:firstColumn="1" w:firstRow="1" w:lastColumn="0" w:lastRow="0" w:noHBand="0" w:noVBand="1" w:val="04A0"/>
        <w:tblInd w:w="120" w:type="dxa"/>
      </w:tblPr>
      <w:tblGrid>
        <w:gridCol w:w="2184"/>
        <w:gridCol w:w="7176"/>
      </w:tblGrid>
      <w:tr>
        <w:trPr>
          <w:trHeight w:hRule="auto"/>
          <w:tblHeader w:val="true"/>
          <w:tblHeader w:val="true"/>
        </w:trPr>
        <w:tc>
          <w:tcPr>
            <w:tcW w:type="dxa" w:w="2184"/>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Status</w:t>
            </w:r>
          </w:p>
        </w:tc>
        <w:tc>
          <w:tcPr>
            <w:tcW w:type="dxa" w:w="7176"/>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Meaning</w:t>
            </w:r>
          </w:p>
        </w:tc>
      </w:tr>
      <w:tr>
        <w:trPr>
          <w:trHeight w:hRule="auto"/>
        </w:trPr>
        <w:tc>
          <w:tcPr>
            <w:tcW w:type="dxa" w:w="2184"/>
            <w:tcMar>
              <w:top w:w="80" w:type="dxa"/>
              <w:start w:w="120" w:type="dxa"/>
              <w:bottom w:w="80" w:type="dxa"/>
              <w:end w:w="120" w:type="dxa"/>
            </w:tcMar>
            <w:vAlign w:val="center"/>
          </w:tcPr>
          <w:p>
            <w:pPr>
              <w:spacing w:before="0" w:after="40" w:line="252" w:lineRule="auto"/>
            </w:pPr>
            <w:r>
              <w:rPr>
                <w:rFonts w:ascii="Calibri" w:hAnsi="Calibri"/>
                <w:sz w:val="17"/>
              </w:rPr>
              <w:t>unknown</w:t>
            </w:r>
          </w:p>
        </w:tc>
        <w:tc>
          <w:tcPr>
            <w:tcW w:type="dxa" w:w="7176"/>
            <w:tcMar>
              <w:top w:w="80" w:type="dxa"/>
              <w:start w:w="120" w:type="dxa"/>
              <w:bottom w:w="80" w:type="dxa"/>
              <w:end w:w="120" w:type="dxa"/>
            </w:tcMar>
            <w:vAlign w:val="center"/>
          </w:tcPr>
          <w:p>
            <w:pPr>
              <w:spacing w:before="0" w:after="40" w:line="252" w:lineRule="auto"/>
            </w:pPr>
            <w:r>
              <w:rPr>
                <w:rFonts w:ascii="Calibri" w:hAnsi="Calibri"/>
                <w:sz w:val="17"/>
              </w:rPr>
              <w:t>Required knowledge is absent</w:t>
            </w:r>
          </w:p>
        </w:tc>
      </w:tr>
      <w:tr>
        <w:trPr>
          <w:trHeight w:hRule="auto"/>
        </w:trPr>
        <w:tc>
          <w:tcPr>
            <w:tcW w:type="dxa" w:w="2184"/>
            <w:tcMar>
              <w:top w:w="80" w:type="dxa"/>
              <w:start w:w="120" w:type="dxa"/>
              <w:bottom w:w="80" w:type="dxa"/>
              <w:end w:w="120" w:type="dxa"/>
            </w:tcMar>
            <w:vAlign w:val="center"/>
          </w:tcPr>
          <w:p>
            <w:pPr>
              <w:spacing w:before="0" w:after="40" w:line="252" w:lineRule="auto"/>
            </w:pPr>
            <w:r>
              <w:rPr>
                <w:rFonts w:ascii="Calibri" w:hAnsi="Calibri"/>
                <w:sz w:val="17"/>
              </w:rPr>
              <w:t>stated</w:t>
            </w:r>
          </w:p>
        </w:tc>
        <w:tc>
          <w:tcPr>
            <w:tcW w:type="dxa" w:w="7176"/>
            <w:tcMar>
              <w:top w:w="80" w:type="dxa"/>
              <w:start w:w="120" w:type="dxa"/>
              <w:bottom w:w="80" w:type="dxa"/>
              <w:end w:w="120" w:type="dxa"/>
            </w:tcMar>
            <w:vAlign w:val="center"/>
          </w:tcPr>
          <w:p>
            <w:pPr>
              <w:spacing w:before="0" w:after="40" w:line="252" w:lineRule="auto"/>
            </w:pPr>
            <w:r>
              <w:rPr>
                <w:rFonts w:ascii="Calibri" w:hAnsi="Calibri"/>
                <w:sz w:val="17"/>
              </w:rPr>
              <w:t>A stakeholder or document asserts it</w:t>
            </w:r>
          </w:p>
        </w:tc>
      </w:tr>
      <w:tr>
        <w:trPr>
          <w:trHeight w:hRule="auto"/>
        </w:trPr>
        <w:tc>
          <w:tcPr>
            <w:tcW w:type="dxa" w:w="2184"/>
            <w:tcMar>
              <w:top w:w="80" w:type="dxa"/>
              <w:start w:w="120" w:type="dxa"/>
              <w:bottom w:w="80" w:type="dxa"/>
              <w:end w:w="120" w:type="dxa"/>
            </w:tcMar>
            <w:vAlign w:val="center"/>
          </w:tcPr>
          <w:p>
            <w:pPr>
              <w:spacing w:before="0" w:after="40" w:line="252" w:lineRule="auto"/>
            </w:pPr>
            <w:r>
              <w:rPr>
                <w:rFonts w:ascii="Calibri" w:hAnsi="Calibri"/>
                <w:sz w:val="17"/>
              </w:rPr>
              <w:t>evidenced</w:t>
            </w:r>
          </w:p>
        </w:tc>
        <w:tc>
          <w:tcPr>
            <w:tcW w:type="dxa" w:w="7176"/>
            <w:tcMar>
              <w:top w:w="80" w:type="dxa"/>
              <w:start w:w="120" w:type="dxa"/>
              <w:bottom w:w="80" w:type="dxa"/>
              <w:end w:w="120" w:type="dxa"/>
            </w:tcMar>
            <w:vAlign w:val="center"/>
          </w:tcPr>
          <w:p>
            <w:pPr>
              <w:spacing w:before="0" w:after="40" w:line="252" w:lineRule="auto"/>
            </w:pPr>
            <w:r>
              <w:rPr>
                <w:rFonts w:ascii="Calibri" w:hAnsi="Calibri"/>
                <w:sz w:val="17"/>
              </w:rPr>
              <w:t>A source supports it with a locator</w:t>
            </w:r>
          </w:p>
        </w:tc>
      </w:tr>
      <w:tr>
        <w:trPr>
          <w:trHeight w:hRule="auto"/>
        </w:trPr>
        <w:tc>
          <w:tcPr>
            <w:tcW w:type="dxa" w:w="2184"/>
            <w:tcMar>
              <w:top w:w="80" w:type="dxa"/>
              <w:start w:w="120" w:type="dxa"/>
              <w:bottom w:w="80" w:type="dxa"/>
              <w:end w:w="120" w:type="dxa"/>
            </w:tcMar>
            <w:vAlign w:val="center"/>
          </w:tcPr>
          <w:p>
            <w:pPr>
              <w:spacing w:before="0" w:after="40" w:line="252" w:lineRule="auto"/>
            </w:pPr>
            <w:r>
              <w:rPr>
                <w:rFonts w:ascii="Calibri" w:hAnsi="Calibri"/>
                <w:sz w:val="17"/>
              </w:rPr>
              <w:t>contradicted</w:t>
            </w:r>
          </w:p>
        </w:tc>
        <w:tc>
          <w:tcPr>
            <w:tcW w:type="dxa" w:w="7176"/>
            <w:tcMar>
              <w:top w:w="80" w:type="dxa"/>
              <w:start w:w="120" w:type="dxa"/>
              <w:bottom w:w="80" w:type="dxa"/>
              <w:end w:w="120" w:type="dxa"/>
            </w:tcMar>
            <w:vAlign w:val="center"/>
          </w:tcPr>
          <w:p>
            <w:pPr>
              <w:spacing w:before="0" w:after="40" w:line="252" w:lineRule="auto"/>
            </w:pPr>
            <w:r>
              <w:rPr>
                <w:rFonts w:ascii="Calibri" w:hAnsi="Calibri"/>
                <w:sz w:val="17"/>
              </w:rPr>
              <w:t>Reliable sources disagree</w:t>
            </w:r>
          </w:p>
        </w:tc>
      </w:tr>
      <w:tr>
        <w:trPr>
          <w:trHeight w:hRule="auto"/>
        </w:trPr>
        <w:tc>
          <w:tcPr>
            <w:tcW w:type="dxa" w:w="2184"/>
            <w:tcMar>
              <w:top w:w="80" w:type="dxa"/>
              <w:start w:w="120" w:type="dxa"/>
              <w:bottom w:w="80" w:type="dxa"/>
              <w:end w:w="120" w:type="dxa"/>
            </w:tcMar>
            <w:vAlign w:val="center"/>
          </w:tcPr>
          <w:p>
            <w:pPr>
              <w:spacing w:before="0" w:after="40" w:line="252" w:lineRule="auto"/>
            </w:pPr>
            <w:r>
              <w:rPr>
                <w:rFonts w:ascii="Calibri" w:hAnsi="Calibri"/>
                <w:sz w:val="17"/>
              </w:rPr>
              <w:t>confirmed</w:t>
            </w:r>
          </w:p>
        </w:tc>
        <w:tc>
          <w:tcPr>
            <w:tcW w:type="dxa" w:w="7176"/>
            <w:tcMar>
              <w:top w:w="80" w:type="dxa"/>
              <w:start w:w="120" w:type="dxa"/>
              <w:bottom w:w="80" w:type="dxa"/>
              <w:end w:w="120" w:type="dxa"/>
            </w:tcMar>
            <w:vAlign w:val="center"/>
          </w:tcPr>
          <w:p>
            <w:pPr>
              <w:spacing w:before="0" w:after="40" w:line="252" w:lineRule="auto"/>
            </w:pPr>
            <w:r>
              <w:rPr>
                <w:rFonts w:ascii="Calibri" w:hAnsi="Calibri"/>
                <w:sz w:val="17"/>
              </w:rPr>
              <w:t>Qualified owner verified it</w:t>
            </w:r>
          </w:p>
        </w:tc>
      </w:tr>
      <w:tr>
        <w:trPr>
          <w:trHeight w:hRule="auto"/>
        </w:trPr>
        <w:tc>
          <w:tcPr>
            <w:tcW w:type="dxa" w:w="2184"/>
            <w:tcMar>
              <w:top w:w="80" w:type="dxa"/>
              <w:start w:w="120" w:type="dxa"/>
              <w:bottom w:w="80" w:type="dxa"/>
              <w:end w:w="120" w:type="dxa"/>
            </w:tcMar>
            <w:vAlign w:val="center"/>
          </w:tcPr>
          <w:p>
            <w:pPr>
              <w:spacing w:before="0" w:after="40" w:line="252" w:lineRule="auto"/>
            </w:pPr>
            <w:r>
              <w:rPr>
                <w:rFonts w:ascii="Calibri" w:hAnsi="Calibri"/>
                <w:sz w:val="17"/>
              </w:rPr>
              <w:t>approved</w:t>
            </w:r>
          </w:p>
        </w:tc>
        <w:tc>
          <w:tcPr>
            <w:tcW w:type="dxa" w:w="7176"/>
            <w:tcMar>
              <w:top w:w="80" w:type="dxa"/>
              <w:start w:w="120" w:type="dxa"/>
              <w:bottom w:w="80" w:type="dxa"/>
              <w:end w:w="120" w:type="dxa"/>
            </w:tcMar>
            <w:vAlign w:val="center"/>
          </w:tcPr>
          <w:p>
            <w:pPr>
              <w:spacing w:before="0" w:after="40" w:line="252" w:lineRule="auto"/>
            </w:pPr>
            <w:r>
              <w:rPr>
                <w:rFonts w:ascii="Calibri" w:hAnsi="Calibri"/>
                <w:sz w:val="17"/>
              </w:rPr>
              <w:t>Authorized decision-maker accepted it as governing</w:t>
            </w:r>
          </w:p>
        </w:tc>
      </w:tr>
      <w:tr>
        <w:trPr>
          <w:trHeight w:hRule="auto"/>
        </w:trPr>
        <w:tc>
          <w:tcPr>
            <w:tcW w:type="dxa" w:w="2184"/>
            <w:tcMar>
              <w:top w:w="80" w:type="dxa"/>
              <w:start w:w="120" w:type="dxa"/>
              <w:bottom w:w="80" w:type="dxa"/>
              <w:end w:w="120" w:type="dxa"/>
            </w:tcMar>
            <w:vAlign w:val="center"/>
          </w:tcPr>
          <w:p>
            <w:pPr>
              <w:spacing w:before="0" w:after="40" w:line="252" w:lineRule="auto"/>
            </w:pPr>
            <w:r>
              <w:rPr>
                <w:rFonts w:ascii="Calibri" w:hAnsi="Calibri"/>
                <w:sz w:val="17"/>
              </w:rPr>
              <w:t>stale</w:t>
            </w:r>
          </w:p>
        </w:tc>
        <w:tc>
          <w:tcPr>
            <w:tcW w:type="dxa" w:w="7176"/>
            <w:tcMar>
              <w:top w:w="80" w:type="dxa"/>
              <w:start w:w="120" w:type="dxa"/>
              <w:bottom w:w="80" w:type="dxa"/>
              <w:end w:w="120" w:type="dxa"/>
            </w:tcMar>
            <w:vAlign w:val="center"/>
          </w:tcPr>
          <w:p>
            <w:pPr>
              <w:spacing w:before="0" w:after="40" w:line="252" w:lineRule="auto"/>
            </w:pPr>
            <w:r>
              <w:rPr>
                <w:rFonts w:ascii="Calibri" w:hAnsi="Calibri"/>
                <w:sz w:val="17"/>
              </w:rPr>
              <w:t>Previously useful knowledge may no longer be current</w:t>
            </w:r>
          </w:p>
        </w:tc>
      </w:tr>
      <w:tr>
        <w:trPr>
          <w:trHeight w:hRule="auto"/>
        </w:trPr>
        <w:tc>
          <w:tcPr>
            <w:tcW w:type="dxa" w:w="2184"/>
            <w:tcMar>
              <w:top w:w="80" w:type="dxa"/>
              <w:start w:w="120" w:type="dxa"/>
              <w:bottom w:w="80" w:type="dxa"/>
              <w:end w:w="120" w:type="dxa"/>
            </w:tcMar>
            <w:vAlign w:val="center"/>
          </w:tcPr>
          <w:p>
            <w:pPr>
              <w:spacing w:before="0" w:after="40" w:line="252" w:lineRule="auto"/>
            </w:pPr>
            <w:r>
              <w:rPr>
                <w:rFonts w:ascii="Calibri" w:hAnsi="Calibri"/>
                <w:sz w:val="17"/>
              </w:rPr>
              <w:t>not-applicable</w:t>
            </w:r>
          </w:p>
        </w:tc>
        <w:tc>
          <w:tcPr>
            <w:tcW w:type="dxa" w:w="7176"/>
            <w:tcMar>
              <w:top w:w="80" w:type="dxa"/>
              <w:start w:w="120" w:type="dxa"/>
              <w:bottom w:w="80" w:type="dxa"/>
              <w:end w:w="120" w:type="dxa"/>
            </w:tcMar>
            <w:vAlign w:val="center"/>
          </w:tcPr>
          <w:p>
            <w:pPr>
              <w:spacing w:before="0" w:after="40" w:line="252" w:lineRule="auto"/>
            </w:pPr>
            <w:r>
              <w:rPr>
                <w:rFonts w:ascii="Calibri" w:hAnsi="Calibri"/>
                <w:sz w:val="17"/>
              </w:rPr>
              <w:t>Named owner approved that it does not apply</w:t>
            </w:r>
          </w:p>
        </w:tc>
      </w:tr>
    </w:tbl>
    <w:p>
      <w:pPr>
        <w:spacing w:after="40"/>
      </w:pPr>
    </w:p>
    <w:p>
      <w:r>
        <w:t>Do not collapse stated into approved. Do not resolve a contradiction by deleting the losing claim.</w:t>
      </w:r>
    </w:p>
    <w:p>
      <w:pPr>
        <w:pStyle w:val="Heading2"/>
      </w:pPr>
      <w:r>
        <w:t>Interview method</w:t>
      </w:r>
    </w:p>
    <w:p>
      <w:r>
        <w:t>The interview skill works in rounds. Each question contains:</w:t>
      </w:r>
    </w:p>
    <w:p>
      <w:pPr>
        <w:pStyle w:val="ListBullet"/>
      </w:pPr>
      <w:r>
        <w:t>a concrete knowledge or decision question;</w:t>
      </w:r>
    </w:p>
    <w:p>
      <w:pPr>
        <w:pStyle w:val="ListBullet"/>
      </w:pPr>
      <w:r>
        <w:t>a recommendation when appropriate;</w:t>
      </w:r>
    </w:p>
    <w:p>
      <w:pPr>
        <w:pStyle w:val="ListBullet"/>
      </w:pPr>
      <w:r>
        <w:t>the downstream decision or artifact it unlocks.</w:t>
      </w:r>
    </w:p>
    <w:p>
      <w:r>
        <w:t>Useful interview lenses:</w:t>
      </w:r>
    </w:p>
    <w:p>
      <w:pPr>
        <w:pStyle w:val="ListBullet"/>
      </w:pPr>
      <w:r>
        <w:t>sponsor/FDE intake;</w:t>
      </w:r>
    </w:p>
    <w:p>
      <w:pPr>
        <w:pStyle w:val="ListBullet"/>
      </w:pPr>
      <w:r>
        <w:t>process owner;</w:t>
      </w:r>
    </w:p>
    <w:p>
      <w:pPr>
        <w:pStyle w:val="ListBullet"/>
      </w:pPr>
      <w:r>
        <w:t>actual performer and exception handler;</w:t>
      </w:r>
    </w:p>
    <w:p>
      <w:pPr>
        <w:pStyle w:val="ListBullet"/>
      </w:pPr>
      <w:r>
        <w:t>application/data SME;</w:t>
      </w:r>
    </w:p>
    <w:p>
      <w:pPr>
        <w:pStyle w:val="ListBullet"/>
      </w:pPr>
      <w:r>
        <w:t>risk/security/control owner;</w:t>
      </w:r>
    </w:p>
    <w:p>
      <w:pPr>
        <w:pStyle w:val="ListBullet"/>
      </w:pPr>
      <w:r>
        <w:t>operations/support owner.</w:t>
      </w:r>
    </w:p>
    <w:p>
      <w:r>
        <w:t>The agent should discover environmental facts through authorized read-only inspection. Human time should focus on authority, lived behavior, judgment, exceptions, evidence unavailable to the agent, and adoption boundaries.</w:t>
      </w:r>
    </w:p>
    <w:p>
      <w:pPr>
        <w:pStyle w:val="Heading2"/>
      </w:pPr>
      <w:r>
        <w:t>Automation allocation</w:t>
      </w:r>
    </w:p>
    <w:p>
      <w:r>
        <w:t>Use these dispositions:</w:t>
      </w:r>
    </w:p>
    <w:tbl>
      <w:tblPr>
        <w:tblStyle w:val="TableGrid"/>
        <w:tblW w:type="dxa" w:w="9360"/>
        <w:jc w:val="left"/>
        <w:tblLayout w:type="fixed"/>
        <w:tblLook w:firstColumn="1" w:firstRow="1" w:lastColumn="0" w:lastRow="0" w:noHBand="0" w:noVBand="1" w:val="04A0"/>
        <w:tblInd w:w="120" w:type="dxa"/>
      </w:tblPr>
      <w:tblGrid>
        <w:gridCol w:w="1937"/>
        <w:gridCol w:w="3712"/>
        <w:gridCol w:w="3711"/>
      </w:tblGrid>
      <w:tr>
        <w:trPr>
          <w:trHeight w:hRule="auto"/>
          <w:tblHeader w:val="true"/>
          <w:tblHeader w:val="true"/>
          <w:tblHeader w:val="true"/>
        </w:trPr>
        <w:tc>
          <w:tcPr>
            <w:tcW w:type="dxa" w:w="1937"/>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Disposition</w:t>
            </w:r>
          </w:p>
        </w:tc>
        <w:tc>
          <w:tcPr>
            <w:tcW w:type="dxa" w:w="3712"/>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Appropriate when</w:t>
            </w:r>
          </w:p>
        </w:tc>
        <w:tc>
          <w:tcPr>
            <w:tcW w:type="dxa" w:w="3711"/>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Typical controls</w:t>
            </w:r>
          </w:p>
        </w:tc>
      </w:tr>
      <w:tr>
        <w:trPr>
          <w:trHeight w:hRule="auto"/>
        </w:trPr>
        <w:tc>
          <w:tcPr>
            <w:tcW w:type="dxa" w:w="1937"/>
            <w:tcMar>
              <w:top w:w="80" w:type="dxa"/>
              <w:start w:w="120" w:type="dxa"/>
              <w:bottom w:w="80" w:type="dxa"/>
              <w:end w:w="120" w:type="dxa"/>
            </w:tcMar>
            <w:vAlign w:val="center"/>
          </w:tcPr>
          <w:p>
            <w:pPr>
              <w:spacing w:before="0" w:after="40" w:line="252" w:lineRule="auto"/>
            </w:pPr>
            <w:r>
              <w:rPr>
                <w:rFonts w:ascii="Calibri" w:hAnsi="Calibri"/>
                <w:sz w:val="17"/>
              </w:rPr>
              <w:t>Eliminate/simplify</w:t>
            </w:r>
          </w:p>
        </w:tc>
        <w:tc>
          <w:tcPr>
            <w:tcW w:type="dxa" w:w="3712"/>
            <w:tcMar>
              <w:top w:w="80" w:type="dxa"/>
              <w:start w:w="120" w:type="dxa"/>
              <w:bottom w:w="80" w:type="dxa"/>
              <w:end w:w="120" w:type="dxa"/>
            </w:tcMar>
            <w:vAlign w:val="center"/>
          </w:tcPr>
          <w:p>
            <w:pPr>
              <w:spacing w:before="0" w:after="40" w:line="252" w:lineRule="auto"/>
            </w:pPr>
            <w:r>
              <w:rPr>
                <w:rFonts w:ascii="Calibri" w:hAnsi="Calibri"/>
                <w:sz w:val="17"/>
              </w:rPr>
              <w:t>Work exists because of duplicate policy, unclear ownership, or avoidable data friction</w:t>
            </w:r>
          </w:p>
        </w:tc>
        <w:tc>
          <w:tcPr>
            <w:tcW w:type="dxa" w:w="3711"/>
            <w:tcMar>
              <w:top w:w="80" w:type="dxa"/>
              <w:start w:w="120" w:type="dxa"/>
              <w:bottom w:w="80" w:type="dxa"/>
              <w:end w:w="120" w:type="dxa"/>
            </w:tcMar>
            <w:vAlign w:val="center"/>
          </w:tcPr>
          <w:p>
            <w:pPr>
              <w:spacing w:before="0" w:after="40" w:line="252" w:lineRule="auto"/>
            </w:pPr>
            <w:r>
              <w:rPr>
                <w:rFonts w:ascii="Calibri" w:hAnsi="Calibri"/>
                <w:sz w:val="17"/>
              </w:rPr>
              <w:t>Owner approval and updated procedure</w:t>
            </w:r>
          </w:p>
        </w:tc>
      </w:tr>
      <w:tr>
        <w:trPr>
          <w:trHeight w:hRule="auto"/>
        </w:trPr>
        <w:tc>
          <w:tcPr>
            <w:tcW w:type="dxa" w:w="1937"/>
            <w:tcMar>
              <w:top w:w="80" w:type="dxa"/>
              <w:start w:w="120" w:type="dxa"/>
              <w:bottom w:w="80" w:type="dxa"/>
              <w:end w:w="120" w:type="dxa"/>
            </w:tcMar>
            <w:vAlign w:val="center"/>
          </w:tcPr>
          <w:p>
            <w:pPr>
              <w:spacing w:before="0" w:after="40" w:line="252" w:lineRule="auto"/>
            </w:pPr>
            <w:r>
              <w:rPr>
                <w:rFonts w:ascii="Calibri" w:hAnsi="Calibri"/>
                <w:sz w:val="17"/>
              </w:rPr>
              <w:t>Deterministic automation</w:t>
            </w:r>
          </w:p>
        </w:tc>
        <w:tc>
          <w:tcPr>
            <w:tcW w:type="dxa" w:w="3712"/>
            <w:tcMar>
              <w:top w:w="80" w:type="dxa"/>
              <w:start w:w="120" w:type="dxa"/>
              <w:bottom w:w="80" w:type="dxa"/>
              <w:end w:w="120" w:type="dxa"/>
            </w:tcMar>
            <w:vAlign w:val="center"/>
          </w:tcPr>
          <w:p>
            <w:pPr>
              <w:spacing w:before="0" w:after="40" w:line="252" w:lineRule="auto"/>
            </w:pPr>
            <w:r>
              <w:rPr>
                <w:rFonts w:ascii="Calibri" w:hAnsi="Calibri"/>
                <w:sz w:val="17"/>
              </w:rPr>
              <w:t>Inputs and rules are stable and testable</w:t>
            </w:r>
          </w:p>
        </w:tc>
        <w:tc>
          <w:tcPr>
            <w:tcW w:type="dxa" w:w="3711"/>
            <w:tcMar>
              <w:top w:w="80" w:type="dxa"/>
              <w:start w:w="120" w:type="dxa"/>
              <w:bottom w:w="80" w:type="dxa"/>
              <w:end w:w="120" w:type="dxa"/>
            </w:tcMar>
            <w:vAlign w:val="center"/>
          </w:tcPr>
          <w:p>
            <w:pPr>
              <w:spacing w:before="0" w:after="40" w:line="252" w:lineRule="auto"/>
            </w:pPr>
            <w:r>
              <w:rPr>
                <w:rFonts w:ascii="Calibri" w:hAnsi="Calibri"/>
                <w:sz w:val="17"/>
              </w:rPr>
              <w:t>Idempotency, negative tests, reconciliation</w:t>
            </w:r>
          </w:p>
        </w:tc>
      </w:tr>
      <w:tr>
        <w:trPr>
          <w:trHeight w:hRule="auto"/>
        </w:trPr>
        <w:tc>
          <w:tcPr>
            <w:tcW w:type="dxa" w:w="1937"/>
            <w:tcMar>
              <w:top w:w="80" w:type="dxa"/>
              <w:start w:w="120" w:type="dxa"/>
              <w:bottom w:w="80" w:type="dxa"/>
              <w:end w:w="120" w:type="dxa"/>
            </w:tcMar>
            <w:vAlign w:val="center"/>
          </w:tcPr>
          <w:p>
            <w:pPr>
              <w:spacing w:before="0" w:after="40" w:line="252" w:lineRule="auto"/>
            </w:pPr>
            <w:r>
              <w:rPr>
                <w:rFonts w:ascii="Calibri" w:hAnsi="Calibri"/>
                <w:sz w:val="17"/>
              </w:rPr>
              <w:t>RPA/API workflow</w:t>
            </w:r>
          </w:p>
        </w:tc>
        <w:tc>
          <w:tcPr>
            <w:tcW w:type="dxa" w:w="3712"/>
            <w:tcMar>
              <w:top w:w="80" w:type="dxa"/>
              <w:start w:w="120" w:type="dxa"/>
              <w:bottom w:w="80" w:type="dxa"/>
              <w:end w:w="120" w:type="dxa"/>
            </w:tcMar>
            <w:vAlign w:val="center"/>
          </w:tcPr>
          <w:p>
            <w:pPr>
              <w:spacing w:before="0" w:after="40" w:line="252" w:lineRule="auto"/>
            </w:pPr>
            <w:r>
              <w:rPr>
                <w:rFonts w:ascii="Calibri" w:hAnsi="Calibri"/>
                <w:sz w:val="17"/>
              </w:rPr>
              <w:t>Existing UI/API must be driven reliably</w:t>
            </w:r>
          </w:p>
        </w:tc>
        <w:tc>
          <w:tcPr>
            <w:tcW w:type="dxa" w:w="3711"/>
            <w:tcMar>
              <w:top w:w="80" w:type="dxa"/>
              <w:start w:w="120" w:type="dxa"/>
              <w:bottom w:w="80" w:type="dxa"/>
              <w:end w:w="120" w:type="dxa"/>
            </w:tcMar>
            <w:vAlign w:val="center"/>
          </w:tcPr>
          <w:p>
            <w:pPr>
              <w:spacing w:before="0" w:after="40" w:line="252" w:lineRule="auto"/>
            </w:pPr>
            <w:r>
              <w:rPr>
                <w:rFonts w:ascii="Calibri" w:hAnsi="Calibri"/>
                <w:sz w:val="17"/>
              </w:rPr>
              <w:t>Credentials, retry, selectors/contracts, rollback</w:t>
            </w:r>
          </w:p>
        </w:tc>
      </w:tr>
      <w:tr>
        <w:trPr>
          <w:trHeight w:hRule="auto"/>
        </w:trPr>
        <w:tc>
          <w:tcPr>
            <w:tcW w:type="dxa" w:w="1937"/>
            <w:tcMar>
              <w:top w:w="80" w:type="dxa"/>
              <w:start w:w="120" w:type="dxa"/>
              <w:bottom w:w="80" w:type="dxa"/>
              <w:end w:w="120" w:type="dxa"/>
            </w:tcMar>
            <w:vAlign w:val="center"/>
          </w:tcPr>
          <w:p>
            <w:pPr>
              <w:spacing w:before="0" w:after="40" w:line="252" w:lineRule="auto"/>
            </w:pPr>
            <w:r>
              <w:rPr>
                <w:rFonts w:ascii="Calibri" w:hAnsi="Calibri"/>
                <w:sz w:val="17"/>
              </w:rPr>
              <w:t>Agentic AI</w:t>
            </w:r>
          </w:p>
        </w:tc>
        <w:tc>
          <w:tcPr>
            <w:tcW w:type="dxa" w:w="3712"/>
            <w:tcMar>
              <w:top w:w="80" w:type="dxa"/>
              <w:start w:w="120" w:type="dxa"/>
              <w:bottom w:w="80" w:type="dxa"/>
              <w:end w:w="120" w:type="dxa"/>
            </w:tcMar>
            <w:vAlign w:val="center"/>
          </w:tcPr>
          <w:p>
            <w:pPr>
              <w:spacing w:before="0" w:after="40" w:line="252" w:lineRule="auto"/>
            </w:pPr>
            <w:r>
              <w:rPr>
                <w:rFonts w:ascii="Calibri" w:hAnsi="Calibri"/>
                <w:sz w:val="17"/>
              </w:rPr>
              <w:t>Interpretation or synthesis is probabilistic and valuable</w:t>
            </w:r>
          </w:p>
        </w:tc>
        <w:tc>
          <w:tcPr>
            <w:tcW w:type="dxa" w:w="3711"/>
            <w:tcMar>
              <w:top w:w="80" w:type="dxa"/>
              <w:start w:w="120" w:type="dxa"/>
              <w:bottom w:w="80" w:type="dxa"/>
              <w:end w:w="120" w:type="dxa"/>
            </w:tcMar>
            <w:vAlign w:val="center"/>
          </w:tcPr>
          <w:p>
            <w:pPr>
              <w:spacing w:before="0" w:after="40" w:line="252" w:lineRule="auto"/>
            </w:pPr>
            <w:r>
              <w:rPr>
                <w:rFonts w:ascii="Calibri" w:hAnsi="Calibri"/>
                <w:sz w:val="17"/>
              </w:rPr>
              <w:t>Evidence, confidence, evals, versioning, HITL</w:t>
            </w:r>
          </w:p>
        </w:tc>
      </w:tr>
      <w:tr>
        <w:trPr>
          <w:trHeight w:hRule="auto"/>
        </w:trPr>
        <w:tc>
          <w:tcPr>
            <w:tcW w:type="dxa" w:w="1937"/>
            <w:tcMar>
              <w:top w:w="80" w:type="dxa"/>
              <w:start w:w="120" w:type="dxa"/>
              <w:bottom w:w="80" w:type="dxa"/>
              <w:end w:w="120" w:type="dxa"/>
            </w:tcMar>
            <w:vAlign w:val="center"/>
          </w:tcPr>
          <w:p>
            <w:pPr>
              <w:spacing w:before="0" w:after="40" w:line="252" w:lineRule="auto"/>
            </w:pPr>
            <w:r>
              <w:rPr>
                <w:rFonts w:ascii="Calibri" w:hAnsi="Calibri"/>
                <w:sz w:val="17"/>
              </w:rPr>
              <w:t>Human-in-the-loop</w:t>
            </w:r>
          </w:p>
        </w:tc>
        <w:tc>
          <w:tcPr>
            <w:tcW w:type="dxa" w:w="3712"/>
            <w:tcMar>
              <w:top w:w="80" w:type="dxa"/>
              <w:start w:w="120" w:type="dxa"/>
              <w:bottom w:w="80" w:type="dxa"/>
              <w:end w:w="120" w:type="dxa"/>
            </w:tcMar>
            <w:vAlign w:val="center"/>
          </w:tcPr>
          <w:p>
            <w:pPr>
              <w:spacing w:before="0" w:after="40" w:line="252" w:lineRule="auto"/>
            </w:pPr>
            <w:r>
              <w:rPr>
                <w:rFonts w:ascii="Calibri" w:hAnsi="Calibri"/>
                <w:sz w:val="17"/>
              </w:rPr>
              <w:t>A person must verify or approve a recommendation</w:t>
            </w:r>
          </w:p>
        </w:tc>
        <w:tc>
          <w:tcPr>
            <w:tcW w:type="dxa" w:w="3711"/>
            <w:tcMar>
              <w:top w:w="80" w:type="dxa"/>
              <w:start w:w="120" w:type="dxa"/>
              <w:bottom w:w="80" w:type="dxa"/>
              <w:end w:w="120" w:type="dxa"/>
            </w:tcMar>
            <w:vAlign w:val="center"/>
          </w:tcPr>
          <w:p>
            <w:pPr>
              <w:spacing w:before="0" w:after="40" w:line="252" w:lineRule="auto"/>
            </w:pPr>
            <w:r>
              <w:rPr>
                <w:rFonts w:ascii="Calibri" w:hAnsi="Calibri"/>
                <w:sz w:val="17"/>
              </w:rPr>
              <w:t>Clear authority, correction, audit</w:t>
            </w:r>
          </w:p>
        </w:tc>
      </w:tr>
      <w:tr>
        <w:trPr>
          <w:trHeight w:hRule="auto"/>
        </w:trPr>
        <w:tc>
          <w:tcPr>
            <w:tcW w:type="dxa" w:w="1937"/>
            <w:tcMar>
              <w:top w:w="80" w:type="dxa"/>
              <w:start w:w="120" w:type="dxa"/>
              <w:bottom w:w="80" w:type="dxa"/>
              <w:end w:w="120" w:type="dxa"/>
            </w:tcMar>
            <w:vAlign w:val="center"/>
          </w:tcPr>
          <w:p>
            <w:pPr>
              <w:spacing w:before="0" w:after="40" w:line="252" w:lineRule="auto"/>
            </w:pPr>
            <w:r>
              <w:rPr>
                <w:rFonts w:ascii="Calibri" w:hAnsi="Calibri"/>
                <w:sz w:val="17"/>
              </w:rPr>
              <w:t>Human-only</w:t>
            </w:r>
          </w:p>
        </w:tc>
        <w:tc>
          <w:tcPr>
            <w:tcW w:type="dxa" w:w="3712"/>
            <w:tcMar>
              <w:top w:w="80" w:type="dxa"/>
              <w:start w:w="120" w:type="dxa"/>
              <w:bottom w:w="80" w:type="dxa"/>
              <w:end w:w="120" w:type="dxa"/>
            </w:tcMar>
            <w:vAlign w:val="center"/>
          </w:tcPr>
          <w:p>
            <w:pPr>
              <w:spacing w:before="0" w:after="40" w:line="252" w:lineRule="auto"/>
            </w:pPr>
            <w:r>
              <w:rPr>
                <w:rFonts w:ascii="Calibri" w:hAnsi="Calibri"/>
                <w:sz w:val="17"/>
              </w:rPr>
              <w:t>Accountability, empathy, negotiation, physical work, or failure impact dominates</w:t>
            </w:r>
          </w:p>
        </w:tc>
        <w:tc>
          <w:tcPr>
            <w:tcW w:type="dxa" w:w="3711"/>
            <w:tcMar>
              <w:top w:w="80" w:type="dxa"/>
              <w:start w:w="120" w:type="dxa"/>
              <w:bottom w:w="80" w:type="dxa"/>
              <w:end w:w="120" w:type="dxa"/>
            </w:tcMar>
            <w:vAlign w:val="center"/>
          </w:tcPr>
          <w:p>
            <w:pPr>
              <w:spacing w:before="0" w:after="40" w:line="252" w:lineRule="auto"/>
            </w:pPr>
            <w:r>
              <w:rPr>
                <w:rFonts w:ascii="Calibri" w:hAnsi="Calibri"/>
                <w:sz w:val="17"/>
              </w:rPr>
              <w:t>Training, procedure, escalation</w:t>
            </w:r>
          </w:p>
        </w:tc>
      </w:tr>
    </w:tbl>
    <w:p>
      <w:pPr>
        <w:spacing w:after="40"/>
      </w:pPr>
    </w:p>
    <w:p>
      <w:r>
        <w:t>AI suitability is not “can a model produce an answer?” It is whether the answer can be evaluated, controlled, reversed, explained, monitored, and accepted at the required risk level.</w:t>
      </w:r>
    </w:p>
    <w:p>
      <w:pPr>
        <w:pStyle w:val="Heading2"/>
      </w:pPr>
      <w:r>
        <w:t>Recommended interaction pattern</w:t>
      </w:r>
    </w:p>
    <w:p>
      <w:r>
        <w:t>At the end of every meaningful turn, ask the agent to report:</w:t>
      </w:r>
    </w:p>
    <w:p>
      <w:pPr>
        <w:pStyle w:val="ListNumber"/>
      </w:pPr>
      <w:r>
        <w:t>current lifecycle stage;</w:t>
      </w:r>
    </w:p>
    <w:p>
      <w:pPr>
        <w:pStyle w:val="ListNumber"/>
      </w:pPr>
      <w:r>
        <w:t>artifacts changed;</w:t>
      </w:r>
    </w:p>
    <w:p>
      <w:pPr>
        <w:pStyle w:val="ListNumber"/>
      </w:pPr>
      <w:r>
        <w:t>confirmed knowledge added;</w:t>
      </w:r>
    </w:p>
    <w:p>
      <w:pPr>
        <w:pStyle w:val="ListNumber"/>
      </w:pPr>
      <w:r>
        <w:t>contradictions and high-risk gaps;</w:t>
      </w:r>
    </w:p>
    <w:p>
      <w:pPr>
        <w:pStyle w:val="ListNumber"/>
      </w:pPr>
      <w:r>
        <w:t>decisions and approvals required;</w:t>
      </w:r>
    </w:p>
    <w:p>
      <w:pPr>
        <w:pStyle w:val="ListNumber"/>
      </w:pPr>
      <w:r>
        <w:t>next skill and smallest verifiable action.</w:t>
      </w:r>
    </w:p>
    <w:p>
      <w:r>
        <w:t>Then review the files, not only the prose response.</w:t>
      </w:r>
    </w:p>
    <w:p>
      <w:pPr>
        <w:pStyle w:val="Heading2"/>
      </w:pPr>
      <w:r>
        <w:t>Collaboration with product skills</w:t>
      </w:r>
    </w:p>
    <w:p>
      <w:r>
        <w:t>The FDE suite should route product truth to the official implementation owner. For UiPath, use the relevant official discovery, domain, solution, component, security, observability, artifact, test, release-readiness, and handoff skill.</w:t>
      </w:r>
    </w:p>
    <w:p>
      <w:r>
        <w:t>The division of responsibility is:</w:t>
      </w:r>
    </w:p>
    <w:p>
      <w:pPr>
        <w:pStyle w:val="ListBullet"/>
      </w:pPr>
      <w:r>
        <w:t>FDE skills own business evidence, process design, delivery intent, gates, and traceability.</w:t>
      </w:r>
    </w:p>
    <w:p>
      <w:pPr>
        <w:pStyle w:val="ListBullet"/>
      </w:pPr>
      <w:r>
        <w:t>Product skills own current product commands, schemas, file contracts, builds, deployments, and platform evidence.</w:t>
      </w:r>
    </w:p>
    <w:p>
      <w:r>
        <w:t>This keeps engagement knowledge stable while product tooling evolves.</w:t>
      </w:r>
    </w:p>
    <w:p>
      <w:pPr>
        <w:pStyle w:val="Heading2"/>
      </w:pPr>
      <w:r>
        <w:t>Common mistakes</w:t>
      </w:r>
    </w:p>
    <w:p>
      <w:pPr>
        <w:pStyle w:val="Heading3"/>
      </w:pPr>
      <w:r>
        <w:t>Uploading everything and asking for a summary</w:t>
      </w:r>
    </w:p>
    <w:p>
      <w:r>
        <w:t>A summary can hide missing evidence and contradictions. Index sources, capture atomic claims, and ask what decision each claim supports.</w:t>
      </w:r>
    </w:p>
    <w:p>
      <w:pPr>
        <w:pStyle w:val="Heading3"/>
      </w:pPr>
      <w:r>
        <w:t>Designing after one process-owner interview</w:t>
      </w:r>
    </w:p>
    <w:p>
      <w:r>
        <w:t>Process owners know policy and outcomes; performers know actual retries, workarounds, and failure handling. Interview both, plus control and technical owners.</w:t>
      </w:r>
    </w:p>
    <w:p>
      <w:pPr>
        <w:pStyle w:val="Heading3"/>
      </w:pPr>
      <w:r>
        <w:t>Treating every step as AI</w:t>
      </w:r>
    </w:p>
    <w:p>
      <w:r>
        <w:t>Start with elimination and simplification. Use deterministic automation for deterministic rules. Reserve AI for interpretation that has an evaluation and control story.</w:t>
      </w:r>
    </w:p>
    <w:p>
      <w:pPr>
        <w:pStyle w:val="Heading3"/>
      </w:pPr>
      <w:r>
        <w:t>Replacing the system of record</w:t>
      </w:r>
    </w:p>
    <w:p>
      <w:r>
        <w:t>Most enterprises have already invested deeply in ERP, CRM, HRIS, or ticketing systems. Build above the system of record unless migration is explicitly approved.</w:t>
      </w:r>
    </w:p>
    <w:p>
      <w:pPr>
        <w:pStyle w:val="Heading3"/>
      </w:pPr>
      <w:r>
        <w:t>Claiming implementation from a plan</w:t>
      </w:r>
    </w:p>
    <w:p>
      <w:r>
        <w:t>A requirement or architecture artifact is not running software. Preserve status boundaries.</w:t>
      </w:r>
    </w:p>
    <w:p>
      <w:pPr>
        <w:pStyle w:val="Heading3"/>
      </w:pPr>
      <w:r>
        <w:t>Letting a client message alter production directly</w:t>
      </w:r>
    </w:p>
    <w:p>
      <w:r>
        <w:t>Register it as a change. Verify authority and impact. Require a patch, tests, approval, monitoring, and rollback.</w:t>
      </w:r>
    </w:p>
    <w:p>
      <w:pPr>
        <w:pStyle w:val="Heading2"/>
      </w:pPr>
      <w:r>
        <w:t>Prompt library</w:t>
      </w:r>
    </w:p>
    <w:p>
      <w:pPr>
        <w:pStyle w:val="Heading3"/>
      </w:pPr>
      <w:r>
        <w:t>Engagement framing</w:t>
      </w:r>
    </w:p>
    <w:p>
      <w:pPr>
        <w:pStyle w:val="CodeBlock"/>
        <w:shd w:fill="F2F4F7"/>
      </w:pPr>
      <w:r>
        <w:rPr>
          <w:rFonts w:ascii="Consolas" w:hAnsi="Consolas"/>
          <w:color w:val="19324D"/>
          <w:sz w:val="17"/>
        </w:rPr>
        <w:t>$fde-run-engagement Start a new engagement. Ask me the smallest set of questions needed to establish outcome, boundary, owners, evidence, baseline, constraints, and discovery authority. Create durable state after I answer.</w:t>
      </w:r>
    </w:p>
    <w:p>
      <w:pPr>
        <w:pStyle w:val="Heading3"/>
      </w:pPr>
      <w:r>
        <w:t>Performer interview</w:t>
      </w:r>
    </w:p>
    <w:p>
      <w:pPr>
        <w:pStyle w:val="CodeBlock"/>
        <w:shd w:fill="F2F4F7"/>
      </w:pPr>
      <w:r>
        <w:rPr>
          <w:rFonts w:ascii="Consolas" w:hAnsi="Consolas"/>
          <w:color w:val="19324D"/>
          <w:sz w:val="17"/>
        </w:rPr>
        <w:t>$fde-interview-engagement Interview the person who actually handles exceptions. Focus on triggers, hidden work, handoffs, retries, escalation, controls, volume, timing, and what they would reject in a future design.</w:t>
      </w:r>
    </w:p>
    <w:p>
      <w:pPr>
        <w:pStyle w:val="Heading3"/>
      </w:pPr>
      <w:r>
        <w:t>Knowledge ingestion</w:t>
      </w:r>
    </w:p>
    <w:p>
      <w:pPr>
        <w:pStyle w:val="CodeBlock"/>
        <w:shd w:fill="F2F4F7"/>
      </w:pPr>
      <w:r>
        <w:rPr>
          <w:rFonts w:ascii="Consolas" w:hAnsi="Consolas"/>
          <w:color w:val="19324D"/>
          <w:sz w:val="17"/>
        </w:rPr>
        <w:t>$fde-capture-knowledge Ingest these materials. Create stable source IDs and locators, extract atomic claims, resolve identities cautiously, open contradictions, and identify downstream artifacts that new evidence invalidates.</w:t>
      </w:r>
    </w:p>
    <w:p>
      <w:pPr>
        <w:pStyle w:val="Heading3"/>
      </w:pPr>
      <w:r>
        <w:t>Process redesign</w:t>
      </w:r>
    </w:p>
    <w:p>
      <w:pPr>
        <w:pStyle w:val="CodeBlock"/>
        <w:shd w:fill="F2F4F7"/>
      </w:pPr>
      <w:r>
        <w:rPr>
          <w:rFonts w:ascii="Consolas" w:hAnsi="Consolas"/>
          <w:color w:val="19324D"/>
          <w:sz w:val="17"/>
        </w:rPr>
        <w:t>$fde-reengineer-process Build the current state from evidence, including every material exception. Challenge each step in order: eliminate, simplify, deterministic automation, RPA/API, AI, HITL, or human-only. Preserve controls and adoption.</w:t>
      </w:r>
    </w:p>
    <w:p>
      <w:pPr>
        <w:pStyle w:val="Heading3"/>
      </w:pPr>
      <w:r>
        <w:t>Delivery planning</w:t>
      </w:r>
    </w:p>
    <w:p>
      <w:pPr>
        <w:pStyle w:val="CodeBlock"/>
        <w:shd w:fill="F2F4F7"/>
      </w:pPr>
      <w:r>
        <w:rPr>
          <w:rFonts w:ascii="Consolas" w:hAnsi="Consolas"/>
          <w:color w:val="19324D"/>
          <w:sz w:val="17"/>
        </w:rPr>
        <w:t>$fde-plan-delivery Convert the approved future state into stable requirements, component responsibilities, vertical slices, tests, traceability, rollout, operations, and rollback. Show the critical path and evidence gaps.</w:t>
      </w:r>
    </w:p>
    <w:p>
      <w:pPr>
        <w:pStyle w:val="Heading3"/>
      </w:pPr>
      <w:r>
        <w:t>Change control</w:t>
      </w:r>
    </w:p>
    <w:p>
      <w:pPr>
        <w:pStyle w:val="CodeBlock"/>
        <w:shd w:fill="F2F4F7"/>
      </w:pPr>
      <w:r>
        <w:rPr>
          <w:rFonts w:ascii="Consolas" w:hAnsi="Consolas"/>
          <w:color w:val="19324D"/>
          <w:sz w:val="17"/>
        </w:rPr>
        <w:t>$fde-control-change Register this request, verify authority, compare it with the approved baseline, find every affected artifact, define an exact reversible patch and regression plan, and stop at the current approval boundary.</w:t>
      </w:r>
    </w:p>
    <w:p>
      <w:pPr>
        <w:pStyle w:val="Heading2"/>
      </w:pPr>
      <w:r>
        <w:t>Expected results and limitations</w:t>
      </w:r>
    </w:p>
    <w:p>
      <w:pPr>
        <w:pStyle w:val="Heading3"/>
      </w:pPr>
      <w:r>
        <w:t>Expected results</w:t>
      </w:r>
    </w:p>
    <w:p>
      <w:pPr>
        <w:pStyle w:val="ListBullet"/>
      </w:pPr>
      <w:r>
        <w:t>higher-quality project context;</w:t>
      </w:r>
    </w:p>
    <w:p>
      <w:pPr>
        <w:pStyle w:val="ListBullet"/>
      </w:pPr>
      <w:r>
        <w:t>fewer unowned unknowns;</w:t>
      </w:r>
    </w:p>
    <w:p>
      <w:pPr>
        <w:pStyle w:val="ListBullet"/>
      </w:pPr>
      <w:r>
        <w:t>visible contradictions and authority;</w:t>
      </w:r>
    </w:p>
    <w:p>
      <w:pPr>
        <w:pStyle w:val="ListBullet"/>
      </w:pPr>
      <w:r>
        <w:t>safer automation allocation;</w:t>
      </w:r>
    </w:p>
    <w:p>
      <w:pPr>
        <w:pStyle w:val="ListBullet"/>
      </w:pPr>
      <w:r>
        <w:t>smaller delivery slices;</w:t>
      </w:r>
    </w:p>
    <w:p>
      <w:pPr>
        <w:pStyle w:val="ListBullet"/>
      </w:pPr>
      <w:r>
        <w:t>clearer test and release evidence;</w:t>
      </w:r>
    </w:p>
    <w:p>
      <w:pPr>
        <w:pStyle w:val="ListBullet"/>
      </w:pPr>
      <w:r>
        <w:t>reliable handoff and resumption;</w:t>
      </w:r>
    </w:p>
    <w:p>
      <w:pPr>
        <w:pStyle w:val="ListBullet"/>
      </w:pPr>
      <w:r>
        <w:t>controlled post-release change.</w:t>
      </w:r>
    </w:p>
    <w:p>
      <w:pPr>
        <w:pStyle w:val="Heading3"/>
      </w:pPr>
      <w:r>
        <w:t>Limitations</w:t>
      </w:r>
    </w:p>
    <w:p>
      <w:pPr>
        <w:pStyle w:val="ListBullet"/>
      </w:pPr>
      <w:r>
        <w:t>The agent cannot know what was never supplied, observed, or authorized.</w:t>
      </w:r>
    </w:p>
    <w:p>
      <w:pPr>
        <w:pStyle w:val="ListBullet"/>
      </w:pPr>
      <w:r>
        <w:t>A well-structured false claim is still false; evidence and human review matter.</w:t>
      </w:r>
    </w:p>
    <w:p>
      <w:pPr>
        <w:pStyle w:val="ListBullet"/>
      </w:pPr>
      <w:r>
        <w:t>The suite does not run production systems by itself.</w:t>
      </w:r>
    </w:p>
    <w:p>
      <w:pPr>
        <w:pStyle w:val="ListBullet"/>
      </w:pPr>
      <w:r>
        <w:t>Generic templates must be adapted to actual policy, regulation, architecture, and product contracts.</w:t>
      </w:r>
    </w:p>
    <w:p>
      <w:pPr>
        <w:pStyle w:val="ListBullet"/>
      </w:pPr>
      <w:r>
        <w:t>A target is not realized value until measured after release.</w:t>
      </w:r>
    </w:p>
    <w:p>
      <w:pPr>
        <w:pStyle w:val="ListBullet"/>
      </w:pPr>
      <w:r>
        <w:t>Customer confidentiality obligations still govern the workspace.</w:t>
      </w:r>
    </w:p>
    <w:p>
      <w:pPr>
        <w:pStyle w:val="Heading2"/>
      </w:pPr>
      <w:r>
        <w:t>Next step</w:t>
      </w:r>
    </w:p>
    <w:p>
      <w:r>
        <w:t>Install the suite, open one bounded engagement, invoke $fde-run-engagement, and let the interview skill establish a reliable frontier before anyone proposes an implementation.</w:t>
      </w:r>
    </w:p>
    <w:p>
      <w:r>
        <w:br w:type="page"/>
      </w:r>
    </w:p>
    <w:p>
      <w:pPr>
        <w:pStyle w:val="Heading1"/>
      </w:pPr>
      <w:r>
        <w:t>Part III — Before-and-after scenarios</w:t>
      </w:r>
    </w:p>
    <w:p>
      <w:pPr>
        <w:spacing w:after="200"/>
      </w:pPr>
      <w:r>
        <w:rPr>
          <w:rFonts w:ascii="Calibri" w:hAnsi="Calibri"/>
          <w:b/>
          <w:color w:val="667085"/>
          <w:sz w:val="17"/>
        </w:rPr>
        <w:t xml:space="preserve">Maintained source: </w:t>
      </w:r>
      <w:r>
        <w:rPr>
          <w:rFonts w:ascii="Calibri" w:hAnsi="Calibri"/>
          <w:color w:val="667085"/>
          <w:sz w:val="17"/>
        </w:rPr>
        <w:t>docs/SCENARIOS.md</w:t>
      </w:r>
    </w:p>
    <w:p>
      <w:r>
        <w:t>These scenarios show how the FDE skills change the quality of an engagement before implementation. All organizations, systems, people, and numbers are fictional.</w:t>
      </w:r>
    </w:p>
    <w:p>
      <w:pPr>
        <w:pStyle w:val="Heading2"/>
      </w:pPr>
      <w:r>
        <w:t>Scenario 1: Accounts-payable invoice exceptions</w:t>
      </w:r>
    </w:p>
    <w:p>
      <w:pPr>
        <w:pStyle w:val="Heading3"/>
      </w:pPr>
      <w:r>
        <w:t>Before</w:t>
      </w:r>
    </w:p>
    <w:p>
      <w:r>
        <w:t>The request is “use AI to automate AP exceptions.” The team has a 12-page SOP, a shared mailbox, an ERP, and a spreadsheet. The SOP says every invoice above USD 10,000 requires Controller approval. The AP manager says only non-PO invoices above that amount require it. Nobody has documented what happens when an owner ignores the email.</w:t>
      </w:r>
    </w:p>
    <w:p>
      <w:r>
        <w:t>A general agent could summarize the SOP and propose an invoice agent. That would leave a material control contradiction, hide the actual rework loop, and confuse classification with approval.</w:t>
      </w:r>
    </w:p>
    <w:p>
      <w:pPr>
        <w:pStyle w:val="Heading3"/>
      </w:pPr>
      <w:r>
        <w:t>Skill flow</w:t>
      </w:r>
    </w:p>
    <w:p>
      <w:pPr>
        <w:pStyle w:val="ListNumber"/>
      </w:pPr>
      <w:r>
        <w:t>fde-run-engagement bounds intake through payment-ready and records non-goals.</w:t>
      </w:r>
    </w:p>
    <w:p>
      <w:pPr>
        <w:pStyle w:val="ListNumber"/>
      </w:pPr>
      <w:r>
        <w:t>fde-interview-engagement asks the AP manager, actual specialist, Controller, and systems owner different questions.</w:t>
      </w:r>
    </w:p>
    <w:p>
      <w:pPr>
        <w:pStyle w:val="ListNumber"/>
      </w:pPr>
      <w:r>
        <w:t>fde-capture-knowledge indexes sources, preserves the approval contradiction, and resolves it through the control policy.</w:t>
      </w:r>
    </w:p>
    <w:p>
      <w:pPr>
        <w:pStyle w:val="ListNumber"/>
      </w:pPr>
      <w:r>
        <w:t>fde-reengineer-process maps five exception families, forwarding, waiting, escalation, duplicate entry, and sensitive holds.</w:t>
      </w:r>
    </w:p>
    <w:p>
      <w:pPr>
        <w:pStyle w:val="ListNumber"/>
      </w:pPr>
      <w:r>
        <w:t>fde-plan-delivery creates requirements, components, vertical slices, evaluation, recovery, UAT, and traceability.</w:t>
      </w:r>
    </w:p>
    <w:p>
      <w:pPr>
        <w:pStyle w:val="ListNumber"/>
      </w:pPr>
      <w:r>
        <w:t>fde-control-change turns a later mailbox-routing email into CHG-001 and stops before unapproved production work.</w:t>
      </w:r>
    </w:p>
    <w:p>
      <w:pPr>
        <w:pStyle w:val="Heading3"/>
      </w:pPr>
      <w:r>
        <w:t>After</w:t>
      </w:r>
    </w:p>
    <w:p>
      <w:r>
        <w:t>The design uses rules for duplicate/PO/receipt checks, AI for explainable classification recommendations, human review for low confidence, and human-only authority for duplicate clearance and sensitive data. LedgerOne remains the system of record. The first slice is safe intake and duplicate hold, not an end-to-end autonomous agent.</w:t>
      </w:r>
    </w:p>
    <w:p>
      <w:pPr>
        <w:pStyle w:val="Heading3"/>
      </w:pPr>
      <w:r>
        <w:t>Demonstrated effect</w:t>
      </w:r>
    </w:p>
    <w:p>
      <w:pPr>
        <w:pStyle w:val="ListBullet"/>
      </w:pPr>
      <w:r>
        <w:t>Ambiguous goal becomes measurable boundary and targets.</w:t>
      </w:r>
    </w:p>
    <w:p>
      <w:pPr>
        <w:pStyle w:val="ListBullet"/>
      </w:pPr>
      <w:r>
        <w:t>A control conflict becomes an approved governing decision.</w:t>
      </w:r>
    </w:p>
    <w:p>
      <w:pPr>
        <w:pStyle w:val="ListBullet"/>
      </w:pPr>
      <w:r>
        <w:t>Hidden work becomes explicit design input.</w:t>
      </w:r>
    </w:p>
    <w:p>
      <w:pPr>
        <w:pStyle w:val="ListBullet"/>
      </w:pPr>
      <w:r>
        <w:t>AI scope becomes narrower, evaluable, and safer.</w:t>
      </w:r>
    </w:p>
    <w:p>
      <w:pPr>
        <w:pStyle w:val="ListBullet"/>
      </w:pPr>
      <w:r>
        <w:t>Backlog and tests are linked to evidence.</w:t>
      </w:r>
    </w:p>
    <w:p>
      <w:pPr>
        <w:pStyle w:val="ListBullet"/>
      </w:pPr>
      <w:r>
        <w:t>Informal change is governed.</w:t>
      </w:r>
    </w:p>
    <w:p>
      <w:r>
        <w:t xml:space="preserve">Inspect the </w:t>
      </w:r>
      <w:hyperlink r:id="rId11">
        <w:r>
          <w:rPr>
            <w:color w:val="2E74B5"/>
            <w:u w:val="single"/>
          </w:rPr>
          <w:t>complete worked example</w:t>
        </w:r>
      </w:hyperlink>
      <w:r>
        <w:t>.</w:t>
      </w:r>
    </w:p>
    <w:p>
      <w:pPr>
        <w:pStyle w:val="Heading2"/>
      </w:pPr>
      <w:r>
        <w:t>Scenario 2: Customer-support escalation triage</w:t>
      </w:r>
    </w:p>
    <w:p>
      <w:pPr>
        <w:pStyle w:val="Heading3"/>
      </w:pPr>
      <w:r>
        <w:t>Before</w:t>
      </w:r>
    </w:p>
    <w:p>
      <w:r>
        <w:t>A SaaS company wants an agent to “handle escalations.” Support, engineering, and customer success each use a different severity definition. Enterprise customers bypass the queue by emailing account executives. The documented SLA starts when a ticket is created, but the actual timer begins when a support lead notices the message.</w:t>
      </w:r>
    </w:p>
    <w:p>
      <w:r>
        <w:t>A quick automation would route by keywords and risk sending contract, security, or outage cases to the wrong team.</w:t>
      </w:r>
    </w:p>
    <w:p>
      <w:pPr>
        <w:pStyle w:val="Heading3"/>
      </w:pPr>
      <w:r>
        <w:t>Skill flow</w:t>
      </w:r>
    </w:p>
    <w:p>
      <w:pPr>
        <w:pStyle w:val="ListBullet"/>
      </w:pPr>
      <w:r>
        <w:t>The interview skill asks who may declare severity, what contractual tiers exist, what evidence confirms an outage, how VIP exceptions work, and what happens after a false escalation.</w:t>
      </w:r>
    </w:p>
    <w:p>
      <w:pPr>
        <w:pStyle w:val="ListBullet"/>
      </w:pPr>
      <w:r>
        <w:t>Knowledge capture defines incident, escalation, severity, customer impact, and ownership; it opens contradictions across the three severity policies.</w:t>
      </w:r>
    </w:p>
    <w:p>
      <w:pPr>
        <w:pStyle w:val="ListBullet"/>
      </w:pPr>
      <w:r>
        <w:t>Process reengineering eliminates duplicate intake and creates a deterministic contract/customer lookup.</w:t>
      </w:r>
    </w:p>
    <w:p>
      <w:pPr>
        <w:pStyle w:val="ListBullet"/>
      </w:pPr>
      <w:r>
        <w:t>AI summarizes evidence and recommends severity; a support lead confirms high-impact cases.</w:t>
      </w:r>
    </w:p>
    <w:p>
      <w:pPr>
        <w:pStyle w:val="ListBullet"/>
      </w:pPr>
      <w:r>
        <w:t>Delivery planning requires recall/precision evaluation by class, negative security tests, SLA timer semantics, and a fallback manual queue.</w:t>
      </w:r>
    </w:p>
    <w:p>
      <w:pPr>
        <w:pStyle w:val="ListBullet"/>
      </w:pPr>
      <w:r>
        <w:t>Change control governs new customer tiers and routing rules after release.</w:t>
      </w:r>
    </w:p>
    <w:p>
      <w:pPr>
        <w:pStyle w:val="Heading3"/>
      </w:pPr>
      <w:r>
        <w:t>Before and after</w:t>
      </w:r>
    </w:p>
    <w:tbl>
      <w:tblPr>
        <w:tblStyle w:val="TableGrid"/>
        <w:tblW w:type="dxa" w:w="9360"/>
        <w:jc w:val="left"/>
        <w:tblLayout w:type="fixed"/>
        <w:tblLook w:firstColumn="1" w:firstRow="1" w:lastColumn="0" w:lastRow="0" w:noHBand="0" w:noVBand="1" w:val="04A0"/>
        <w:tblInd w:w="120" w:type="dxa"/>
      </w:tblPr>
      <w:tblGrid>
        <w:gridCol w:w="3542"/>
        <w:gridCol w:w="5818"/>
      </w:tblGrid>
      <w:tr>
        <w:trPr>
          <w:trHeight w:hRule="auto"/>
          <w:tblHeader w:val="true"/>
          <w:tblHeader w:val="true"/>
        </w:trPr>
        <w:tc>
          <w:tcPr>
            <w:tcW w:type="dxa" w:w="3542"/>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Before</w:t>
            </w:r>
          </w:p>
        </w:tc>
        <w:tc>
          <w:tcPr>
            <w:tcW w:type="dxa" w:w="5818"/>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After</w:t>
            </w:r>
          </w:p>
        </w:tc>
      </w:tr>
      <w:tr>
        <w:trPr>
          <w:trHeight w:hRule="auto"/>
        </w:trPr>
        <w:tc>
          <w:tcPr>
            <w:tcW w:type="dxa" w:w="3542"/>
            <w:tcMar>
              <w:top w:w="80" w:type="dxa"/>
              <w:start w:w="120" w:type="dxa"/>
              <w:bottom w:w="80" w:type="dxa"/>
              <w:end w:w="120" w:type="dxa"/>
            </w:tcMar>
            <w:vAlign w:val="center"/>
          </w:tcPr>
          <w:p>
            <w:pPr>
              <w:spacing w:before="0" w:after="40" w:line="252" w:lineRule="auto"/>
            </w:pPr>
            <w:r>
              <w:rPr>
                <w:rFonts w:ascii="Calibri" w:hAnsi="Calibri"/>
                <w:sz w:val="17"/>
              </w:rPr>
              <w:t>Keyword router</w:t>
            </w:r>
          </w:p>
        </w:tc>
        <w:tc>
          <w:tcPr>
            <w:tcW w:type="dxa" w:w="5818"/>
            <w:tcMar>
              <w:top w:w="80" w:type="dxa"/>
              <w:start w:w="120" w:type="dxa"/>
              <w:bottom w:w="80" w:type="dxa"/>
              <w:end w:w="120" w:type="dxa"/>
            </w:tcMar>
            <w:vAlign w:val="center"/>
          </w:tcPr>
          <w:p>
            <w:pPr>
              <w:spacing w:before="0" w:after="40" w:line="252" w:lineRule="auto"/>
            </w:pPr>
            <w:r>
              <w:rPr>
                <w:rFonts w:ascii="Calibri" w:hAnsi="Calibri"/>
                <w:sz w:val="17"/>
              </w:rPr>
              <w:t>Evidence-backed recommendation plus deterministic contract rules</w:t>
            </w:r>
          </w:p>
        </w:tc>
      </w:tr>
      <w:tr>
        <w:trPr>
          <w:trHeight w:hRule="auto"/>
        </w:trPr>
        <w:tc>
          <w:tcPr>
            <w:tcW w:type="dxa" w:w="3542"/>
            <w:tcMar>
              <w:top w:w="80" w:type="dxa"/>
              <w:start w:w="120" w:type="dxa"/>
              <w:bottom w:w="80" w:type="dxa"/>
              <w:end w:w="120" w:type="dxa"/>
            </w:tcMar>
            <w:vAlign w:val="center"/>
          </w:tcPr>
          <w:p>
            <w:pPr>
              <w:spacing w:before="0" w:after="40" w:line="252" w:lineRule="auto"/>
            </w:pPr>
            <w:r>
              <w:rPr>
                <w:rFonts w:ascii="Calibri" w:hAnsi="Calibri"/>
                <w:sz w:val="17"/>
              </w:rPr>
              <w:t>Three severity definitions</w:t>
            </w:r>
          </w:p>
        </w:tc>
        <w:tc>
          <w:tcPr>
            <w:tcW w:type="dxa" w:w="5818"/>
            <w:tcMar>
              <w:top w:w="80" w:type="dxa"/>
              <w:start w:w="120" w:type="dxa"/>
              <w:bottom w:w="80" w:type="dxa"/>
              <w:end w:w="120" w:type="dxa"/>
            </w:tcMar>
            <w:vAlign w:val="center"/>
          </w:tcPr>
          <w:p>
            <w:pPr>
              <w:spacing w:before="0" w:after="40" w:line="252" w:lineRule="auto"/>
            </w:pPr>
            <w:r>
              <w:rPr>
                <w:rFonts w:ascii="Calibri" w:hAnsi="Calibri"/>
                <w:sz w:val="17"/>
              </w:rPr>
              <w:t>Approved glossary and decision</w:t>
            </w:r>
          </w:p>
        </w:tc>
      </w:tr>
      <w:tr>
        <w:trPr>
          <w:trHeight w:hRule="auto"/>
        </w:trPr>
        <w:tc>
          <w:tcPr>
            <w:tcW w:type="dxa" w:w="3542"/>
            <w:tcMar>
              <w:top w:w="80" w:type="dxa"/>
              <w:start w:w="120" w:type="dxa"/>
              <w:bottom w:w="80" w:type="dxa"/>
              <w:end w:w="120" w:type="dxa"/>
            </w:tcMar>
            <w:vAlign w:val="center"/>
          </w:tcPr>
          <w:p>
            <w:pPr>
              <w:spacing w:before="0" w:after="40" w:line="252" w:lineRule="auto"/>
            </w:pPr>
            <w:r>
              <w:rPr>
                <w:rFonts w:ascii="Calibri" w:hAnsi="Calibri"/>
                <w:sz w:val="17"/>
              </w:rPr>
              <w:t>SLA starts implicitly</w:t>
            </w:r>
          </w:p>
        </w:tc>
        <w:tc>
          <w:tcPr>
            <w:tcW w:type="dxa" w:w="5818"/>
            <w:tcMar>
              <w:top w:w="80" w:type="dxa"/>
              <w:start w:w="120" w:type="dxa"/>
              <w:bottom w:w="80" w:type="dxa"/>
              <w:end w:w="120" w:type="dxa"/>
            </w:tcMar>
            <w:vAlign w:val="center"/>
          </w:tcPr>
          <w:p>
            <w:pPr>
              <w:spacing w:before="0" w:after="40" w:line="252" w:lineRule="auto"/>
            </w:pPr>
            <w:r>
              <w:rPr>
                <w:rFonts w:ascii="Calibri" w:hAnsi="Calibri"/>
                <w:sz w:val="17"/>
              </w:rPr>
              <w:t>Explicit event and observable timer</w:t>
            </w:r>
          </w:p>
        </w:tc>
      </w:tr>
      <w:tr>
        <w:trPr>
          <w:trHeight w:hRule="auto"/>
        </w:trPr>
        <w:tc>
          <w:tcPr>
            <w:tcW w:type="dxa" w:w="3542"/>
            <w:tcMar>
              <w:top w:w="80" w:type="dxa"/>
              <w:start w:w="120" w:type="dxa"/>
              <w:bottom w:w="80" w:type="dxa"/>
              <w:end w:w="120" w:type="dxa"/>
            </w:tcMar>
            <w:vAlign w:val="center"/>
          </w:tcPr>
          <w:p>
            <w:pPr>
              <w:spacing w:before="0" w:after="40" w:line="252" w:lineRule="auto"/>
            </w:pPr>
            <w:r>
              <w:rPr>
                <w:rFonts w:ascii="Calibri" w:hAnsi="Calibri"/>
                <w:sz w:val="17"/>
              </w:rPr>
              <w:t>VIP email bypass</w:t>
            </w:r>
          </w:p>
        </w:tc>
        <w:tc>
          <w:tcPr>
            <w:tcW w:type="dxa" w:w="5818"/>
            <w:tcMar>
              <w:top w:w="80" w:type="dxa"/>
              <w:start w:w="120" w:type="dxa"/>
              <w:bottom w:w="80" w:type="dxa"/>
              <w:end w:w="120" w:type="dxa"/>
            </w:tcMar>
            <w:vAlign w:val="center"/>
          </w:tcPr>
          <w:p>
            <w:pPr>
              <w:spacing w:before="0" w:after="40" w:line="252" w:lineRule="auto"/>
            </w:pPr>
            <w:r>
              <w:rPr>
                <w:rFonts w:ascii="Calibri" w:hAnsi="Calibri"/>
                <w:sz w:val="17"/>
              </w:rPr>
              <w:t>Indexed intake and governed exception</w:t>
            </w:r>
          </w:p>
        </w:tc>
      </w:tr>
      <w:tr>
        <w:trPr>
          <w:trHeight w:hRule="auto"/>
        </w:trPr>
        <w:tc>
          <w:tcPr>
            <w:tcW w:type="dxa" w:w="3542"/>
            <w:tcMar>
              <w:top w:w="80" w:type="dxa"/>
              <w:start w:w="120" w:type="dxa"/>
              <w:bottom w:w="80" w:type="dxa"/>
              <w:end w:w="120" w:type="dxa"/>
            </w:tcMar>
            <w:vAlign w:val="center"/>
          </w:tcPr>
          <w:p>
            <w:pPr>
              <w:spacing w:before="0" w:after="40" w:line="252" w:lineRule="auto"/>
            </w:pPr>
            <w:r>
              <w:rPr>
                <w:rFonts w:ascii="Calibri" w:hAnsi="Calibri"/>
                <w:sz w:val="17"/>
              </w:rPr>
              <w:t>No false-escalation recovery</w:t>
            </w:r>
          </w:p>
        </w:tc>
        <w:tc>
          <w:tcPr>
            <w:tcW w:type="dxa" w:w="5818"/>
            <w:tcMar>
              <w:top w:w="80" w:type="dxa"/>
              <w:start w:w="120" w:type="dxa"/>
              <w:bottom w:w="80" w:type="dxa"/>
              <w:end w:w="120" w:type="dxa"/>
            </w:tcMar>
            <w:vAlign w:val="center"/>
          </w:tcPr>
          <w:p>
            <w:pPr>
              <w:spacing w:before="0" w:after="40" w:line="252" w:lineRule="auto"/>
            </w:pPr>
            <w:r>
              <w:rPr>
                <w:rFonts w:ascii="Calibri" w:hAnsi="Calibri"/>
                <w:sz w:val="17"/>
              </w:rPr>
              <w:t>Correction, audit, replay, and manual fallback</w:t>
            </w:r>
          </w:p>
        </w:tc>
      </w:tr>
      <w:tr>
        <w:trPr>
          <w:trHeight w:hRule="auto"/>
        </w:trPr>
        <w:tc>
          <w:tcPr>
            <w:tcW w:type="dxa" w:w="3542"/>
            <w:tcMar>
              <w:top w:w="80" w:type="dxa"/>
              <w:start w:w="120" w:type="dxa"/>
              <w:bottom w:w="80" w:type="dxa"/>
              <w:end w:w="120" w:type="dxa"/>
            </w:tcMar>
            <w:vAlign w:val="center"/>
          </w:tcPr>
          <w:p>
            <w:pPr>
              <w:spacing w:before="0" w:after="40" w:line="252" w:lineRule="auto"/>
            </w:pPr>
            <w:r>
              <w:rPr>
                <w:rFonts w:ascii="Calibri" w:hAnsi="Calibri"/>
                <w:sz w:val="17"/>
              </w:rPr>
              <w:t>“Agent handles escalation”</w:t>
            </w:r>
          </w:p>
        </w:tc>
        <w:tc>
          <w:tcPr>
            <w:tcW w:type="dxa" w:w="5818"/>
            <w:tcMar>
              <w:top w:w="80" w:type="dxa"/>
              <w:start w:w="120" w:type="dxa"/>
              <w:bottom w:w="80" w:type="dxa"/>
              <w:end w:w="120" w:type="dxa"/>
            </w:tcMar>
            <w:vAlign w:val="center"/>
          </w:tcPr>
          <w:p>
            <w:pPr>
              <w:spacing w:before="0" w:after="40" w:line="252" w:lineRule="auto"/>
            </w:pPr>
            <w:r>
              <w:rPr>
                <w:rFonts w:ascii="Calibri" w:hAnsi="Calibri"/>
                <w:sz w:val="17"/>
              </w:rPr>
              <w:t>Human authority retained for severity and external communication</w:t>
            </w:r>
          </w:p>
        </w:tc>
      </w:tr>
    </w:tbl>
    <w:p>
      <w:pPr>
        <w:spacing w:after="40"/>
      </w:pPr>
    </w:p>
    <w:p>
      <w:pPr>
        <w:pStyle w:val="Heading2"/>
      </w:pPr>
      <w:r>
        <w:t>Scenario 3: Enterprise customer onboarding</w:t>
      </w:r>
    </w:p>
    <w:p>
      <w:pPr>
        <w:pStyle w:val="Heading3"/>
      </w:pPr>
      <w:r>
        <w:t>Before</w:t>
      </w:r>
    </w:p>
    <w:p>
      <w:r>
        <w:t>Sales promises a 30-day onboarding. Implementation tracks tasks in a project tool, Security uses a spreadsheet, and the customer sends identity and network details through email. Every onboarding appears unique because terminology, sequencing, and ownership differ.</w:t>
      </w:r>
    </w:p>
    <w:p>
      <w:r>
        <w:t>The temptation is to build an autonomous onboarding agent that chases everyone. The actual problem is unclear prerequisites and inconsistent ownership.</w:t>
      </w:r>
    </w:p>
    <w:p>
      <w:pPr>
        <w:pStyle w:val="Heading3"/>
      </w:pPr>
      <w:r>
        <w:t>Skill flow</w:t>
      </w:r>
    </w:p>
    <w:p>
      <w:pPr>
        <w:pStyle w:val="ListNumber"/>
      </w:pPr>
      <w:r>
        <w:t>Frame the engagement around time-to-first-value and non-negotiable security gates.</w:t>
      </w:r>
    </w:p>
    <w:p>
      <w:pPr>
        <w:pStyle w:val="ListNumber"/>
      </w:pPr>
      <w:r>
        <w:t>Interview Sales, implementation, security, support, and a recently onboarded customer.</w:t>
      </w:r>
    </w:p>
    <w:p>
      <w:pPr>
        <w:pStyle w:val="ListNumber"/>
      </w:pPr>
      <w:r>
        <w:t>Capture product/package terminology, account identities, prerequisites, evidence, and contradictions in promised scope.</w:t>
      </w:r>
    </w:p>
    <w:p>
      <w:pPr>
        <w:pStyle w:val="ListNumber"/>
      </w:pPr>
      <w:r>
        <w:t>Reengineer the work into a dependency-driven plan:</w:t>
      </w:r>
    </w:p>
    <w:p>
      <w:pPr>
        <w:pStyle w:val="ListBullet"/>
      </w:pPr>
      <w:r>
        <w:t>eliminate duplicate intake;</w:t>
      </w:r>
    </w:p>
    <w:p>
      <w:pPr>
        <w:pStyle w:val="ListBullet"/>
      </w:pPr>
      <w:r>
        <w:t>normalize package and environment data;</w:t>
      </w:r>
    </w:p>
    <w:p>
      <w:pPr>
        <w:pStyle w:val="ListBullet"/>
      </w:pPr>
      <w:r>
        <w:t>automate reminders and evidence validation deterministically;</w:t>
      </w:r>
    </w:p>
    <w:p>
      <w:pPr>
        <w:pStyle w:val="ListBullet"/>
      </w:pPr>
      <w:r>
        <w:t>use AI to summarize customer documents and identify likely gaps;</w:t>
      </w:r>
    </w:p>
    <w:p>
      <w:pPr>
        <w:pStyle w:val="ListBullet"/>
      </w:pPr>
      <w:r>
        <w:t>require humans for security acceptance, scope tradeoffs, and customer commitments.</w:t>
      </w:r>
    </w:p>
    <w:p>
      <w:pPr>
        <w:pStyle w:val="ListNumber"/>
      </w:pPr>
      <w:r>
        <w:t>Plan delivery with prerequisite-state tests, access controls, customer-visible UAT, monitoring, and rollback.</w:t>
      </w:r>
    </w:p>
    <w:p>
      <w:pPr>
        <w:pStyle w:val="ListNumber"/>
      </w:pPr>
      <w:r>
        <w:t>Control later scope promises through an attributable change record.</w:t>
      </w:r>
    </w:p>
    <w:p>
      <w:pPr>
        <w:pStyle w:val="Heading3"/>
      </w:pPr>
      <w:r>
        <w:t>Before and after</w:t>
      </w:r>
    </w:p>
    <w:tbl>
      <w:tblPr>
        <w:tblStyle w:val="TableGrid"/>
        <w:tblW w:type="dxa" w:w="9360"/>
        <w:jc w:val="left"/>
        <w:tblLayout w:type="fixed"/>
        <w:tblLook w:firstColumn="1" w:firstRow="1" w:lastColumn="0" w:lastRow="0" w:noHBand="0" w:noVBand="1" w:val="04A0"/>
        <w:tblInd w:w="120" w:type="dxa"/>
      </w:tblPr>
      <w:tblGrid>
        <w:gridCol w:w="4044"/>
        <w:gridCol w:w="5316"/>
      </w:tblGrid>
      <w:tr>
        <w:trPr>
          <w:trHeight w:hRule="auto"/>
          <w:tblHeader w:val="true"/>
          <w:tblHeader w:val="true"/>
        </w:trPr>
        <w:tc>
          <w:tcPr>
            <w:tcW w:type="dxa" w:w="4044"/>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Before</w:t>
            </w:r>
          </w:p>
        </w:tc>
        <w:tc>
          <w:tcPr>
            <w:tcW w:type="dxa" w:w="5316"/>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After</w:t>
            </w:r>
          </w:p>
        </w:tc>
      </w:tr>
      <w:tr>
        <w:trPr>
          <w:trHeight w:hRule="auto"/>
        </w:trPr>
        <w:tc>
          <w:tcPr>
            <w:tcW w:type="dxa" w:w="4044"/>
            <w:tcMar>
              <w:top w:w="80" w:type="dxa"/>
              <w:start w:w="120" w:type="dxa"/>
              <w:bottom w:w="80" w:type="dxa"/>
              <w:end w:w="120" w:type="dxa"/>
            </w:tcMar>
            <w:vAlign w:val="center"/>
          </w:tcPr>
          <w:p>
            <w:pPr>
              <w:spacing w:before="0" w:after="40" w:line="252" w:lineRule="auto"/>
            </w:pPr>
            <w:r>
              <w:rPr>
                <w:rFonts w:ascii="Calibri" w:hAnsi="Calibri"/>
                <w:sz w:val="17"/>
              </w:rPr>
              <w:t>Every onboarding treated as bespoke</w:t>
            </w:r>
          </w:p>
        </w:tc>
        <w:tc>
          <w:tcPr>
            <w:tcW w:type="dxa" w:w="5316"/>
            <w:tcMar>
              <w:top w:w="80" w:type="dxa"/>
              <w:start w:w="120" w:type="dxa"/>
              <w:bottom w:w="80" w:type="dxa"/>
              <w:end w:w="120" w:type="dxa"/>
            </w:tcMar>
            <w:vAlign w:val="center"/>
          </w:tcPr>
          <w:p>
            <w:pPr>
              <w:spacing w:before="0" w:after="40" w:line="252" w:lineRule="auto"/>
            </w:pPr>
            <w:r>
              <w:rPr>
                <w:rFonts w:ascii="Calibri" w:hAnsi="Calibri"/>
                <w:sz w:val="17"/>
              </w:rPr>
              <w:t>Stable dependency model with explicit variants</w:t>
            </w:r>
          </w:p>
        </w:tc>
      </w:tr>
      <w:tr>
        <w:trPr>
          <w:trHeight w:hRule="auto"/>
        </w:trPr>
        <w:tc>
          <w:tcPr>
            <w:tcW w:type="dxa" w:w="4044"/>
            <w:tcMar>
              <w:top w:w="80" w:type="dxa"/>
              <w:start w:w="120" w:type="dxa"/>
              <w:bottom w:w="80" w:type="dxa"/>
              <w:end w:w="120" w:type="dxa"/>
            </w:tcMar>
            <w:vAlign w:val="center"/>
          </w:tcPr>
          <w:p>
            <w:pPr>
              <w:spacing w:before="0" w:after="40" w:line="252" w:lineRule="auto"/>
            </w:pPr>
            <w:r>
              <w:rPr>
                <w:rFonts w:ascii="Calibri" w:hAnsi="Calibri"/>
                <w:sz w:val="17"/>
              </w:rPr>
              <w:t>Sales promise becomes delivery fact</w:t>
            </w:r>
          </w:p>
        </w:tc>
        <w:tc>
          <w:tcPr>
            <w:tcW w:type="dxa" w:w="5316"/>
            <w:tcMar>
              <w:top w:w="80" w:type="dxa"/>
              <w:start w:w="120" w:type="dxa"/>
              <w:bottom w:w="80" w:type="dxa"/>
              <w:end w:w="120" w:type="dxa"/>
            </w:tcMar>
            <w:vAlign w:val="center"/>
          </w:tcPr>
          <w:p>
            <w:pPr>
              <w:spacing w:before="0" w:after="40" w:line="252" w:lineRule="auto"/>
            </w:pPr>
            <w:r>
              <w:rPr>
                <w:rFonts w:ascii="Calibri" w:hAnsi="Calibri"/>
                <w:sz w:val="17"/>
              </w:rPr>
              <w:t>Promise is evidence; authorized baseline is a decision</w:t>
            </w:r>
          </w:p>
        </w:tc>
      </w:tr>
      <w:tr>
        <w:trPr>
          <w:trHeight w:hRule="auto"/>
        </w:trPr>
        <w:tc>
          <w:tcPr>
            <w:tcW w:type="dxa" w:w="4044"/>
            <w:tcMar>
              <w:top w:w="80" w:type="dxa"/>
              <w:start w:w="120" w:type="dxa"/>
              <w:bottom w:w="80" w:type="dxa"/>
              <w:end w:w="120" w:type="dxa"/>
            </w:tcMar>
            <w:vAlign w:val="center"/>
          </w:tcPr>
          <w:p>
            <w:pPr>
              <w:spacing w:before="0" w:after="40" w:line="252" w:lineRule="auto"/>
            </w:pPr>
            <w:r>
              <w:rPr>
                <w:rFonts w:ascii="Calibri" w:hAnsi="Calibri"/>
                <w:sz w:val="17"/>
              </w:rPr>
              <w:t>Sensitive data in ad hoc email</w:t>
            </w:r>
          </w:p>
        </w:tc>
        <w:tc>
          <w:tcPr>
            <w:tcW w:type="dxa" w:w="5316"/>
            <w:tcMar>
              <w:top w:w="80" w:type="dxa"/>
              <w:start w:w="120" w:type="dxa"/>
              <w:bottom w:w="80" w:type="dxa"/>
              <w:end w:w="120" w:type="dxa"/>
            </w:tcMar>
            <w:vAlign w:val="center"/>
          </w:tcPr>
          <w:p>
            <w:pPr>
              <w:spacing w:before="0" w:after="40" w:line="252" w:lineRule="auto"/>
            </w:pPr>
            <w:r>
              <w:rPr>
                <w:rFonts w:ascii="Calibri" w:hAnsi="Calibri"/>
                <w:sz w:val="17"/>
              </w:rPr>
              <w:t>Approved intake and retention boundary</w:t>
            </w:r>
          </w:p>
        </w:tc>
      </w:tr>
      <w:tr>
        <w:trPr>
          <w:trHeight w:hRule="auto"/>
        </w:trPr>
        <w:tc>
          <w:tcPr>
            <w:tcW w:type="dxa" w:w="4044"/>
            <w:tcMar>
              <w:top w:w="80" w:type="dxa"/>
              <w:start w:w="120" w:type="dxa"/>
              <w:bottom w:w="80" w:type="dxa"/>
              <w:end w:w="120" w:type="dxa"/>
            </w:tcMar>
            <w:vAlign w:val="center"/>
          </w:tcPr>
          <w:p>
            <w:pPr>
              <w:spacing w:before="0" w:after="40" w:line="252" w:lineRule="auto"/>
            </w:pPr>
            <w:r>
              <w:rPr>
                <w:rFonts w:ascii="Calibri" w:hAnsi="Calibri"/>
                <w:sz w:val="17"/>
              </w:rPr>
              <w:t>Manual chasing</w:t>
            </w:r>
          </w:p>
        </w:tc>
        <w:tc>
          <w:tcPr>
            <w:tcW w:type="dxa" w:w="5316"/>
            <w:tcMar>
              <w:top w:w="80" w:type="dxa"/>
              <w:start w:w="120" w:type="dxa"/>
              <w:bottom w:w="80" w:type="dxa"/>
              <w:end w:w="120" w:type="dxa"/>
            </w:tcMar>
            <w:vAlign w:val="center"/>
          </w:tcPr>
          <w:p>
            <w:pPr>
              <w:spacing w:before="0" w:after="40" w:line="252" w:lineRule="auto"/>
            </w:pPr>
            <w:r>
              <w:rPr>
                <w:rFonts w:ascii="Calibri" w:hAnsi="Calibri"/>
                <w:sz w:val="17"/>
              </w:rPr>
              <w:t>Deterministic reminders tied to named dependencies</w:t>
            </w:r>
          </w:p>
        </w:tc>
      </w:tr>
      <w:tr>
        <w:trPr>
          <w:trHeight w:hRule="auto"/>
        </w:trPr>
        <w:tc>
          <w:tcPr>
            <w:tcW w:type="dxa" w:w="4044"/>
            <w:tcMar>
              <w:top w:w="80" w:type="dxa"/>
              <w:start w:w="120" w:type="dxa"/>
              <w:bottom w:w="80" w:type="dxa"/>
              <w:end w:w="120" w:type="dxa"/>
            </w:tcMar>
            <w:vAlign w:val="center"/>
          </w:tcPr>
          <w:p>
            <w:pPr>
              <w:spacing w:before="0" w:after="40" w:line="252" w:lineRule="auto"/>
            </w:pPr>
            <w:r>
              <w:rPr>
                <w:rFonts w:ascii="Calibri" w:hAnsi="Calibri"/>
                <w:sz w:val="17"/>
              </w:rPr>
              <w:t>AI “owns onboarding”</w:t>
            </w:r>
          </w:p>
        </w:tc>
        <w:tc>
          <w:tcPr>
            <w:tcW w:type="dxa" w:w="5316"/>
            <w:tcMar>
              <w:top w:w="80" w:type="dxa"/>
              <w:start w:w="120" w:type="dxa"/>
              <w:bottom w:w="80" w:type="dxa"/>
              <w:end w:w="120" w:type="dxa"/>
            </w:tcMar>
            <w:vAlign w:val="center"/>
          </w:tcPr>
          <w:p>
            <w:pPr>
              <w:spacing w:before="0" w:after="40" w:line="252" w:lineRule="auto"/>
            </w:pPr>
            <w:r>
              <w:rPr>
                <w:rFonts w:ascii="Calibri" w:hAnsi="Calibri"/>
                <w:sz w:val="17"/>
              </w:rPr>
              <w:t>AI summarizes; humans own commitments and security</w:t>
            </w:r>
          </w:p>
        </w:tc>
      </w:tr>
      <w:tr>
        <w:trPr>
          <w:trHeight w:hRule="auto"/>
        </w:trPr>
        <w:tc>
          <w:tcPr>
            <w:tcW w:type="dxa" w:w="4044"/>
            <w:tcMar>
              <w:top w:w="80" w:type="dxa"/>
              <w:start w:w="120" w:type="dxa"/>
              <w:bottom w:w="80" w:type="dxa"/>
              <w:end w:w="120" w:type="dxa"/>
            </w:tcMar>
            <w:vAlign w:val="center"/>
          </w:tcPr>
          <w:p>
            <w:pPr>
              <w:spacing w:before="0" w:after="40" w:line="252" w:lineRule="auto"/>
            </w:pPr>
            <w:r>
              <w:rPr>
                <w:rFonts w:ascii="Calibri" w:hAnsi="Calibri"/>
                <w:sz w:val="17"/>
              </w:rPr>
              <w:t>Status reconstructed in meetings</w:t>
            </w:r>
          </w:p>
        </w:tc>
        <w:tc>
          <w:tcPr>
            <w:tcW w:type="dxa" w:w="5316"/>
            <w:tcMar>
              <w:top w:w="80" w:type="dxa"/>
              <w:start w:w="120" w:type="dxa"/>
              <w:bottom w:w="80" w:type="dxa"/>
              <w:end w:w="120" w:type="dxa"/>
            </w:tcMar>
            <w:vAlign w:val="center"/>
          </w:tcPr>
          <w:p>
            <w:pPr>
              <w:spacing w:before="0" w:after="40" w:line="252" w:lineRule="auto"/>
            </w:pPr>
            <w:r>
              <w:rPr>
                <w:rFonts w:ascii="Calibri" w:hAnsi="Calibri"/>
                <w:sz w:val="17"/>
              </w:rPr>
              <w:t>Durable stage, blockers, owners, and next action</w:t>
            </w:r>
          </w:p>
        </w:tc>
      </w:tr>
    </w:tbl>
    <w:p>
      <w:pPr>
        <w:spacing w:after="40"/>
      </w:pPr>
    </w:p>
    <w:p>
      <w:pPr>
        <w:pStyle w:val="Heading2"/>
      </w:pPr>
      <w:r>
        <w:t>Scenario 4: Finance reconciliation workflow</w:t>
      </w:r>
    </w:p>
    <w:p>
      <w:pPr>
        <w:pStyle w:val="Heading3"/>
      </w:pPr>
      <w:r>
        <w:t>Before</w:t>
      </w:r>
    </w:p>
    <w:p>
      <w:r>
        <w:t>A reconciliation team copies files from three banks, matches transactions in spreadsheets, and sends unexplained items to “Chris.” The close calendar requires completion by day three, but nobody agrees whether pending bank corrections count as complete.</w:t>
      </w:r>
    </w:p>
    <w:p>
      <w:r>
        <w:t>A developer proposes automating the spreadsheet and adding an LLM for unmatched rows.</w:t>
      </w:r>
    </w:p>
    <w:p>
      <w:pPr>
        <w:pStyle w:val="Heading3"/>
      </w:pPr>
      <w:r>
        <w:t>Skill flow</w:t>
      </w:r>
    </w:p>
    <w:p>
      <w:pPr>
        <w:pStyle w:val="ListBullet"/>
      </w:pPr>
      <w:r>
        <w:t>Capture the completion definition and identify “Chris” through a deterministic role or account identity.</w:t>
      </w:r>
    </w:p>
    <w:p>
      <w:pPr>
        <w:pStyle w:val="ListBullet"/>
      </w:pPr>
      <w:r>
        <w:t>Map file timing, formats, duplicate deliveries, match rules, thresholds, close controls, and unresolved-item escalation.</w:t>
      </w:r>
    </w:p>
    <w:p>
      <w:pPr>
        <w:pStyle w:val="ListBullet"/>
      </w:pPr>
      <w:r>
        <w:t>Separate deterministic matching from judgment:</w:t>
      </w:r>
    </w:p>
    <w:p>
      <w:pPr>
        <w:pStyle w:val="ListBullet"/>
      </w:pPr>
      <w:r>
        <w:t>file retrieval and schema validation: deterministic;</w:t>
      </w:r>
    </w:p>
    <w:p>
      <w:pPr>
        <w:pStyle w:val="ListBullet"/>
      </w:pPr>
      <w:r>
        <w:t>exact/fuzzy match within approved bounds: rules;</w:t>
      </w:r>
    </w:p>
    <w:p>
      <w:pPr>
        <w:pStyle w:val="ListBullet"/>
      </w:pPr>
      <w:r>
        <w:t>narrative explanation draft: AI;</w:t>
      </w:r>
    </w:p>
    <w:p>
      <w:pPr>
        <w:pStyle w:val="ListBullet"/>
      </w:pPr>
      <w:r>
        <w:t>write-off, materiality, and close sign-off: human authority.</w:t>
      </w:r>
    </w:p>
    <w:p>
      <w:pPr>
        <w:pStyle w:val="ListBullet"/>
      </w:pPr>
      <w:r>
        <w:t>Trace every materiality/control requirement to negative tests and release evidence.</w:t>
      </w:r>
    </w:p>
    <w:p>
      <w:pPr>
        <w:pStyle w:val="ListBullet"/>
      </w:pPr>
      <w:r>
        <w:t>Measure close timing and rework after release rather than claiming savings from the plan.</w:t>
      </w:r>
    </w:p>
    <w:p>
      <w:pPr>
        <w:pStyle w:val="Heading3"/>
      </w:pPr>
      <w:r>
        <w:t>Before and after</w:t>
      </w:r>
    </w:p>
    <w:tbl>
      <w:tblPr>
        <w:tblStyle w:val="TableGrid"/>
        <w:tblW w:type="dxa" w:w="9360"/>
        <w:jc w:val="left"/>
        <w:tblLayout w:type="fixed"/>
        <w:tblLook w:firstColumn="1" w:firstRow="1" w:lastColumn="0" w:lastRow="0" w:noHBand="0" w:noVBand="1" w:val="04A0"/>
        <w:tblInd w:w="120" w:type="dxa"/>
      </w:tblPr>
      <w:tblGrid>
        <w:gridCol w:w="4411"/>
        <w:gridCol w:w="4949"/>
      </w:tblGrid>
      <w:tr>
        <w:trPr>
          <w:trHeight w:hRule="auto"/>
          <w:tblHeader w:val="true"/>
          <w:tblHeader w:val="true"/>
        </w:trPr>
        <w:tc>
          <w:tcPr>
            <w:tcW w:type="dxa" w:w="4411"/>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Before</w:t>
            </w:r>
          </w:p>
        </w:tc>
        <w:tc>
          <w:tcPr>
            <w:tcW w:type="dxa" w:w="4949"/>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After</w:t>
            </w:r>
          </w:p>
        </w:tc>
      </w:tr>
      <w:tr>
        <w:trPr>
          <w:trHeight w:hRule="auto"/>
        </w:trPr>
        <w:tc>
          <w:tcPr>
            <w:tcW w:type="dxa" w:w="4411"/>
            <w:tcMar>
              <w:top w:w="80" w:type="dxa"/>
              <w:start w:w="120" w:type="dxa"/>
              <w:bottom w:w="80" w:type="dxa"/>
              <w:end w:w="120" w:type="dxa"/>
            </w:tcMar>
            <w:vAlign w:val="center"/>
          </w:tcPr>
          <w:p>
            <w:pPr>
              <w:spacing w:before="0" w:after="40" w:line="252" w:lineRule="auto"/>
            </w:pPr>
            <w:r>
              <w:rPr>
                <w:rFonts w:ascii="Calibri" w:hAnsi="Calibri"/>
                <w:sz w:val="17"/>
              </w:rPr>
              <w:t>“Chris handles exceptions”</w:t>
            </w:r>
          </w:p>
        </w:tc>
        <w:tc>
          <w:tcPr>
            <w:tcW w:type="dxa" w:w="4949"/>
            <w:tcMar>
              <w:top w:w="80" w:type="dxa"/>
              <w:start w:w="120" w:type="dxa"/>
              <w:bottom w:w="80" w:type="dxa"/>
              <w:end w:w="120" w:type="dxa"/>
            </w:tcMar>
            <w:vAlign w:val="center"/>
          </w:tcPr>
          <w:p>
            <w:pPr>
              <w:spacing w:before="0" w:after="40" w:line="252" w:lineRule="auto"/>
            </w:pPr>
            <w:r>
              <w:rPr>
                <w:rFonts w:ascii="Calibri" w:hAnsi="Calibri"/>
                <w:sz w:val="17"/>
              </w:rPr>
              <w:t>Named role, authority, escalation, and backup</w:t>
            </w:r>
          </w:p>
        </w:tc>
      </w:tr>
      <w:tr>
        <w:trPr>
          <w:trHeight w:hRule="auto"/>
        </w:trPr>
        <w:tc>
          <w:tcPr>
            <w:tcW w:type="dxa" w:w="4411"/>
            <w:tcMar>
              <w:top w:w="80" w:type="dxa"/>
              <w:start w:w="120" w:type="dxa"/>
              <w:bottom w:w="80" w:type="dxa"/>
              <w:end w:w="120" w:type="dxa"/>
            </w:tcMar>
            <w:vAlign w:val="center"/>
          </w:tcPr>
          <w:p>
            <w:pPr>
              <w:spacing w:before="0" w:after="40" w:line="252" w:lineRule="auto"/>
            </w:pPr>
            <w:r>
              <w:rPr>
                <w:rFonts w:ascii="Calibri" w:hAnsi="Calibri"/>
                <w:sz w:val="17"/>
              </w:rPr>
              <w:t>Spreadsheet is both workflow and evidence</w:t>
            </w:r>
          </w:p>
        </w:tc>
        <w:tc>
          <w:tcPr>
            <w:tcW w:type="dxa" w:w="4949"/>
            <w:tcMar>
              <w:top w:w="80" w:type="dxa"/>
              <w:start w:w="120" w:type="dxa"/>
              <w:bottom w:w="80" w:type="dxa"/>
              <w:end w:w="120" w:type="dxa"/>
            </w:tcMar>
            <w:vAlign w:val="center"/>
          </w:tcPr>
          <w:p>
            <w:pPr>
              <w:spacing w:before="0" w:after="40" w:line="252" w:lineRule="auto"/>
            </w:pPr>
            <w:r>
              <w:rPr>
                <w:rFonts w:ascii="Calibri" w:hAnsi="Calibri"/>
                <w:sz w:val="17"/>
              </w:rPr>
              <w:t>Controlled workflow plus auditable evidence</w:t>
            </w:r>
          </w:p>
        </w:tc>
      </w:tr>
      <w:tr>
        <w:trPr>
          <w:trHeight w:hRule="auto"/>
        </w:trPr>
        <w:tc>
          <w:tcPr>
            <w:tcW w:type="dxa" w:w="4411"/>
            <w:tcMar>
              <w:top w:w="80" w:type="dxa"/>
              <w:start w:w="120" w:type="dxa"/>
              <w:bottom w:w="80" w:type="dxa"/>
              <w:end w:w="120" w:type="dxa"/>
            </w:tcMar>
            <w:vAlign w:val="center"/>
          </w:tcPr>
          <w:p>
            <w:pPr>
              <w:spacing w:before="0" w:after="40" w:line="252" w:lineRule="auto"/>
            </w:pPr>
            <w:r>
              <w:rPr>
                <w:rFonts w:ascii="Calibri" w:hAnsi="Calibri"/>
                <w:sz w:val="17"/>
              </w:rPr>
              <w:t>Undefined “complete”</w:t>
            </w:r>
          </w:p>
        </w:tc>
        <w:tc>
          <w:tcPr>
            <w:tcW w:type="dxa" w:w="4949"/>
            <w:tcMar>
              <w:top w:w="80" w:type="dxa"/>
              <w:start w:w="120" w:type="dxa"/>
              <w:bottom w:w="80" w:type="dxa"/>
              <w:end w:w="120" w:type="dxa"/>
            </w:tcMar>
            <w:vAlign w:val="center"/>
          </w:tcPr>
          <w:p>
            <w:pPr>
              <w:spacing w:before="0" w:after="40" w:line="252" w:lineRule="auto"/>
            </w:pPr>
            <w:r>
              <w:rPr>
                <w:rFonts w:ascii="Calibri" w:hAnsi="Calibri"/>
                <w:sz w:val="17"/>
              </w:rPr>
              <w:t>Approved end condition</w:t>
            </w:r>
          </w:p>
        </w:tc>
      </w:tr>
      <w:tr>
        <w:trPr>
          <w:trHeight w:hRule="auto"/>
        </w:trPr>
        <w:tc>
          <w:tcPr>
            <w:tcW w:type="dxa" w:w="4411"/>
            <w:tcMar>
              <w:top w:w="80" w:type="dxa"/>
              <w:start w:w="120" w:type="dxa"/>
              <w:bottom w:w="80" w:type="dxa"/>
              <w:end w:w="120" w:type="dxa"/>
            </w:tcMar>
            <w:vAlign w:val="center"/>
          </w:tcPr>
          <w:p>
            <w:pPr>
              <w:spacing w:before="0" w:after="40" w:line="252" w:lineRule="auto"/>
            </w:pPr>
            <w:r>
              <w:rPr>
                <w:rFonts w:ascii="Calibri" w:hAnsi="Calibri"/>
                <w:sz w:val="17"/>
              </w:rPr>
              <w:t>LLM proposed for matching</w:t>
            </w:r>
          </w:p>
        </w:tc>
        <w:tc>
          <w:tcPr>
            <w:tcW w:type="dxa" w:w="4949"/>
            <w:tcMar>
              <w:top w:w="80" w:type="dxa"/>
              <w:start w:w="120" w:type="dxa"/>
              <w:bottom w:w="80" w:type="dxa"/>
              <w:end w:w="120" w:type="dxa"/>
            </w:tcMar>
            <w:vAlign w:val="center"/>
          </w:tcPr>
          <w:p>
            <w:pPr>
              <w:spacing w:before="0" w:after="40" w:line="252" w:lineRule="auto"/>
            </w:pPr>
            <w:r>
              <w:rPr>
                <w:rFonts w:ascii="Calibri" w:hAnsi="Calibri"/>
                <w:sz w:val="17"/>
              </w:rPr>
              <w:t>Deterministic rules first; AI limited to explanation</w:t>
            </w:r>
          </w:p>
        </w:tc>
      </w:tr>
      <w:tr>
        <w:trPr>
          <w:trHeight w:hRule="auto"/>
        </w:trPr>
        <w:tc>
          <w:tcPr>
            <w:tcW w:type="dxa" w:w="4411"/>
            <w:tcMar>
              <w:top w:w="80" w:type="dxa"/>
              <w:start w:w="120" w:type="dxa"/>
              <w:bottom w:w="80" w:type="dxa"/>
              <w:end w:w="120" w:type="dxa"/>
            </w:tcMar>
            <w:vAlign w:val="center"/>
          </w:tcPr>
          <w:p>
            <w:pPr>
              <w:spacing w:before="0" w:after="40" w:line="252" w:lineRule="auto"/>
            </w:pPr>
            <w:r>
              <w:rPr>
                <w:rFonts w:ascii="Calibri" w:hAnsi="Calibri"/>
                <w:sz w:val="17"/>
              </w:rPr>
              <w:t>Close-risk discovered late</w:t>
            </w:r>
          </w:p>
        </w:tc>
        <w:tc>
          <w:tcPr>
            <w:tcW w:type="dxa" w:w="4949"/>
            <w:tcMar>
              <w:top w:w="80" w:type="dxa"/>
              <w:start w:w="120" w:type="dxa"/>
              <w:bottom w:w="80" w:type="dxa"/>
              <w:end w:w="120" w:type="dxa"/>
            </w:tcMar>
            <w:vAlign w:val="center"/>
          </w:tcPr>
          <w:p>
            <w:pPr>
              <w:spacing w:before="0" w:after="40" w:line="252" w:lineRule="auto"/>
            </w:pPr>
            <w:r>
              <w:rPr>
                <w:rFonts w:ascii="Calibri" w:hAnsi="Calibri"/>
                <w:sz w:val="17"/>
              </w:rPr>
              <w:t>Control tests and rollback planned before build</w:t>
            </w:r>
          </w:p>
        </w:tc>
      </w:tr>
    </w:tbl>
    <w:p>
      <w:pPr>
        <w:spacing w:after="40"/>
      </w:pPr>
    </w:p>
    <w:p>
      <w:pPr>
        <w:pStyle w:val="Heading2"/>
      </w:pPr>
      <w:r>
        <w:t>Scenario 5: Post-release routing change</w:t>
      </w:r>
    </w:p>
    <w:p>
      <w:pPr>
        <w:pStyle w:val="Heading3"/>
      </w:pPr>
      <w:r>
        <w:t>Before</w:t>
      </w:r>
    </w:p>
    <w:p>
      <w:r>
        <w:t>A customer emails: “Please send QC reports to the new operations mailbox starting tomorrow.” The requester is known, and the change looks small. An autonomous agent could edit configuration and reply “done.”</w:t>
      </w:r>
    </w:p>
    <w:p>
      <w:r>
        <w:t>The email omits whether the new mailbox is authorized for the data, who monitors it, how historical reports are handled, what test proves success, and how to recover if delivery fails.</w:t>
      </w:r>
    </w:p>
    <w:p>
      <w:pPr>
        <w:pStyle w:val="Heading3"/>
      </w:pPr>
      <w:r>
        <w:t>With fde-control-change</w:t>
      </w:r>
    </w:p>
    <w:p>
      <w:r>
        <w:t>The skill:</w:t>
      </w:r>
    </w:p>
    <w:p>
      <w:pPr>
        <w:pStyle w:val="ListNumber"/>
      </w:pPr>
      <w:r>
        <w:t>creates a stable change ID;</w:t>
      </w:r>
    </w:p>
    <w:p>
      <w:pPr>
        <w:pStyle w:val="ListNumber"/>
      </w:pPr>
      <w:r>
        <w:t>records the request and verifies authority for analysis;</w:t>
      </w:r>
    </w:p>
    <w:p>
      <w:pPr>
        <w:pStyle w:val="ListNumber"/>
      </w:pPr>
      <w:r>
        <w:t>compares it to the approved baseline;</w:t>
      </w:r>
    </w:p>
    <w:p>
      <w:pPr>
        <w:pStyle w:val="ListNumber"/>
      </w:pPr>
      <w:r>
        <w:t>finds affected process steps, access controls, requirements, configuration, tests, monitoring, and runbook;</w:t>
      </w:r>
    </w:p>
    <w:p>
      <w:pPr>
        <w:pStyle w:val="ListNumber"/>
      </w:pPr>
      <w:r>
        <w:t>proposes an exact configuration patch;</w:t>
      </w:r>
    </w:p>
    <w:p>
      <w:pPr>
        <w:pStyle w:val="ListNumber"/>
      </w:pPr>
      <w:r>
        <w:t>defines canary, reconciliation, alert, and rollback;</w:t>
      </w:r>
    </w:p>
    <w:p>
      <w:pPr>
        <w:pStyle w:val="ListNumber"/>
      </w:pPr>
      <w:r>
        <w:t>obtains data-owner, process-owner, UAT, and release approval as required;</w:t>
      </w:r>
    </w:p>
    <w:p>
      <w:pPr>
        <w:pStyle w:val="ListNumber"/>
      </w:pPr>
      <w:r>
        <w:t>reconciles actual state after deployment before closing.</w:t>
      </w:r>
    </w:p>
    <w:p>
      <w:pPr>
        <w:pStyle w:val="Heading3"/>
      </w:pPr>
      <w:r>
        <w:t>After</w:t>
      </w:r>
    </w:p>
    <w:p>
      <w:r>
        <w:t>The change may still be simple, but it is no longer invisible. “Small” refers to code size, not operational risk.</w:t>
      </w:r>
    </w:p>
    <w:p>
      <w:pPr>
        <w:pStyle w:val="Heading2"/>
      </w:pPr>
      <w:r>
        <w:t>Cross-scenario lesson</w:t>
      </w:r>
    </w:p>
    <w:p>
      <w:r>
        <w:t>The suite's main impact is not producing more documents. It is producing better decisions:</w:t>
      </w:r>
    </w:p>
    <w:p>
      <w:pPr>
        <w:pStyle w:val="ListBullet"/>
      </w:pPr>
      <w:r>
        <w:t>which facts are reliable;</w:t>
      </w:r>
    </w:p>
    <w:p>
      <w:pPr>
        <w:pStyle w:val="ListBullet"/>
      </w:pPr>
      <w:r>
        <w:t>which contradictions matter;</w:t>
      </w:r>
    </w:p>
    <w:p>
      <w:pPr>
        <w:pStyle w:val="ListBullet"/>
      </w:pPr>
      <w:r>
        <w:t>which process is actually being changed;</w:t>
      </w:r>
    </w:p>
    <w:p>
      <w:pPr>
        <w:pStyle w:val="ListBullet"/>
      </w:pPr>
      <w:r>
        <w:t>which mechanism belongs at each step;</w:t>
      </w:r>
    </w:p>
    <w:p>
      <w:pPr>
        <w:pStyle w:val="ListBullet"/>
      </w:pPr>
      <w:r>
        <w:t>which human retains authority;</w:t>
      </w:r>
    </w:p>
    <w:p>
      <w:pPr>
        <w:pStyle w:val="ListBullet"/>
      </w:pPr>
      <w:r>
        <w:t>which evidence is required to build, test, release, operate, and change safely.</w:t>
      </w:r>
    </w:p>
    <w:p>
      <w:r>
        <w:t>That decision quality is what lets a small FDE team go deeper into customers without scaling coordination work linearly.</w:t>
      </w:r>
    </w:p>
    <w:p>
      <w:r>
        <w:br w:type="page"/>
      </w:r>
    </w:p>
    <w:p>
      <w:pPr>
        <w:pStyle w:val="Heading1"/>
      </w:pPr>
      <w:r>
        <w:t>Part IV — Worked example overview</w:t>
      </w:r>
    </w:p>
    <w:p>
      <w:pPr>
        <w:spacing w:after="200"/>
      </w:pPr>
      <w:r>
        <w:rPr>
          <w:rFonts w:ascii="Calibri" w:hAnsi="Calibri"/>
          <w:b/>
          <w:color w:val="667085"/>
          <w:sz w:val="17"/>
        </w:rPr>
        <w:t xml:space="preserve">Maintained source: </w:t>
      </w:r>
      <w:r>
        <w:rPr>
          <w:rFonts w:ascii="Calibri" w:hAnsi="Calibri"/>
          <w:color w:val="667085"/>
          <w:sz w:val="17"/>
        </w:rPr>
        <w:t>examples/northstar-ap-transformation/README.md</w:t>
      </w:r>
    </w:p>
    <w:p>
      <w:r>
        <w:t>This is a fully synthetic engagement used to demonstrate all six FDE skills. Northstar Manufacturing, its people, systems, email addresses, volumes, measurements, and outcomes are fictional. Nothing here represents observed production results.</w:t>
      </w:r>
    </w:p>
    <w:p>
      <w:pPr>
        <w:pStyle w:val="Heading2"/>
      </w:pPr>
      <w:r>
        <w:t>Scenario</w:t>
      </w:r>
    </w:p>
    <w:p>
      <w:r>
        <w:t>Northstar's accounts-payable team handles 1,200 invoices per month. Eighteen percent enter an exception path, creating an average 6.2-business-day exception cycle, 28 hours of weekly manual triage, and repeated routing disputes. The engagement asks whether AI and automation can shorten the cycle without weakening payment controls or replacing the existing ERP.</w:t>
      </w:r>
    </w:p>
    <w:p>
      <w:pPr>
        <w:pStyle w:val="Heading2"/>
      </w:pPr>
      <w:r>
        <w:t>Evidence supplied</w:t>
      </w:r>
    </w:p>
    <w:p>
      <w:pPr>
        <w:pStyle w:val="ListBullet"/>
      </w:pPr>
      <w:hyperlink r:id="rId12">
        <w:r>
          <w:rPr>
            <w:color w:val="2E74B5"/>
            <w:u w:val="single"/>
          </w:rPr>
          <w:t>Current SOP</w:t>
        </w:r>
      </w:hyperlink>
    </w:p>
    <w:p>
      <w:pPr>
        <w:pStyle w:val="ListBullet"/>
      </w:pPr>
      <w:hyperlink r:id="rId13">
        <w:r>
          <w:rPr>
            <w:color w:val="2E74B5"/>
            <w:u w:val="single"/>
          </w:rPr>
          <w:t>Process-owner interview</w:t>
        </w:r>
      </w:hyperlink>
    </w:p>
    <w:p>
      <w:pPr>
        <w:pStyle w:val="ListBullet"/>
      </w:pPr>
      <w:hyperlink r:id="rId14">
        <w:r>
          <w:rPr>
            <w:color w:val="2E74B5"/>
            <w:u w:val="single"/>
          </w:rPr>
          <w:t>AP specialist interview</w:t>
        </w:r>
      </w:hyperlink>
    </w:p>
    <w:p>
      <w:pPr>
        <w:pStyle w:val="ListBullet"/>
      </w:pPr>
      <w:hyperlink r:id="rId15">
        <w:r>
          <w:rPr>
            <w:color w:val="2E74B5"/>
            <w:u w:val="single"/>
          </w:rPr>
          <w:t>Control policy</w:t>
        </w:r>
      </w:hyperlink>
    </w:p>
    <w:p>
      <w:pPr>
        <w:pStyle w:val="ListBullet"/>
      </w:pPr>
      <w:hyperlink r:id="rId16">
        <w:r>
          <w:rPr>
            <w:color w:val="2E74B5"/>
            <w:u w:val="single"/>
          </w:rPr>
          <w:t>Post-baseline change request</w:t>
        </w:r>
      </w:hyperlink>
    </w:p>
    <w:p>
      <w:pPr>
        <w:pStyle w:val="Heading2"/>
      </w:pPr>
      <w:r>
        <w:t>Skill execution</w:t>
      </w:r>
    </w:p>
    <w:p>
      <w:r>
        <w:t xml:space="preserve">Read </w:t>
      </w:r>
      <w:hyperlink r:id="rId17">
        <w:r>
          <w:rPr>
            <w:color w:val="2E74B5"/>
            <w:u w:val="single"/>
          </w:rPr>
          <w:t>run-log.md</w:t>
        </w:r>
      </w:hyperlink>
      <w:r>
        <w:t xml:space="preserve"> for the exact sequence, skill prompts, outputs, gates, and limitations. The durable engagement record is under </w:t>
      </w:r>
      <w:hyperlink r:id="rId18">
        <w:r>
          <w:rPr>
            <w:color w:val="2E74B5"/>
            <w:u w:val="single"/>
          </w:rPr>
          <w:t>fde/</w:t>
        </w:r>
      </w:hyperlink>
      <w:r>
        <w:t>.</w:t>
      </w:r>
    </w:p>
    <w:p>
      <w:pPr>
        <w:pStyle w:val="Heading2"/>
      </w:pPr>
      <w:r>
        <w:t>What the demonstration proves</w:t>
      </w:r>
    </w:p>
    <w:p>
      <w:pPr>
        <w:pStyle w:val="ListBullet"/>
      </w:pPr>
      <w:r>
        <w:t>The engagement can be resumed from files without chat history.</w:t>
      </w:r>
    </w:p>
    <w:p>
      <w:pPr>
        <w:pStyle w:val="ListBullet"/>
      </w:pPr>
      <w:r>
        <w:t>Interview questions are driven by decision gaps rather than a generic questionnaire.</w:t>
      </w:r>
    </w:p>
    <w:p>
      <w:pPr>
        <w:pStyle w:val="ListBullet"/>
      </w:pPr>
      <w:r>
        <w:t>Claims remain linked to evidence and contradictions remain visible until resolved.</w:t>
      </w:r>
    </w:p>
    <w:p>
      <w:pPr>
        <w:pStyle w:val="ListBullet"/>
      </w:pPr>
      <w:r>
        <w:t>Current-state exceptions and controls shape the future-state design.</w:t>
      </w:r>
    </w:p>
    <w:p>
      <w:pPr>
        <w:pStyle w:val="ListBullet"/>
      </w:pPr>
      <w:r>
        <w:t>Delivery requirements trace through planned components and tests.</w:t>
      </w:r>
    </w:p>
    <w:p>
      <w:pPr>
        <w:pStyle w:val="ListBullet"/>
      </w:pPr>
      <w:r>
        <w:t>A casual email change becomes an authorized, testable, reversible change instead of an immediate production edit.</w:t>
      </w:r>
    </w:p>
    <w:p>
      <w:pPr>
        <w:pStyle w:val="Heading2"/>
      </w:pPr>
      <w:r>
        <w:t>What it does not prove</w:t>
      </w:r>
    </w:p>
    <w:p>
      <w:r>
        <w:t>The example does not prove real-world ROI, model accuracy, ERP compatibility, or production readiness. The target metrics are design hypotheses that would require implementation, evaluation, UAT, release approval, and production measurement.</w:t>
      </w:r>
    </w:p>
    <w:p>
      <w:r>
        <w:br w:type="page"/>
      </w:r>
    </w:p>
    <w:p>
      <w:pPr>
        <w:pStyle w:val="Heading1"/>
      </w:pPr>
      <w:r>
        <w:t>Part V — Skill execution evidence</w:t>
      </w:r>
    </w:p>
    <w:p>
      <w:pPr>
        <w:spacing w:after="200"/>
      </w:pPr>
      <w:r>
        <w:rPr>
          <w:rFonts w:ascii="Calibri" w:hAnsi="Calibri"/>
          <w:b/>
          <w:color w:val="667085"/>
          <w:sz w:val="17"/>
        </w:rPr>
        <w:t xml:space="preserve">Maintained source: </w:t>
      </w:r>
      <w:r>
        <w:rPr>
          <w:rFonts w:ascii="Calibri" w:hAnsi="Calibri"/>
          <w:color w:val="667085"/>
          <w:sz w:val="17"/>
        </w:rPr>
        <w:t>examples/northstar-ap-transformation/run-log.md</w:t>
      </w:r>
    </w:p>
    <w:p>
      <w:r>
        <w:t>This log records a synthetic execution of every skill. It describes generated planning artifacts, not a production deployment.</w:t>
      </w:r>
    </w:p>
    <w:p>
      <w:pPr>
        <w:pStyle w:val="Heading2"/>
      </w:pPr>
      <w:r>
        <w:t>1. fde-run-engagement</w:t>
      </w:r>
    </w:p>
    <w:p>
      <w:r>
        <w:rPr>
          <w:b/>
        </w:rPr>
        <w:t>Prompt:</w:t>
      </w:r>
      <w:r>
        <w:t xml:space="preserve"> Start an FDE engagement for Northstar AP invoice exception handling using the supplied evidence.</w:t>
      </w:r>
    </w:p>
    <w:p>
      <w:r>
        <w:rPr>
          <w:b/>
        </w:rPr>
        <w:t>Action:</w:t>
      </w:r>
      <w:r>
        <w:t xml:space="preserve"> Initialized the durable workspace, established engagement ID FDE-DEMO-001, framed the scope, recorded owners, and set the first gate.</w:t>
      </w:r>
    </w:p>
    <w:p>
      <w:r>
        <w:rPr>
          <w:b/>
        </w:rPr>
        <w:t>Primary outputs:</w:t>
      </w:r>
      <w:r>
        <w:t xml:space="preserve"> engagement charter, status, handoff, initial knowledge need.</w:t>
      </w:r>
    </w:p>
    <w:p>
      <w:pPr>
        <w:pStyle w:val="Heading2"/>
      </w:pPr>
      <w:r>
        <w:t>2. fde-interview-engagement</w:t>
      </w:r>
    </w:p>
    <w:p>
      <w:r>
        <w:rPr>
          <w:b/>
        </w:rPr>
        <w:t>Prompt:</w:t>
      </w:r>
      <w:r>
        <w:t xml:space="preserve"> Interview the AP process owner and exception specialist. Ask only questions that close gate-critical gaps, including exceptions, controls, metrics, ownership, and adoption constraints.</w:t>
      </w:r>
    </w:p>
    <w:p>
      <w:r>
        <w:rPr>
          <w:b/>
        </w:rPr>
        <w:t>Action:</w:t>
      </w:r>
      <w:r>
        <w:t xml:space="preserve"> Applied process-owner and process-performer lenses. The supplied synthetic interview answers settled scope, baseline, authority, exception categories, actual escalation behavior, and adoption boundaries.</w:t>
      </w:r>
    </w:p>
    <w:p>
      <w:r>
        <w:rPr>
          <w:b/>
        </w:rPr>
        <w:t>Primary outputs:</w:t>
      </w:r>
      <w:r>
        <w:t xml:space="preserve"> stakeholders, knowledge needs, clarified exception ownership, metrics, and a contradiction about Controller approval.</w:t>
      </w:r>
    </w:p>
    <w:p>
      <w:pPr>
        <w:pStyle w:val="Heading2"/>
      </w:pPr>
      <w:r>
        <w:t>3. fde-capture-knowledge</w:t>
      </w:r>
    </w:p>
    <w:p>
      <w:r>
        <w:rPr>
          <w:b/>
        </w:rPr>
        <w:t>Prompt:</w:t>
      </w:r>
      <w:r>
        <w:t xml:space="preserve"> Ingest sources S-001 through S-004, create atomic evidence-backed knowledge, reconcile identities and contradictions, and audit design readiness.</w:t>
      </w:r>
    </w:p>
    <w:p>
      <w:r>
        <w:rPr>
          <w:b/>
        </w:rPr>
        <w:t>Action:</w:t>
      </w:r>
      <w:r>
        <w:t xml:space="preserve"> Indexed each source, recorded exact section locators, normalized terms, attributed claims, opened contradiction C-001, and resolved it through the controlling policy.</w:t>
      </w:r>
    </w:p>
    <w:p>
      <w:r>
        <w:rPr>
          <w:b/>
        </w:rPr>
        <w:t>Primary outputs:</w:t>
      </w:r>
      <w:r>
        <w:t xml:space="preserve"> evidence index, glossary, stakeholders, contradiction record, decisions, risks, and evidence-linked current-state claims.</w:t>
      </w:r>
    </w:p>
    <w:p>
      <w:pPr>
        <w:pStyle w:val="Heading2"/>
      </w:pPr>
      <w:r>
        <w:t>4. fde-reengineer-process</w:t>
      </w:r>
    </w:p>
    <w:p>
      <w:r>
        <w:rPr>
          <w:b/>
        </w:rPr>
        <w:t>Prompt:</w:t>
      </w:r>
      <w:r>
        <w:t xml:space="preserve"> Map the actual AP exception process and redesign it across simplification, deterministic automation, AI, human-in-the-loop, and human-only work.</w:t>
      </w:r>
    </w:p>
    <w:p>
      <w:r>
        <w:rPr>
          <w:b/>
        </w:rPr>
        <w:t>Action:</w:t>
      </w:r>
      <w:r>
        <w:t xml:space="preserve"> Accounted for the normal path, five exception families, two rework loops, duplicate entry, wait states, escalation, and payment controls. Allocated each future step to the least risky mechanism.</w:t>
      </w:r>
    </w:p>
    <w:p>
      <w:r>
        <w:rPr>
          <w:b/>
        </w:rPr>
        <w:t>Primary outputs:</w:t>
      </w:r>
      <w:r>
        <w:t xml:space="preserve"> current state, automation allocation, future state, value hypothesis, retained human responsibilities, and control checkpoints.</w:t>
      </w:r>
    </w:p>
    <w:p>
      <w:pPr>
        <w:pStyle w:val="Heading2"/>
      </w:pPr>
      <w:r>
        <w:t>5. fde-plan-delivery</w:t>
      </w:r>
    </w:p>
    <w:p>
      <w:r>
        <w:rPr>
          <w:b/>
        </w:rPr>
        <w:t>Prompt:</w:t>
      </w:r>
      <w:r>
        <w:t xml:space="preserve"> Convert approved future-state version FS-1 into requirements, architecture responsibilities, vertical-slice backlog, tests, traceability, runbook, and release gates.</w:t>
      </w:r>
    </w:p>
    <w:p>
      <w:r>
        <w:rPr>
          <w:b/>
        </w:rPr>
        <w:t>Action:</w:t>
      </w:r>
      <w:r>
        <w:t xml:space="preserve"> Created stable requirement and backlog IDs, planned components without inventing product schemas, mapped critical requirements to tests, and kept implementation and release explicitly unperformed.</w:t>
      </w:r>
    </w:p>
    <w:p>
      <w:r>
        <w:rPr>
          <w:b/>
        </w:rPr>
        <w:t>Primary outputs:</w:t>
      </w:r>
      <w:r>
        <w:t xml:space="preserve"> requirements, architecture, backlog, traceability, test plan, runbook, approvals, and release blockers.</w:t>
      </w:r>
    </w:p>
    <w:p>
      <w:pPr>
        <w:pStyle w:val="Heading2"/>
      </w:pPr>
      <w:r>
        <w:t>6. fde-control-change</w:t>
      </w:r>
    </w:p>
    <w:p>
      <w:r>
        <w:rPr>
          <w:b/>
        </w:rPr>
        <w:t>Prompt:</w:t>
      </w:r>
      <w:r>
        <w:t xml:space="preserve"> Assess source S-005 as a post-baseline routing change. Verify authority, analyze impact, define patch/test/rollback, and stop before unapproved production work.</w:t>
      </w:r>
    </w:p>
    <w:p>
      <w:r>
        <w:rPr>
          <w:b/>
        </w:rPr>
        <w:t>Action:</w:t>
      </w:r>
      <w:r>
        <w:t xml:space="preserve"> Registered CHG-001, accepted Mira's authority to request analysis, identified routing, access, test, runbook, and monitoring impacts, and defined a reversible patch. The example deliberately leaves deployment unapproved and unexecuted.</w:t>
      </w:r>
    </w:p>
    <w:p>
      <w:r>
        <w:rPr>
          <w:b/>
        </w:rPr>
        <w:t>Primary outputs:</w:t>
      </w:r>
      <w:r>
        <w:t xml:space="preserve"> change record, impact links, required approvals, UAT plan, rollback condition, and open implementation status.</w:t>
      </w:r>
    </w:p>
    <w:p>
      <w:pPr>
        <w:pStyle w:val="Heading2"/>
      </w:pPr>
      <w:r>
        <w:t>Result</w:t>
      </w:r>
    </w:p>
    <w:p>
      <w:r>
        <w:t xml:space="preserve">All six skills contributed distinct value without creating six disconnected bodies of work. The orchestrator kept lifecycle state; specialist skills progressively hardened the same durable workspace. See </w:t>
      </w:r>
      <w:hyperlink r:id="rId19">
        <w:r>
          <w:rPr>
            <w:color w:val="2E74B5"/>
            <w:u w:val="single"/>
          </w:rPr>
          <w:t>impact.md</w:t>
        </w:r>
      </w:hyperlink>
      <w:r>
        <w:t xml:space="preserve"> for the before-and-after comparison.</w:t>
      </w:r>
    </w:p>
    <w:p>
      <w:r>
        <w:br w:type="page"/>
      </w:r>
    </w:p>
    <w:p>
      <w:pPr>
        <w:pStyle w:val="Heading1"/>
      </w:pPr>
      <w:r>
        <w:t>Part VI — Demonstrated impact</w:t>
      </w:r>
    </w:p>
    <w:p>
      <w:pPr>
        <w:spacing w:after="200"/>
      </w:pPr>
      <w:r>
        <w:rPr>
          <w:rFonts w:ascii="Calibri" w:hAnsi="Calibri"/>
          <w:b/>
          <w:color w:val="667085"/>
          <w:sz w:val="17"/>
        </w:rPr>
        <w:t xml:space="preserve">Maintained source: </w:t>
      </w:r>
      <w:r>
        <w:rPr>
          <w:rFonts w:ascii="Calibri" w:hAnsi="Calibri"/>
          <w:color w:val="667085"/>
          <w:sz w:val="17"/>
        </w:rPr>
        <w:t>examples/northstar-ap-transformation/impact.md</w:t>
      </w:r>
    </w:p>
    <w:p>
      <w:r>
        <w:t>All measures below are synthetic. Baseline values are fictional source inputs; target values are hypotheses awaiting implementation and production measurement.</w:t>
      </w:r>
    </w:p>
    <w:p>
      <w:pPr>
        <w:pStyle w:val="Heading2"/>
      </w:pPr>
      <w:r>
        <w:t>Before the skills</w:t>
      </w:r>
    </w:p>
    <w:p>
      <w:pPr>
        <w:pStyle w:val="ListBullet"/>
      </w:pPr>
      <w:r>
        <w:t>Engagement context exists in meetings, inboxes, and one person's memory.</w:t>
      </w:r>
    </w:p>
    <w:p>
      <w:pPr>
        <w:pStyle w:val="ListBullet"/>
      </w:pPr>
      <w:r>
        <w:t>The SOP describes a happy path but omits exception loops and actual ownership.</w:t>
      </w:r>
    </w:p>
    <w:p>
      <w:pPr>
        <w:pStyle w:val="ListBullet"/>
      </w:pPr>
      <w:r>
        <w:t>“Automate AP exceptions” is too broad to design or test.</w:t>
      </w:r>
    </w:p>
    <w:p>
      <w:pPr>
        <w:pStyle w:val="ListBullet"/>
      </w:pPr>
      <w:r>
        <w:t>The Controller-approval rule is contradictory across sources.</w:t>
      </w:r>
    </w:p>
    <w:p>
      <w:pPr>
        <w:pStyle w:val="ListBullet"/>
      </w:pPr>
      <w:r>
        <w:t>AI is treated as one undifferentiated automation mechanism.</w:t>
      </w:r>
    </w:p>
    <w:p>
      <w:pPr>
        <w:pStyle w:val="ListBullet"/>
      </w:pPr>
      <w:r>
        <w:t>Requirements, tests, controls, and rollout evidence are not connected.</w:t>
      </w:r>
    </w:p>
    <w:p>
      <w:pPr>
        <w:pStyle w:val="ListBullet"/>
      </w:pPr>
      <w:r>
        <w:t>A routing-change email could be mistaken for permission to edit production.</w:t>
      </w:r>
    </w:p>
    <w:p>
      <w:pPr>
        <w:pStyle w:val="Heading2"/>
      </w:pPr>
      <w:r>
        <w:t>After the skills</w:t>
      </w:r>
    </w:p>
    <w:p>
      <w:pPr>
        <w:pStyle w:val="ListBullet"/>
      </w:pPr>
      <w:r>
        <w:t>A fresh agent can resume from a validated 21-file engagement workspace.</w:t>
      </w:r>
    </w:p>
    <w:p>
      <w:pPr>
        <w:pStyle w:val="ListBullet"/>
      </w:pPr>
      <w:r>
        <w:t>Five exception families, actual handlers, escalation timing, and controls are explicit.</w:t>
      </w:r>
    </w:p>
    <w:p>
      <w:pPr>
        <w:pStyle w:val="ListBullet"/>
      </w:pPr>
      <w:r>
        <w:t>Every current step has a future disposition and accountable owner.</w:t>
      </w:r>
    </w:p>
    <w:p>
      <w:pPr>
        <w:pStyle w:val="ListBullet"/>
      </w:pPr>
      <w:r>
        <w:t>AI is limited to explainable classification and recommendations; payment approval, duplicate suspicion, and sensitive data changes remain human-controlled.</w:t>
      </w:r>
    </w:p>
    <w:p>
      <w:pPr>
        <w:pStyle w:val="ListBullet"/>
      </w:pPr>
      <w:r>
        <w:t>Requirements trace from evidence and approved design to components, tests, release evidence, and rollback.</w:t>
      </w:r>
    </w:p>
    <w:p>
      <w:pPr>
        <w:pStyle w:val="ListBullet"/>
      </w:pPr>
      <w:r>
        <w:t>CHG-001 is bounded, authorized for analysis, and held before deployment until UAT and release approval exist.</w:t>
      </w:r>
    </w:p>
    <w:p>
      <w:pPr>
        <w:pStyle w:val="Heading2"/>
      </w:pPr>
      <w:r>
        <w:t>Hypothesized operational change</w:t>
      </w:r>
    </w:p>
    <w:tbl>
      <w:tblPr>
        <w:tblStyle w:val="TableGrid"/>
        <w:tblW w:type="dxa" w:w="9360"/>
        <w:jc w:val="left"/>
        <w:tblLayout w:type="fixed"/>
        <w:tblLook w:firstColumn="1" w:firstRow="1" w:lastColumn="0" w:lastRow="0" w:noHBand="0" w:noVBand="1" w:val="04A0"/>
        <w:tblInd w:w="120" w:type="dxa"/>
      </w:tblPr>
      <w:tblGrid>
        <w:gridCol w:w="2520"/>
        <w:gridCol w:w="2250"/>
        <w:gridCol w:w="2070"/>
        <w:gridCol w:w="2520"/>
      </w:tblGrid>
      <w:tr>
        <w:trPr>
          <w:trHeight w:hRule="auto"/>
          <w:tblHeader w:val="true"/>
          <w:tblHeader w:val="true"/>
          <w:tblHeader w:val="true"/>
          <w:tblHeader w:val="true"/>
        </w:trPr>
        <w:tc>
          <w:tcPr>
            <w:tcW w:type="dxa" w:w="2520"/>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Measure</w:t>
            </w:r>
          </w:p>
        </w:tc>
        <w:tc>
          <w:tcPr>
            <w:tcW w:type="dxa" w:w="2250"/>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Synthetic baseline</w:t>
            </w:r>
          </w:p>
        </w:tc>
        <w:tc>
          <w:tcPr>
            <w:tcW w:type="dxa" w:w="2070"/>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Design target</w:t>
            </w:r>
          </w:p>
        </w:tc>
        <w:tc>
          <w:tcPr>
            <w:tcW w:type="dxa" w:w="2520"/>
            <w:tcMar>
              <w:top w:w="80" w:type="dxa"/>
              <w:start w:w="120" w:type="dxa"/>
              <w:bottom w:w="80" w:type="dxa"/>
              <w:end w:w="120" w:type="dxa"/>
            </w:tcMar>
            <w:vAlign w:val="center"/>
            <w:shd w:fill="E8EEF5"/>
          </w:tcPr>
          <w:p>
            <w:pPr>
              <w:spacing w:before="0" w:after="40" w:line="252" w:lineRule="auto"/>
            </w:pPr>
            <w:r>
              <w:rPr>
                <w:rFonts w:ascii="Calibri" w:hAnsi="Calibri"/>
                <w:b/>
                <w:color w:val="19324D"/>
                <w:sz w:val="17"/>
              </w:rPr>
              <w:t>Evidence status</w:t>
            </w:r>
          </w:p>
        </w:tc>
      </w:tr>
      <w:tr>
        <w:trPr>
          <w:trHeight w:hRule="auto"/>
        </w:trPr>
        <w:tc>
          <w:tcPr>
            <w:tcW w:type="dxa" w:w="2520"/>
            <w:tcMar>
              <w:top w:w="80" w:type="dxa"/>
              <w:start w:w="120" w:type="dxa"/>
              <w:bottom w:w="80" w:type="dxa"/>
              <w:end w:w="120" w:type="dxa"/>
            </w:tcMar>
            <w:vAlign w:val="center"/>
          </w:tcPr>
          <w:p>
            <w:pPr>
              <w:spacing w:before="0" w:after="40" w:line="252" w:lineRule="auto"/>
            </w:pPr>
            <w:r>
              <w:rPr>
                <w:rFonts w:ascii="Calibri" w:hAnsi="Calibri"/>
                <w:sz w:val="17"/>
              </w:rPr>
              <w:t>Average exception cycle time</w:t>
            </w:r>
          </w:p>
        </w:tc>
        <w:tc>
          <w:tcPr>
            <w:tcW w:type="dxa" w:w="2250"/>
            <w:tcMar>
              <w:top w:w="80" w:type="dxa"/>
              <w:start w:w="120" w:type="dxa"/>
              <w:bottom w:w="80" w:type="dxa"/>
              <w:end w:w="120" w:type="dxa"/>
            </w:tcMar>
            <w:vAlign w:val="center"/>
          </w:tcPr>
          <w:p>
            <w:pPr>
              <w:spacing w:before="0" w:after="40" w:line="252" w:lineRule="auto"/>
            </w:pPr>
            <w:r>
              <w:rPr>
                <w:rFonts w:ascii="Calibri" w:hAnsi="Calibri"/>
                <w:sz w:val="17"/>
              </w:rPr>
              <w:t>6.2 business days</w:t>
            </w:r>
          </w:p>
        </w:tc>
        <w:tc>
          <w:tcPr>
            <w:tcW w:type="dxa" w:w="2070"/>
            <w:tcMar>
              <w:top w:w="80" w:type="dxa"/>
              <w:start w:w="120" w:type="dxa"/>
              <w:bottom w:w="80" w:type="dxa"/>
              <w:end w:w="120" w:type="dxa"/>
            </w:tcMar>
            <w:vAlign w:val="center"/>
          </w:tcPr>
          <w:p>
            <w:pPr>
              <w:spacing w:before="0" w:after="40" w:line="252" w:lineRule="auto"/>
            </w:pPr>
            <w:r>
              <w:rPr>
                <w:rFonts w:ascii="Calibri" w:hAnsi="Calibri"/>
                <w:sz w:val="17"/>
              </w:rPr>
              <w:t>Under 3.0 business days</w:t>
            </w:r>
          </w:p>
        </w:tc>
        <w:tc>
          <w:tcPr>
            <w:tcW w:type="dxa" w:w="2520"/>
            <w:tcMar>
              <w:top w:w="80" w:type="dxa"/>
              <w:start w:w="120" w:type="dxa"/>
              <w:bottom w:w="80" w:type="dxa"/>
              <w:end w:w="120" w:type="dxa"/>
            </w:tcMar>
            <w:vAlign w:val="center"/>
          </w:tcPr>
          <w:p>
            <w:pPr>
              <w:spacing w:before="0" w:after="40" w:line="252" w:lineRule="auto"/>
            </w:pPr>
            <w:r>
              <w:rPr>
                <w:rFonts w:ascii="Calibri" w:hAnsi="Calibri"/>
                <w:sz w:val="17"/>
              </w:rPr>
              <w:t>Target; not measured</w:t>
            </w:r>
          </w:p>
        </w:tc>
      </w:tr>
      <w:tr>
        <w:trPr>
          <w:trHeight w:hRule="auto"/>
        </w:trPr>
        <w:tc>
          <w:tcPr>
            <w:tcW w:type="dxa" w:w="2520"/>
            <w:tcMar>
              <w:top w:w="80" w:type="dxa"/>
              <w:start w:w="120" w:type="dxa"/>
              <w:bottom w:w="80" w:type="dxa"/>
              <w:end w:w="120" w:type="dxa"/>
            </w:tcMar>
            <w:vAlign w:val="center"/>
          </w:tcPr>
          <w:p>
            <w:pPr>
              <w:spacing w:before="0" w:after="40" w:line="252" w:lineRule="auto"/>
            </w:pPr>
            <w:r>
              <w:rPr>
                <w:rFonts w:ascii="Calibri" w:hAnsi="Calibri"/>
                <w:sz w:val="17"/>
              </w:rPr>
              <w:t>Manual triage effort</w:t>
            </w:r>
          </w:p>
        </w:tc>
        <w:tc>
          <w:tcPr>
            <w:tcW w:type="dxa" w:w="2250"/>
            <w:tcMar>
              <w:top w:w="80" w:type="dxa"/>
              <w:start w:w="120" w:type="dxa"/>
              <w:bottom w:w="80" w:type="dxa"/>
              <w:end w:w="120" w:type="dxa"/>
            </w:tcMar>
            <w:vAlign w:val="center"/>
          </w:tcPr>
          <w:p>
            <w:pPr>
              <w:spacing w:before="0" w:after="40" w:line="252" w:lineRule="auto"/>
            </w:pPr>
            <w:r>
              <w:rPr>
                <w:rFonts w:ascii="Calibri" w:hAnsi="Calibri"/>
                <w:sz w:val="17"/>
              </w:rPr>
              <w:t>28 hours/week</w:t>
            </w:r>
          </w:p>
        </w:tc>
        <w:tc>
          <w:tcPr>
            <w:tcW w:type="dxa" w:w="2070"/>
            <w:tcMar>
              <w:top w:w="80" w:type="dxa"/>
              <w:start w:w="120" w:type="dxa"/>
              <w:bottom w:w="80" w:type="dxa"/>
              <w:end w:w="120" w:type="dxa"/>
            </w:tcMar>
            <w:vAlign w:val="center"/>
          </w:tcPr>
          <w:p>
            <w:pPr>
              <w:spacing w:before="0" w:after="40" w:line="252" w:lineRule="auto"/>
            </w:pPr>
            <w:r>
              <w:rPr>
                <w:rFonts w:ascii="Calibri" w:hAnsi="Calibri"/>
                <w:sz w:val="17"/>
              </w:rPr>
              <w:t>Under 14 hours/week</w:t>
            </w:r>
          </w:p>
        </w:tc>
        <w:tc>
          <w:tcPr>
            <w:tcW w:type="dxa" w:w="2520"/>
            <w:tcMar>
              <w:top w:w="80" w:type="dxa"/>
              <w:start w:w="120" w:type="dxa"/>
              <w:bottom w:w="80" w:type="dxa"/>
              <w:end w:w="120" w:type="dxa"/>
            </w:tcMar>
            <w:vAlign w:val="center"/>
          </w:tcPr>
          <w:p>
            <w:pPr>
              <w:spacing w:before="0" w:after="40" w:line="252" w:lineRule="auto"/>
            </w:pPr>
            <w:r>
              <w:rPr>
                <w:rFonts w:ascii="Calibri" w:hAnsi="Calibri"/>
                <w:sz w:val="17"/>
              </w:rPr>
              <w:t>Target; not measured</w:t>
            </w:r>
          </w:p>
        </w:tc>
      </w:tr>
      <w:tr>
        <w:trPr>
          <w:trHeight w:hRule="auto"/>
        </w:trPr>
        <w:tc>
          <w:tcPr>
            <w:tcW w:type="dxa" w:w="2520"/>
            <w:tcMar>
              <w:top w:w="80" w:type="dxa"/>
              <w:start w:w="120" w:type="dxa"/>
              <w:bottom w:w="80" w:type="dxa"/>
              <w:end w:w="120" w:type="dxa"/>
            </w:tcMar>
            <w:vAlign w:val="center"/>
          </w:tcPr>
          <w:p>
            <w:pPr>
              <w:spacing w:before="0" w:after="40" w:line="252" w:lineRule="auto"/>
            </w:pPr>
            <w:r>
              <w:rPr>
                <w:rFonts w:ascii="Calibri" w:hAnsi="Calibri"/>
                <w:sz w:val="17"/>
              </w:rPr>
              <w:t>Reopen rate</w:t>
            </w:r>
          </w:p>
        </w:tc>
        <w:tc>
          <w:tcPr>
            <w:tcW w:type="dxa" w:w="2250"/>
            <w:tcMar>
              <w:top w:w="80" w:type="dxa"/>
              <w:start w:w="120" w:type="dxa"/>
              <w:bottom w:w="80" w:type="dxa"/>
              <w:end w:w="120" w:type="dxa"/>
            </w:tcMar>
            <w:vAlign w:val="center"/>
          </w:tcPr>
          <w:p>
            <w:pPr>
              <w:spacing w:before="0" w:after="40" w:line="252" w:lineRule="auto"/>
            </w:pPr>
            <w:r>
              <w:rPr>
                <w:rFonts w:ascii="Calibri" w:hAnsi="Calibri"/>
                <w:sz w:val="17"/>
              </w:rPr>
              <w:t>11%</w:t>
            </w:r>
          </w:p>
        </w:tc>
        <w:tc>
          <w:tcPr>
            <w:tcW w:type="dxa" w:w="2070"/>
            <w:tcMar>
              <w:top w:w="80" w:type="dxa"/>
              <w:start w:w="120" w:type="dxa"/>
              <w:bottom w:w="80" w:type="dxa"/>
              <w:end w:w="120" w:type="dxa"/>
            </w:tcMar>
            <w:vAlign w:val="center"/>
          </w:tcPr>
          <w:p>
            <w:pPr>
              <w:spacing w:before="0" w:after="40" w:line="252" w:lineRule="auto"/>
            </w:pPr>
            <w:r>
              <w:rPr>
                <w:rFonts w:ascii="Calibri" w:hAnsi="Calibri"/>
                <w:sz w:val="17"/>
              </w:rPr>
              <w:t>No more than 8%</w:t>
            </w:r>
          </w:p>
        </w:tc>
        <w:tc>
          <w:tcPr>
            <w:tcW w:type="dxa" w:w="2520"/>
            <w:tcMar>
              <w:top w:w="80" w:type="dxa"/>
              <w:start w:w="120" w:type="dxa"/>
              <w:bottom w:w="80" w:type="dxa"/>
              <w:end w:w="120" w:type="dxa"/>
            </w:tcMar>
            <w:vAlign w:val="center"/>
          </w:tcPr>
          <w:p>
            <w:pPr>
              <w:spacing w:before="0" w:after="40" w:line="252" w:lineRule="auto"/>
            </w:pPr>
            <w:r>
              <w:rPr>
                <w:rFonts w:ascii="Calibri" w:hAnsi="Calibri"/>
                <w:sz w:val="17"/>
              </w:rPr>
              <w:t>Target; not measured</w:t>
            </w:r>
          </w:p>
        </w:tc>
      </w:tr>
      <w:tr>
        <w:trPr>
          <w:trHeight w:hRule="auto"/>
        </w:trPr>
        <w:tc>
          <w:tcPr>
            <w:tcW w:type="dxa" w:w="2520"/>
            <w:tcMar>
              <w:top w:w="80" w:type="dxa"/>
              <w:start w:w="120" w:type="dxa"/>
              <w:bottom w:w="80" w:type="dxa"/>
              <w:end w:w="120" w:type="dxa"/>
            </w:tcMar>
            <w:vAlign w:val="center"/>
          </w:tcPr>
          <w:p>
            <w:pPr>
              <w:spacing w:before="0" w:after="40" w:line="252" w:lineRule="auto"/>
            </w:pPr>
            <w:r>
              <w:rPr>
                <w:rFonts w:ascii="Calibri" w:hAnsi="Calibri"/>
                <w:sz w:val="17"/>
              </w:rPr>
              <w:t>Control bypasses</w:t>
            </w:r>
          </w:p>
        </w:tc>
        <w:tc>
          <w:tcPr>
            <w:tcW w:type="dxa" w:w="2250"/>
            <w:tcMar>
              <w:top w:w="80" w:type="dxa"/>
              <w:start w:w="120" w:type="dxa"/>
              <w:bottom w:w="80" w:type="dxa"/>
              <w:end w:w="120" w:type="dxa"/>
            </w:tcMar>
            <w:vAlign w:val="center"/>
          </w:tcPr>
          <w:p>
            <w:pPr>
              <w:spacing w:before="0" w:after="40" w:line="252" w:lineRule="auto"/>
            </w:pPr>
            <w:r>
              <w:rPr>
                <w:rFonts w:ascii="Calibri" w:hAnsi="Calibri"/>
                <w:sz w:val="17"/>
              </w:rPr>
              <w:t>0 tolerated</w:t>
            </w:r>
          </w:p>
        </w:tc>
        <w:tc>
          <w:tcPr>
            <w:tcW w:type="dxa" w:w="2070"/>
            <w:tcMar>
              <w:top w:w="80" w:type="dxa"/>
              <w:start w:w="120" w:type="dxa"/>
              <w:bottom w:w="80" w:type="dxa"/>
              <w:end w:w="120" w:type="dxa"/>
            </w:tcMar>
            <w:vAlign w:val="center"/>
          </w:tcPr>
          <w:p>
            <w:pPr>
              <w:spacing w:before="0" w:after="40" w:line="252" w:lineRule="auto"/>
            </w:pPr>
            <w:r>
              <w:rPr>
                <w:rFonts w:ascii="Calibri" w:hAnsi="Calibri"/>
                <w:sz w:val="17"/>
              </w:rPr>
              <w:t>0</w:t>
            </w:r>
          </w:p>
        </w:tc>
        <w:tc>
          <w:tcPr>
            <w:tcW w:type="dxa" w:w="2520"/>
            <w:tcMar>
              <w:top w:w="80" w:type="dxa"/>
              <w:start w:w="120" w:type="dxa"/>
              <w:bottom w:w="80" w:type="dxa"/>
              <w:end w:w="120" w:type="dxa"/>
            </w:tcMar>
            <w:vAlign w:val="center"/>
          </w:tcPr>
          <w:p>
            <w:pPr>
              <w:spacing w:before="0" w:after="40" w:line="252" w:lineRule="auto"/>
            </w:pPr>
            <w:r>
              <w:rPr>
                <w:rFonts w:ascii="Calibri" w:hAnsi="Calibri"/>
                <w:sz w:val="17"/>
              </w:rPr>
              <w:t>Release gate</w:t>
            </w:r>
          </w:p>
        </w:tc>
      </w:tr>
      <w:tr>
        <w:trPr>
          <w:trHeight w:hRule="auto"/>
        </w:trPr>
        <w:tc>
          <w:tcPr>
            <w:tcW w:type="dxa" w:w="2520"/>
            <w:tcMar>
              <w:top w:w="80" w:type="dxa"/>
              <w:start w:w="120" w:type="dxa"/>
              <w:bottom w:w="80" w:type="dxa"/>
              <w:end w:w="120" w:type="dxa"/>
            </w:tcMar>
            <w:vAlign w:val="center"/>
          </w:tcPr>
          <w:p>
            <w:pPr>
              <w:spacing w:before="0" w:after="40" w:line="252" w:lineRule="auto"/>
            </w:pPr>
            <w:r>
              <w:rPr>
                <w:rFonts w:ascii="Calibri" w:hAnsi="Calibri"/>
                <w:sz w:val="17"/>
              </w:rPr>
              <w:t>Explainable routing</w:t>
            </w:r>
          </w:p>
        </w:tc>
        <w:tc>
          <w:tcPr>
            <w:tcW w:type="dxa" w:w="2250"/>
            <w:tcMar>
              <w:top w:w="80" w:type="dxa"/>
              <w:start w:w="120" w:type="dxa"/>
              <w:bottom w:w="80" w:type="dxa"/>
              <w:end w:w="120" w:type="dxa"/>
            </w:tcMar>
            <w:vAlign w:val="center"/>
          </w:tcPr>
          <w:p>
            <w:pPr>
              <w:spacing w:before="0" w:after="40" w:line="252" w:lineRule="auto"/>
            </w:pPr>
            <w:r>
              <w:rPr>
                <w:rFonts w:ascii="Calibri" w:hAnsi="Calibri"/>
                <w:sz w:val="17"/>
              </w:rPr>
              <w:t>Inconsistent manual notes</w:t>
            </w:r>
          </w:p>
        </w:tc>
        <w:tc>
          <w:tcPr>
            <w:tcW w:type="dxa" w:w="2070"/>
            <w:tcMar>
              <w:top w:w="80" w:type="dxa"/>
              <w:start w:w="120" w:type="dxa"/>
              <w:bottom w:w="80" w:type="dxa"/>
              <w:end w:w="120" w:type="dxa"/>
            </w:tcMar>
            <w:vAlign w:val="center"/>
          </w:tcPr>
          <w:p>
            <w:pPr>
              <w:spacing w:before="0" w:after="40" w:line="252" w:lineRule="auto"/>
            </w:pPr>
            <w:r>
              <w:rPr>
                <w:rFonts w:ascii="Calibri" w:hAnsi="Calibri"/>
                <w:sz w:val="17"/>
              </w:rPr>
              <w:t>100% decision records</w:t>
            </w:r>
          </w:p>
        </w:tc>
        <w:tc>
          <w:tcPr>
            <w:tcW w:type="dxa" w:w="2520"/>
            <w:tcMar>
              <w:top w:w="80" w:type="dxa"/>
              <w:start w:w="120" w:type="dxa"/>
              <w:bottom w:w="80" w:type="dxa"/>
              <w:end w:w="120" w:type="dxa"/>
            </w:tcMar>
            <w:vAlign w:val="center"/>
          </w:tcPr>
          <w:p>
            <w:pPr>
              <w:spacing w:before="0" w:after="40" w:line="252" w:lineRule="auto"/>
            </w:pPr>
            <w:r>
              <w:rPr>
                <w:rFonts w:ascii="Calibri" w:hAnsi="Calibri"/>
                <w:sz w:val="17"/>
              </w:rPr>
              <w:t>Planned acceptance criterion</w:t>
            </w:r>
          </w:p>
        </w:tc>
      </w:tr>
    </w:tbl>
    <w:p>
      <w:pPr>
        <w:spacing w:after="40"/>
      </w:pPr>
    </w:p>
    <w:p>
      <w:pPr>
        <w:pStyle w:val="Heading2"/>
      </w:pPr>
      <w:r>
        <w:t>Delivery impact</w:t>
      </w:r>
    </w:p>
    <w:p>
      <w:r>
        <w:t>The important impact is decision quality before code:</w:t>
      </w:r>
    </w:p>
    <w:p>
      <w:pPr>
        <w:pStyle w:val="ListNumber"/>
      </w:pPr>
      <w:r>
        <w:t>The team knows which problems are policy, data, deterministic workflow, AI classification, or human accountability.</w:t>
      </w:r>
    </w:p>
    <w:p>
      <w:pPr>
        <w:pStyle w:val="ListNumber"/>
      </w:pPr>
      <w:r>
        <w:t>High-risk behavior has explicit stop conditions.</w:t>
      </w:r>
    </w:p>
    <w:p>
      <w:pPr>
        <w:pStyle w:val="ListNumber"/>
      </w:pPr>
      <w:r>
        <w:t>The first implementation slice is small and testable.</w:t>
      </w:r>
    </w:p>
    <w:p>
      <w:pPr>
        <w:pStyle w:val="ListNumber"/>
      </w:pPr>
      <w:r>
        <w:t>ROI claims remain hypotheses until production evidence exists.</w:t>
      </w:r>
    </w:p>
    <w:p>
      <w:r>
        <w:br w:type="page"/>
      </w:r>
    </w:p>
    <w:p>
      <w:pPr>
        <w:pStyle w:val="Heading1"/>
      </w:pPr>
      <w:r>
        <w:t>Part VII — Validation and reproducibility</w:t>
      </w:r>
    </w:p>
    <w:p>
      <w:pPr>
        <w:spacing w:after="200"/>
      </w:pPr>
      <w:r>
        <w:rPr>
          <w:rFonts w:ascii="Calibri" w:hAnsi="Calibri"/>
          <w:b/>
          <w:color w:val="667085"/>
          <w:sz w:val="17"/>
        </w:rPr>
        <w:t xml:space="preserve">Maintained source: </w:t>
      </w:r>
      <w:r>
        <w:rPr>
          <w:rFonts w:ascii="Calibri" w:hAnsi="Calibri"/>
          <w:color w:val="667085"/>
          <w:sz w:val="17"/>
        </w:rPr>
        <w:t>docs/VALIDATION.md</w:t>
      </w:r>
    </w:p>
    <w:p>
      <w:r>
        <w:t>This repository is designed to be independently inspected and reproduced. The checks below distinguish structure, installation, example behavior, document integrity, and production claims.</w:t>
      </w:r>
    </w:p>
    <w:p>
      <w:pPr>
        <w:pStyle w:val="Heading2"/>
      </w:pPr>
      <w:r>
        <w:t>One-command repository check</w:t>
      </w:r>
    </w:p>
    <w:p>
      <w:r>
        <w:t>From the repository root:</w:t>
      </w:r>
    </w:p>
    <w:p>
      <w:pPr>
        <w:pStyle w:val="CodeBlock"/>
        <w:shd w:fill="F2F4F7"/>
      </w:pPr>
      <w:r>
        <w:rPr>
          <w:rFonts w:ascii="Consolas" w:hAnsi="Consolas"/>
          <w:color w:val="19324D"/>
          <w:sz w:val="17"/>
        </w:rPr>
        <w:t>python -B .\scripts\validate_repository.py</w:t>
      </w:r>
    </w:p>
    <w:p>
      <w:r>
        <w:t>Expected result:</w:t>
      </w:r>
    </w:p>
    <w:p>
      <w:pPr>
        <w:pStyle w:val="CodeBlock"/>
        <w:shd w:fill="F2F4F7"/>
      </w:pPr>
      <w:r>
        <w:rPr>
          <w:rFonts w:ascii="Consolas" w:hAnsi="Consolas"/>
          <w:color w:val="19324D"/>
          <w:sz w:val="17"/>
        </w:rPr>
        <w:t>Repository validation passed</w:t>
        <w:br/>
      </w:r>
      <w:r>
        <w:rPr>
          <w:rFonts w:ascii="Consolas" w:hAnsi="Consolas"/>
          <w:color w:val="19324D"/>
          <w:sz w:val="17"/>
        </w:rPr>
        <w:t>- 6 expected skills discovered</w:t>
        <w:br/>
      </w:r>
      <w:r>
        <w:rPr>
          <w:rFonts w:ascii="Consolas" w:hAnsi="Consolas"/>
          <w:color w:val="19324D"/>
          <w:sz w:val="17"/>
        </w:rPr>
        <w:t>- Markdown relative links resolve</w:t>
        <w:br/>
      </w:r>
      <w:r>
        <w:rPr>
          <w:rFonts w:ascii="Consolas" w:hAnsi="Consolas"/>
          <w:color w:val="19324D"/>
          <w:sz w:val="17"/>
        </w:rPr>
        <w:t>- synthetic 21-file engagement workspace is valid</w:t>
        <w:br/>
      </w:r>
      <w:r>
        <w:rPr>
          <w:rFonts w:ascii="Consolas" w:hAnsi="Consolas"/>
          <w:color w:val="19324D"/>
          <w:sz w:val="17"/>
        </w:rPr>
        <w:t>- Word handbook package is structurally valid</w:t>
      </w:r>
    </w:p>
    <w:p>
      <w:r>
        <w:t>The validator checks:</w:t>
      </w:r>
    </w:p>
    <w:p>
      <w:pPr>
        <w:pStyle w:val="ListBullet"/>
      </w:pPr>
      <w:r>
        <w:t>the exact six skill directories and metadata files;</w:t>
      </w:r>
    </w:p>
    <w:p>
      <w:pPr>
        <w:pStyle w:val="ListBullet"/>
      </w:pPr>
      <w:r>
        <w:t>skill frontmatter names and descriptions;</w:t>
      </w:r>
    </w:p>
    <w:p>
      <w:pPr>
        <w:pStyle w:val="ListBullet"/>
      </w:pPr>
      <w:r>
        <w:t>all relative links in README, docs, and examples;</w:t>
      </w:r>
    </w:p>
    <w:p>
      <w:pPr>
        <w:pStyle w:val="ListBullet"/>
      </w:pPr>
      <w:r>
        <w:t>the worked example through the orchestrator validator;</w:t>
      </w:r>
    </w:p>
    <w:p>
      <w:pPr>
        <w:pStyle w:val="ListBullet"/>
      </w:pPr>
      <w:r>
        <w:t>five synthetic source inputs plus execution and impact logs;</w:t>
      </w:r>
    </w:p>
    <w:p>
      <w:pPr>
        <w:pStyle w:val="ListBullet"/>
      </w:pPr>
      <w:r>
        <w:t>the Word handbook as an uncorrupted Office Open XML package.</w:t>
      </w:r>
    </w:p>
    <w:p>
      <w:pPr>
        <w:pStyle w:val="Heading2"/>
      </w:pPr>
      <w:r>
        <w:t>Skill validation</w:t>
      </w:r>
    </w:p>
    <w:p>
      <w:r>
        <w:t>Run the Codex skill-creator validator against every skill:</w:t>
      </w:r>
    </w:p>
    <w:p>
      <w:pPr>
        <w:pStyle w:val="CodeBlock"/>
        <w:shd w:fill="F2F4F7"/>
      </w:pPr>
      <w:r>
        <w:rPr>
          <w:rFonts w:ascii="Consolas" w:hAnsi="Consolas"/>
          <w:color w:val="19324D"/>
          <w:sz w:val="17"/>
        </w:rPr>
        <w:t>$validator = "$env:USERPROFILE\.codex\skills\.system\skill-creator\scripts\quick_validate.py"</w:t>
        <w:br/>
      </w:r>
      <w:r>
        <w:rPr>
          <w:rFonts w:ascii="Consolas" w:hAnsi="Consolas"/>
          <w:color w:val="19324D"/>
          <w:sz w:val="17"/>
        </w:rPr>
        <w:t>Get-ChildItem -LiteralPath .\skills -Directory | Sort-Object Name | ForEach-Object {</w:t>
        <w:br/>
      </w:r>
      <w:r>
        <w:rPr>
          <w:rFonts w:ascii="Consolas" w:hAnsi="Consolas"/>
          <w:color w:val="19324D"/>
          <w:sz w:val="17"/>
        </w:rPr>
        <w:t xml:space="preserve">  python $validator $_.FullName</w:t>
        <w:br/>
      </w:r>
      <w:r>
        <w:rPr>
          <w:rFonts w:ascii="Consolas" w:hAnsi="Consolas"/>
          <w:color w:val="19324D"/>
          <w:sz w:val="17"/>
        </w:rPr>
        <w:t>}</w:t>
      </w:r>
    </w:p>
    <w:p>
      <w:r>
        <w:t>Expected result: each of the six skills reports Skill is valid!.</w:t>
      </w:r>
    </w:p>
    <w:p>
      <w:pPr>
        <w:pStyle w:val="Heading2"/>
      </w:pPr>
      <w:r>
        <w:t>Public npx installation smoke test</w:t>
      </w:r>
    </w:p>
    <w:p>
      <w:pPr>
        <w:pStyle w:val="Heading3"/>
      </w:pPr>
      <w:r>
        <w:t>Tested environment</w:t>
      </w:r>
    </w:p>
    <w:p>
      <w:pPr>
        <w:pStyle w:val="ListBullet"/>
      </w:pPr>
      <w:r>
        <w:t>Date: August 12, 2026</w:t>
      </w:r>
    </w:p>
    <w:p>
      <w:pPr>
        <w:pStyle w:val="ListBullet"/>
      </w:pPr>
      <w:r>
        <w:t>Platform: Windows</w:t>
      </w:r>
    </w:p>
    <w:p>
      <w:pPr>
        <w:pStyle w:val="ListBullet"/>
      </w:pPr>
      <w:r>
        <w:t>Node: v24.18.0</w:t>
      </w:r>
    </w:p>
    <w:p>
      <w:pPr>
        <w:pStyle w:val="ListBullet"/>
      </w:pPr>
      <w:r>
        <w:t>npm: 11.8.0</w:t>
      </w:r>
    </w:p>
    <w:p>
      <w:pPr>
        <w:pStyle w:val="ListBullet"/>
      </w:pPr>
      <w:r>
        <w:t>skills CLI: 1.5.22</w:t>
      </w:r>
    </w:p>
    <w:p>
      <w:pPr>
        <w:pStyle w:val="ListBullet"/>
      </w:pPr>
      <w:r>
        <w:t>Repository: public 1aifanatic/fde-agent-skills</w:t>
      </w:r>
    </w:p>
    <w:p>
      <w:pPr>
        <w:pStyle w:val="ListBullet"/>
      </w:pPr>
      <w:r>
        <w:t>Authentication: none required for HTTPS installation</w:t>
      </w:r>
    </w:p>
    <w:p>
      <w:pPr>
        <w:pStyle w:val="ListBullet"/>
      </w:pPr>
      <w:r>
        <w:t>Telemetry: disabled</w:t>
      </w:r>
    </w:p>
    <w:p>
      <w:pPr>
        <w:pStyle w:val="ListBullet"/>
      </w:pPr>
      <w:r>
        <w:t>Installation scope: isolated temporary project</w:t>
      </w:r>
    </w:p>
    <w:p>
      <w:pPr>
        <w:pStyle w:val="ListBullet"/>
      </w:pPr>
      <w:r>
        <w:t>Target agent: Codex</w:t>
      </w:r>
    </w:p>
    <w:p>
      <w:pPr>
        <w:pStyle w:val="ListBullet"/>
      </w:pPr>
      <w:r>
        <w:t>Method: copy</w:t>
      </w:r>
    </w:p>
    <w:p>
      <w:pPr>
        <w:pStyle w:val="Heading3"/>
      </w:pPr>
      <w:r>
        <w:t>Discovery command</w:t>
      </w:r>
    </w:p>
    <w:p>
      <w:pPr>
        <w:pStyle w:val="CodeBlock"/>
        <w:shd w:fill="F2F4F7"/>
      </w:pPr>
      <w:r>
        <w:rPr>
          <w:rFonts w:ascii="Consolas" w:hAnsi="Consolas"/>
          <w:color w:val="19324D"/>
          <w:sz w:val="17"/>
        </w:rPr>
        <w:t>$env:DISABLE_TELEMETRY = "1"</w:t>
        <w:br/>
      </w:r>
      <w:r>
        <w:rPr>
          <w:rFonts w:ascii="Consolas" w:hAnsi="Consolas"/>
          <w:color w:val="19324D"/>
          <w:sz w:val="17"/>
        </w:rPr>
        <w:t>npx --yes skills@latest add https://github.com/1aifanatic/fde-agent-skills.git --list</w:t>
      </w:r>
    </w:p>
    <w:p>
      <w:r>
        <w:t>Observed result: the CLI cloned the repository and found exactly six skills.</w:t>
      </w:r>
    </w:p>
    <w:p>
      <w:pPr>
        <w:pStyle w:val="Heading3"/>
      </w:pPr>
      <w:r>
        <w:t>Installation command</w:t>
      </w:r>
    </w:p>
    <w:p>
      <w:pPr>
        <w:pStyle w:val="CodeBlock"/>
        <w:shd w:fill="F2F4F7"/>
      </w:pPr>
      <w:r>
        <w:rPr>
          <w:rFonts w:ascii="Consolas" w:hAnsi="Consolas"/>
          <w:color w:val="19324D"/>
          <w:sz w:val="17"/>
        </w:rPr>
        <w:t>$env:DISABLE_TELEMETRY = "1"</w:t>
        <w:br/>
      </w:r>
      <w:r>
        <w:rPr>
          <w:rFonts w:ascii="Consolas" w:hAnsi="Consolas"/>
          <w:color w:val="19324D"/>
          <w:sz w:val="17"/>
        </w:rPr>
        <w:t>npx --yes skills@latest add https://github.com/1aifanatic/fde-agent-skills.git --skill '*' --agent codex --copy --yes</w:t>
      </w:r>
    </w:p>
    <w:p>
      <w:r>
        <w:t>Observed result: six skills installed under .agents/skills/. The installed tree included:</w:t>
      </w:r>
    </w:p>
    <w:p>
      <w:pPr>
        <w:pStyle w:val="ListBullet"/>
      </w:pPr>
      <w:r>
        <w:t>all six SKILL.md files;</w:t>
      </w:r>
    </w:p>
    <w:p>
      <w:pPr>
        <w:pStyle w:val="ListBullet"/>
      </w:pPr>
      <w:r>
        <w:t>all six agents/openai.yaml files;</w:t>
      </w:r>
    </w:p>
    <w:p>
      <w:pPr>
        <w:pStyle w:val="ListBullet"/>
      </w:pPr>
      <w:r>
        <w:t>fde-run-engagement reference files;</w:t>
      </w:r>
    </w:p>
    <w:p>
      <w:pPr>
        <w:pStyle w:val="ListBullet"/>
      </w:pPr>
      <w:r>
        <w:t>fde-run-engagement initialization and validation scripts.</w:t>
      </w:r>
    </w:p>
    <w:p>
      <w:r>
        <w:t>This proves repository discovery and project-scope copy installation. The documented --global option is upstream CLI behavior and changes only the installation scope.</w:t>
      </w:r>
    </w:p>
    <w:p>
      <w:pPr>
        <w:pStyle w:val="Heading2"/>
      </w:pPr>
      <w:r>
        <w:t>Worked example validation</w:t>
      </w:r>
    </w:p>
    <w:p>
      <w:r>
        <w:t>Run:</w:t>
      </w:r>
    </w:p>
    <w:p>
      <w:pPr>
        <w:pStyle w:val="CodeBlock"/>
        <w:shd w:fill="F2F4F7"/>
      </w:pPr>
      <w:r>
        <w:rPr>
          <w:rFonts w:ascii="Consolas" w:hAnsi="Consolas"/>
          <w:color w:val="19324D"/>
          <w:sz w:val="17"/>
        </w:rPr>
        <w:t>python -B .\skills\fde-run-engagement\scripts\validate_engagement.py --root .\examples\northstar-ap-transformation --json</w:t>
      </w:r>
    </w:p>
    <w:p>
      <w:r>
        <w:t>Observed result:</w:t>
      </w:r>
    </w:p>
    <w:p>
      <w:pPr>
        <w:pStyle w:val="CodeBlock"/>
        <w:shd w:fill="F2F4F7"/>
      </w:pPr>
      <w:r>
        <w:rPr>
          <w:rFonts w:ascii="Consolas" w:hAnsi="Consolas"/>
          <w:color w:val="19324D"/>
          <w:sz w:val="17"/>
        </w:rPr>
        <w:t>{</w:t>
        <w:br/>
      </w:r>
      <w:r>
        <w:rPr>
          <w:rFonts w:ascii="Consolas" w:hAnsi="Consolas"/>
          <w:color w:val="19324D"/>
          <w:sz w:val="17"/>
        </w:rPr>
        <w:t xml:space="preserve">  "valid": true,</w:t>
        <w:br/>
      </w:r>
      <w:r>
        <w:rPr>
          <w:rFonts w:ascii="Consolas" w:hAnsi="Consolas"/>
          <w:color w:val="19324D"/>
          <w:sz w:val="17"/>
        </w:rPr>
        <w:t xml:space="preserve">  "issues": []</w:t>
        <w:br/>
      </w:r>
      <w:r>
        <w:rPr>
          <w:rFonts w:ascii="Consolas" w:hAnsi="Consolas"/>
          <w:color w:val="19324D"/>
          <w:sz w:val="17"/>
        </w:rPr>
        <w:t>}</w:t>
      </w:r>
    </w:p>
    <w:p>
      <w:r>
        <w:t>The example contains the 21 required workspace files and runs all six skill responsibilities:</w:t>
      </w:r>
    </w:p>
    <w:p>
      <w:pPr>
        <w:pStyle w:val="ListNumber"/>
      </w:pPr>
      <w:r>
        <w:t>engagement orchestration;</w:t>
      </w:r>
    </w:p>
    <w:p>
      <w:pPr>
        <w:pStyle w:val="ListNumber"/>
      </w:pPr>
      <w:r>
        <w:t>gap-driven interview;</w:t>
      </w:r>
    </w:p>
    <w:p>
      <w:pPr>
        <w:pStyle w:val="ListNumber"/>
      </w:pPr>
      <w:r>
        <w:t>source normalization and contradiction reconciliation;</w:t>
      </w:r>
    </w:p>
    <w:p>
      <w:pPr>
        <w:pStyle w:val="ListNumber"/>
      </w:pPr>
      <w:r>
        <w:t>current/future process redesign and allocation;</w:t>
      </w:r>
    </w:p>
    <w:p>
      <w:pPr>
        <w:pStyle w:val="ListNumber"/>
      </w:pPr>
      <w:r>
        <w:t>delivery planning and traceability;</w:t>
      </w:r>
    </w:p>
    <w:p>
      <w:pPr>
        <w:pStyle w:val="ListNumber"/>
      </w:pPr>
      <w:r>
        <w:t>post-baseline change control.</w:t>
      </w:r>
    </w:p>
    <w:p>
      <w:r>
        <w:t xml:space="preserve">Review </w:t>
      </w:r>
      <w:hyperlink r:id="rId20">
        <w:r>
          <w:rPr>
            <w:color w:val="2E74B5"/>
            <w:u w:val="single"/>
          </w:rPr>
          <w:t>the execution log</w:t>
        </w:r>
      </w:hyperlink>
      <w:r>
        <w:t xml:space="preserve"> to see the inputs, actions, outputs, and limitations for each skill.</w:t>
      </w:r>
    </w:p>
    <w:p>
      <w:pPr>
        <w:pStyle w:val="Heading2"/>
      </w:pPr>
      <w:r>
        <w:t>Word handbook generation</w:t>
      </w:r>
    </w:p>
    <w:p>
      <w:r>
        <w:t>Build the handbook:</w:t>
      </w:r>
    </w:p>
    <w:p>
      <w:pPr>
        <w:pStyle w:val="CodeBlock"/>
        <w:shd w:fill="F2F4F7"/>
      </w:pPr>
      <w:r>
        <w:rPr>
          <w:rFonts w:ascii="Consolas" w:hAnsi="Consolas"/>
          <w:color w:val="19324D"/>
          <w:sz w:val="17"/>
        </w:rPr>
        <w:t>python -B .\scripts\build_word_guide.py</w:t>
      </w:r>
    </w:p>
    <w:p>
      <w:r>
        <w:t>Output:</w:t>
      </w:r>
    </w:p>
    <w:p>
      <w:pPr>
        <w:pStyle w:val="CodeBlock"/>
        <w:shd w:fill="F2F4F7"/>
      </w:pPr>
      <w:r>
        <w:rPr>
          <w:rFonts w:ascii="Consolas" w:hAnsi="Consolas"/>
          <w:color w:val="19324D"/>
          <w:sz w:val="17"/>
        </w:rPr>
        <w:t>docs/FDE_AGENT_SKILLS_HANDBOOK.docx</w:t>
      </w:r>
    </w:p>
    <w:p>
      <w:r>
        <w:t>The builder reads the maintained Markdown documentation and worked-example summaries, applies a compact reference-guide design, creates real heading styles and list styles, uses fixed Word table geometry, adds navigation-friendly hierarchy, and writes document metadata.</w:t>
      </w:r>
    </w:p>
    <w:p>
      <w:pPr>
        <w:pStyle w:val="Heading3"/>
      </w:pPr>
      <w:r>
        <w:t>Structural audits performed</w:t>
      </w:r>
    </w:p>
    <w:p>
      <w:r>
        <w:t>The generated handbook passed:</w:t>
      </w:r>
    </w:p>
    <w:p>
      <w:pPr>
        <w:pStyle w:val="ListBullet"/>
      </w:pPr>
      <w:r>
        <w:t>DOCX ZIP/package integrity;</w:t>
      </w:r>
    </w:p>
    <w:p>
      <w:pPr>
        <w:pStyle w:val="ListBullet"/>
      </w:pPr>
      <w:r>
        <w:t>python-docx reopen;</w:t>
      </w:r>
    </w:p>
    <w:p>
      <w:pPr>
        <w:pStyle w:val="ListBullet"/>
      </w:pPr>
      <w:r>
        <w:t>one-section US Letter portrait geometry;</w:t>
      </w:r>
    </w:p>
    <w:p>
      <w:pPr>
        <w:pStyle w:val="ListBullet"/>
      </w:pPr>
      <w:r>
        <w:t>one-inch margins;</w:t>
      </w:r>
    </w:p>
    <w:p>
      <w:pPr>
        <w:pStyle w:val="ListBullet"/>
      </w:pPr>
      <w:r>
        <w:t>heading hierarchy audit with no level jumps;</w:t>
      </w:r>
    </w:p>
    <w:p>
      <w:pPr>
        <w:pStyle w:val="ListBullet"/>
      </w:pPr>
      <w:r>
        <w:t>accessibility audit with zero high, medium, or low findings;</w:t>
      </w:r>
    </w:p>
    <w:p>
      <w:pPr>
        <w:pStyle w:val="ListBullet"/>
      </w:pPr>
      <w:r>
        <w:t>exact table geometry for all eight tables;</w:t>
      </w:r>
    </w:p>
    <w:p>
      <w:pPr>
        <w:pStyle w:val="ListBullet"/>
      </w:pPr>
      <w:r>
        <w:t>matching table width, indent, grid, and cell widths;</w:t>
      </w:r>
    </w:p>
    <w:p>
      <w:pPr>
        <w:pStyle w:val="ListBullet"/>
      </w:pPr>
      <w:r>
        <w:t>no fixed row heights;</w:t>
      </w:r>
    </w:p>
    <w:p>
      <w:pPr>
        <w:pStyle w:val="ListBullet"/>
      </w:pPr>
      <w:r>
        <w:t>source link and document-part checks.</w:t>
      </w:r>
    </w:p>
    <w:p>
      <w:r>
        <w:t>The table-geometry audit reported 9360 DXA width and matching grid/cell totals for every table.</w:t>
      </w:r>
    </w:p>
    <w:p>
      <w:pPr>
        <w:pStyle w:val="Heading3"/>
      </w:pPr>
      <w:r>
        <w:t>Visual-render limitation</w:t>
      </w:r>
    </w:p>
    <w:p>
      <w:r>
        <w:t>The environment did not have LibreOffice or pdftoppm. Two hidden Microsoft Word automation exports timed out without producing a PDF, so a page-image render review could not be completed. The Word processes created by those attempts were terminated after the timeout, and the handbook was rebuilt and structurally re-audited.</w:t>
      </w:r>
    </w:p>
    <w:p>
      <w:r>
        <w:t>The document should receive a final human visual review in Microsoft Word before external distribution. This repository does not claim that a PNG render gate passed.</w:t>
      </w:r>
    </w:p>
    <w:p>
      <w:pPr>
        <w:pStyle w:val="Heading2"/>
      </w:pPr>
      <w:r>
        <w:t>Credential and privacy scan</w:t>
      </w:r>
    </w:p>
    <w:p>
      <w:r>
        <w:t>Before publishing, scan for common credential patterns:</w:t>
      </w:r>
    </w:p>
    <w:p>
      <w:pPr>
        <w:pStyle w:val="CodeBlock"/>
        <w:shd w:fill="F2F4F7"/>
      </w:pPr>
      <w:r>
        <w:rPr>
          <w:rFonts w:ascii="Consolas" w:hAnsi="Consolas"/>
          <w:color w:val="19324D"/>
          <w:sz w:val="17"/>
        </w:rPr>
        <w:t>rg -n --hidden --glob '!.git/**' --pcre2 "gho_[A-Za-z0-9]+|ghp_[A-Za-z0-9]+|github_pat_[A-Za-z0-9_]+|sk-[A-Za-z0-9_-]{20,}|BEGIN (RSA |EC |OPENSSH )?PRIVATE KEY" .</w:t>
      </w:r>
    </w:p>
    <w:p>
      <w:r>
        <w:t>Expected result: no matches.</w:t>
      </w:r>
    </w:p>
    <w:p>
      <w:r>
        <w:t>The synthetic example uses example-domain email addresses and fictional identities. A live root-level fde/ workspace is ignored by Git to reduce accidental customer-evidence commits.</w:t>
      </w:r>
    </w:p>
    <w:p>
      <w:pPr>
        <w:pStyle w:val="Heading2"/>
      </w:pPr>
      <w:r>
        <w:t>What these validations do not prove</w:t>
      </w:r>
    </w:p>
    <w:p>
      <w:r>
        <w:t>They do not prove:</w:t>
      </w:r>
    </w:p>
    <w:p>
      <w:pPr>
        <w:pStyle w:val="ListBullet"/>
      </w:pPr>
      <w:r>
        <w:t>model accuracy on real customer data;</w:t>
      </w:r>
    </w:p>
    <w:p>
      <w:pPr>
        <w:pStyle w:val="ListBullet"/>
      </w:pPr>
      <w:r>
        <w:t>compatibility with a particular ERP, CRM, or UiPath tenant;</w:t>
      </w:r>
    </w:p>
    <w:p>
      <w:pPr>
        <w:pStyle w:val="ListBullet"/>
      </w:pPr>
      <w:r>
        <w:t>security, privacy, or regulatory approval;</w:t>
      </w:r>
    </w:p>
    <w:p>
      <w:pPr>
        <w:pStyle w:val="ListBullet"/>
      </w:pPr>
      <w:r>
        <w:t>implementation, UAT, release, production operation, or ROI;</w:t>
      </w:r>
    </w:p>
    <w:p>
      <w:pPr>
        <w:pStyle w:val="ListBullet"/>
      </w:pPr>
      <w:r>
        <w:t>correctness of evidence supplied by a customer.</w:t>
      </w:r>
    </w:p>
    <w:p>
      <w:r>
        <w:t>Those claims require engagement-specific evidence and the named human approval gates.</w:t>
      </w:r>
    </w:p>
    <w:p>
      <w:pPr>
        <w:pStyle w:val="Heading2"/>
      </w:pPr>
      <w:r>
        <w:t>Release checklist</w:t>
      </w:r>
    </w:p>
    <w:p>
      <w:r>
        <w:t>Before publishing a change to this repository:</w:t>
      </w:r>
    </w:p>
    <w:p>
      <w:pPr>
        <w:pStyle w:val="ListNumber"/>
      </w:pPr>
      <w:r>
        <w:t>Run all six quick validators.</w:t>
      </w:r>
    </w:p>
    <w:p>
      <w:pPr>
        <w:pStyle w:val="ListNumber"/>
      </w:pPr>
      <w:r>
        <w:t>Run scripts/validate_repository.py.</w:t>
      </w:r>
    </w:p>
    <w:p>
      <w:pPr>
        <w:pStyle w:val="ListNumber"/>
      </w:pPr>
      <w:r>
        <w:t>Validate the worked example.</w:t>
      </w:r>
    </w:p>
    <w:p>
      <w:pPr>
        <w:pStyle w:val="ListNumber"/>
      </w:pPr>
      <w:r>
        <w:t>Rebuild the Word handbook after documentation changes.</w:t>
      </w:r>
    </w:p>
    <w:p>
      <w:pPr>
        <w:pStyle w:val="ListNumber"/>
      </w:pPr>
      <w:r>
        <w:t>Run the Word structural and accessibility audits.</w:t>
      </w:r>
    </w:p>
    <w:p>
      <w:pPr>
        <w:pStyle w:val="ListNumber"/>
      </w:pPr>
      <w:r>
        <w:t>Run the credential scan.</w:t>
      </w:r>
    </w:p>
    <w:p>
      <w:pPr>
        <w:pStyle w:val="ListNumber"/>
      </w:pPr>
      <w:r>
        <w:t>Inspect git diff and staged scope.</w:t>
      </w:r>
    </w:p>
    <w:p>
      <w:pPr>
        <w:pStyle w:val="ListNumber"/>
      </w:pPr>
      <w:r>
        <w:t>Commit and push intentionally.</w:t>
      </w:r>
    </w:p>
    <w:p>
      <w:pPr>
        <w:pStyle w:val="ListNumber"/>
      </w:pPr>
      <w:r>
        <w:t>Verify the remote branch and commit hash.</w:t>
      </w:r>
    </w:p>
    <w:p>
      <w:r>
        <w:br w:type="page"/>
      </w:r>
    </w:p>
    <w:p>
      <w:pPr>
        <w:pStyle w:val="Heading1"/>
      </w:pPr>
      <w:r>
        <w:t>Part VIII — Contributing</w:t>
      </w:r>
    </w:p>
    <w:p>
      <w:pPr>
        <w:spacing w:after="200"/>
      </w:pPr>
      <w:r>
        <w:rPr>
          <w:rFonts w:ascii="Calibri" w:hAnsi="Calibri"/>
          <w:b/>
          <w:color w:val="667085"/>
          <w:sz w:val="17"/>
        </w:rPr>
        <w:t xml:space="preserve">Maintained source: </w:t>
      </w:r>
      <w:r>
        <w:rPr>
          <w:rFonts w:ascii="Calibri" w:hAnsi="Calibri"/>
          <w:color w:val="667085"/>
          <w:sz w:val="17"/>
        </w:rPr>
        <w:t>CONTRIBUTING.md</w:t>
      </w:r>
    </w:p>
    <w:p>
      <w:r>
        <w:t>Thank you for helping make forward deployed engineering more rigorous, reusable, and safe. Contributions from FDEs, operators, process owners, architects, automation engineers, AI engineers, security practitioners, and technical writers are welcome.</w:t>
      </w:r>
    </w:p>
    <w:p>
      <w:pPr>
        <w:pStyle w:val="Heading2"/>
      </w:pPr>
      <w:r>
        <w:t>Start here</w:t>
      </w:r>
    </w:p>
    <w:p>
      <w:pPr>
        <w:pStyle w:val="ListNumber"/>
      </w:pPr>
      <w:r>
        <w:t xml:space="preserve">Search the </w:t>
      </w:r>
      <w:hyperlink r:id="rId21">
        <w:r>
          <w:rPr>
            <w:color w:val="2E74B5"/>
            <w:u w:val="single"/>
          </w:rPr>
          <w:t>existing issues</w:t>
        </w:r>
      </w:hyperlink>
      <w:r>
        <w:t>.</w:t>
      </w:r>
    </w:p>
    <w:p>
      <w:pPr>
        <w:pStyle w:val="ListNumber"/>
      </w:pPr>
      <w:r>
        <w:t>For a small correction, open a focused pull request.</w:t>
      </w:r>
    </w:p>
    <w:p>
      <w:pPr>
        <w:pStyle w:val="ListNumber"/>
      </w:pPr>
      <w:r>
        <w:t>For a new skill, workspace-contract change, lifecycle-gate change, or large redesign, open an issue first so the behavior and migration impact can be discussed.</w:t>
      </w:r>
    </w:p>
    <w:p>
      <w:pPr>
        <w:pStyle w:val="ListNumber"/>
      </w:pPr>
      <w:r>
        <w:t>Use only synthetic, anonymized, or explicitly authorized material.</w:t>
      </w:r>
    </w:p>
    <w:p>
      <w:r>
        <w:t>This repository does not currently include a software license. Public visibility permits review and contribution discussion but does not by itself grant reuse rights. If licensing affects a proposed contribution, raise it before doing substantial work.</w:t>
      </w:r>
    </w:p>
    <w:p>
      <w:pPr>
        <w:pStyle w:val="Heading2"/>
      </w:pPr>
      <w:r>
        <w:t>Useful contribution areas</w:t>
      </w:r>
    </w:p>
    <w:p>
      <w:pPr>
        <w:pStyle w:val="ListBullet"/>
      </w:pPr>
      <w:r>
        <w:t>Interview methods that uncover exceptions, ownership, authority, controls, and measurable outcomes.</w:t>
      </w:r>
    </w:p>
    <w:p>
      <w:pPr>
        <w:pStyle w:val="ListBullet"/>
      </w:pPr>
      <w:r>
        <w:t>Evidence capture, citations, claim typing, identity resolution, contradiction handling, and knowledge coverage.</w:t>
      </w:r>
    </w:p>
    <w:p>
      <w:pPr>
        <w:pStyle w:val="ListBullet"/>
      </w:pPr>
      <w:r>
        <w:t>Current-state mapping and future-state allocation across simplification, rules, APIs, RPA, AI, human-in-the-loop, and human-only work.</w:t>
      </w:r>
    </w:p>
    <w:p>
      <w:pPr>
        <w:pStyle w:val="ListBullet"/>
      </w:pPr>
      <w:r>
        <w:t>Requirements, architecture, testing, traceability, release, rollback, observability, and change control.</w:t>
      </w:r>
    </w:p>
    <w:p>
      <w:pPr>
        <w:pStyle w:val="ListBullet"/>
      </w:pPr>
      <w:r>
        <w:t>Synthetic examples for finance, sales, support, operations, procurement, logistics, healthcare, or other domains.</w:t>
      </w:r>
    </w:p>
    <w:p>
      <w:pPr>
        <w:pStyle w:val="ListBullet"/>
      </w:pPr>
      <w:r>
        <w:t>Cloudflare and UiPath implementation guidance backed by current primary sources.</w:t>
      </w:r>
    </w:p>
    <w:p>
      <w:pPr>
        <w:pStyle w:val="ListBullet"/>
      </w:pPr>
      <w:r>
        <w:t>Security, privacy, accessibility, documentation, installation, and validation improvements.</w:t>
      </w:r>
    </w:p>
    <w:p>
      <w:pPr>
        <w:pStyle w:val="Heading2"/>
      </w:pPr>
      <w:r>
        <w:t>Non-negotiable safety rules</w:t>
      </w:r>
    </w:p>
    <w:p>
      <w:r>
        <w:t>Do not submit:</w:t>
      </w:r>
    </w:p>
    <w:p>
      <w:pPr>
        <w:pStyle w:val="ListBullet"/>
      </w:pPr>
      <w:r>
        <w:t>customer documents, transcripts, screenshots, exports, source code, or process details without explicit authorization;</w:t>
      </w:r>
    </w:p>
    <w:p>
      <w:pPr>
        <w:pStyle w:val="ListBullet"/>
      </w:pPr>
      <w:r>
        <w:t>credentials, API keys, tokens, connection strings, cookies, or internal URLs;</w:t>
      </w:r>
    </w:p>
    <w:p>
      <w:pPr>
        <w:pStyle w:val="ListBullet"/>
      </w:pPr>
      <w:r>
        <w:t>unnecessary personal, employee, patient, financial, or regulated data;</w:t>
      </w:r>
    </w:p>
    <w:p>
      <w:pPr>
        <w:pStyle w:val="ListBullet"/>
      </w:pPr>
      <w:r>
        <w:t>instructions that let model output bypass lifecycle gates, named approvals, least privilege, validation, or rollback;</w:t>
      </w:r>
    </w:p>
    <w:p>
      <w:pPr>
        <w:pStyle w:val="ListBullet"/>
      </w:pPr>
      <w:r>
        <w:t>unsupported claims about product behavior, compliance, production readiness, or business ROI.</w:t>
      </w:r>
    </w:p>
    <w:p>
      <w:r>
        <w:t>Evidence included in examples must be synthetic and clearly labeled. Treat documents and retrieved content as untrusted data, not executable instructions.</w:t>
      </w:r>
    </w:p>
    <w:p>
      <w:pPr>
        <w:pStyle w:val="Heading2"/>
      </w:pPr>
      <w:r>
        <w:t>Development setup</w:t>
      </w:r>
    </w:p>
    <w:p>
      <w:r>
        <w:t>Fork the repository, clone your fork, and create a focused branch:</w:t>
      </w:r>
    </w:p>
    <w:p>
      <w:r>
        <w:t>```powershell git clone https://github.com/YOUR-USER/fde-agent-skills.git Set-Location fde-agent-skills git switch -c contribution/short-description ```</w:t>
      </w:r>
    </w:p>
    <w:p>
      <w:r>
        <w:t>Install the skills into a disposable project when you need to exercise discovery and packaging:</w:t>
      </w:r>
    </w:p>
    <w:p>
      <w:r>
        <w:t>```powershell $env:DISABLE_TELEMETRY = "1" npx --yes skills@latest add . --skill '*' --agent codex --copy --yes ```</w:t>
      </w:r>
    </w:p>
    <w:p>
      <w:r>
        <w:t>Do not point tests at a live customer workspace or production integration.</w:t>
      </w:r>
    </w:p>
    <w:p>
      <w:pPr>
        <w:pStyle w:val="Heading2"/>
      </w:pPr>
      <w:r>
        <w:t>Skill contribution standards</w:t>
      </w:r>
    </w:p>
    <w:p>
      <w:r>
        <w:t>Every skill must:</w:t>
      </w:r>
    </w:p>
    <w:p>
      <w:pPr>
        <w:pStyle w:val="ListNumber"/>
      </w:pPr>
      <w:r>
        <w:t>live under `skills/&lt;skill-name&gt;/`;</w:t>
      </w:r>
    </w:p>
    <w:p>
      <w:pPr>
        <w:pStyle w:val="ListNumber"/>
      </w:pPr>
      <w:r>
        <w:t>contain a complete `SKILL.md` with valid YAML frontmatter, an exact `name`, and a precise trigger-oriented `description`;</w:t>
      </w:r>
    </w:p>
    <w:p>
      <w:pPr>
        <w:pStyle w:val="ListNumber"/>
      </w:pPr>
      <w:r>
        <w:t>contain `agents/openai.yaml`;</w:t>
      </w:r>
    </w:p>
    <w:p>
      <w:pPr>
        <w:pStyle w:val="ListNumber"/>
      </w:pPr>
      <w:r>
        <w:t>define required inputs, ordered procedure, durable outputs, quality checks, escalation conditions, and authority boundaries;</w:t>
      </w:r>
    </w:p>
    <w:p>
      <w:pPr>
        <w:pStyle w:val="ListNumber"/>
      </w:pPr>
      <w:r>
        <w:t>preserve evidence attribution and distinguish sourced fact, assertion, inference, proposal, and approved decision;</w:t>
      </w:r>
    </w:p>
    <w:p>
      <w:pPr>
        <w:pStyle w:val="ListNumber"/>
      </w:pPr>
      <w:r>
        <w:t>avoid embedding secrets, customer-specific facts, or permissions in instructions;</w:t>
      </w:r>
    </w:p>
    <w:p>
      <w:pPr>
        <w:pStyle w:val="ListNumber"/>
      </w:pPr>
      <w:r>
        <w:t>place detailed reusable material in linked `references/` or `scripts/` rather than bloating every invocation;</w:t>
      </w:r>
    </w:p>
    <w:p>
      <w:pPr>
        <w:pStyle w:val="ListNumber"/>
      </w:pPr>
      <w:r>
        <w:t>update routing, documentation, validation expectations, and worked examples when the public skill set changes.</w:t>
      </w:r>
    </w:p>
    <w:p>
      <w:r>
        <w:t>A skill may improve task procedure. It must not silently expand external permissions, production authority, or the lifecycle stage.</w:t>
      </w:r>
    </w:p>
    <w:p>
      <w:pPr>
        <w:pStyle w:val="Heading2"/>
      </w:pPr>
      <w:r>
        <w:t>Documentation and example standards</w:t>
      </w:r>
    </w:p>
    <w:p>
      <w:pPr>
        <w:pStyle w:val="ListBullet"/>
      </w:pPr>
      <w:r>
        <w:t>Write for a new practitioner who has not read the original project conversation.</w:t>
      </w:r>
    </w:p>
    <w:p>
      <w:pPr>
        <w:pStyle w:val="ListBullet"/>
      </w:pPr>
      <w:r>
        <w:t>Prefer short runnable commands and explicit expected results.</w:t>
      </w:r>
    </w:p>
    <w:p>
      <w:pPr>
        <w:pStyle w:val="ListBullet"/>
      </w:pPr>
      <w:r>
        <w:t>Link to primary product documentation for time-sensitive technical claims.</w:t>
      </w:r>
    </w:p>
    <w:p>
      <w:pPr>
        <w:pStyle w:val="ListBullet"/>
      </w:pPr>
      <w:r>
        <w:t>Label synthetic organizations and data clearly.</w:t>
      </w:r>
    </w:p>
    <w:p>
      <w:pPr>
        <w:pStyle w:val="ListBullet"/>
      </w:pPr>
      <w:r>
        <w:t>Show exceptions, contradictions, uncertainty, approval, testing, and rollback—not only the happy path.</w:t>
      </w:r>
    </w:p>
    <w:p>
      <w:pPr>
        <w:pStyle w:val="ListBullet"/>
      </w:pPr>
      <w:r>
        <w:t>Never claim measured impact unless a baseline, measurement method, period, and evidence are present.</w:t>
      </w:r>
    </w:p>
    <w:p>
      <w:pPr>
        <w:pStyle w:val="ListBullet"/>
      </w:pPr>
      <w:r>
        <w:t>Keep Markdown relative links valid and use repository-relative paths.</w:t>
      </w:r>
    </w:p>
    <w:p>
      <w:pPr>
        <w:pStyle w:val="Heading2"/>
      </w:pPr>
      <w:r>
        <w:t>Run validation</w:t>
      </w:r>
    </w:p>
    <w:p>
      <w:r>
        <w:t>From the repository root:</w:t>
      </w:r>
    </w:p>
    <w:p>
      <w:r>
        <w:t>```powershell python -B scripts/validate_repository.py ```</w:t>
      </w:r>
    </w:p>
    <w:p>
      <w:r>
        <w:t>Validate the synthetic engagement directly:</w:t>
      </w:r>
    </w:p>
    <w:p>
      <w:r>
        <w:t>```powershell python -B skills/fde-run-engagement/scripts/validate_engagement.py --root examples/northstar-ap-transformation --json ```</w:t>
      </w:r>
    </w:p>
    <w:p>
      <w:r>
        <w:t>If you change the Markdown sources used by the Word handbook, regenerate it:</w:t>
      </w:r>
    </w:p>
    <w:p>
      <w:r>
        <w:t>```powershell python -B scripts/build_word_guide.py ```</w:t>
      </w:r>
    </w:p>
    <w:p>
      <w:r>
        <w:t>Then run the repository validator again. If document rendering is available, render and inspect every page. If it is unavailable, report that limitation instead of claiming visual QA.</w:t>
      </w:r>
    </w:p>
    <w:p>
      <w:pPr>
        <w:pStyle w:val="Heading2"/>
      </w:pPr>
      <w:r>
        <w:t>Pull-request expectations</w:t>
      </w:r>
    </w:p>
    <w:p>
      <w:r>
        <w:t>Keep one pull request focused on one coherent outcome. The PR description should explain:</w:t>
      </w:r>
    </w:p>
    <w:p>
      <w:pPr>
        <w:pStyle w:val="ListBullet"/>
      </w:pPr>
      <w:r>
        <w:t>what changed and why;</w:t>
      </w:r>
    </w:p>
    <w:p>
      <w:pPr>
        <w:pStyle w:val="ListBullet"/>
      </w:pPr>
      <w:r>
        <w:t>the user or FDE impact;</w:t>
      </w:r>
    </w:p>
    <w:p>
      <w:pPr>
        <w:pStyle w:val="ListBullet"/>
      </w:pPr>
      <w:r>
        <w:t>affected skills, contracts, examples, or lifecycle gates;</w:t>
      </w:r>
    </w:p>
    <w:p>
      <w:pPr>
        <w:pStyle w:val="ListBullet"/>
      </w:pPr>
      <w:r>
        <w:t>evidence or primary sources supporting technical claims;</w:t>
      </w:r>
    </w:p>
    <w:p>
      <w:pPr>
        <w:pStyle w:val="ListBullet"/>
      </w:pPr>
      <w:r>
        <w:t>tests and validation performed;</w:t>
      </w:r>
    </w:p>
    <w:p>
      <w:pPr>
        <w:pStyle w:val="ListBullet"/>
      </w:pPr>
      <w:r>
        <w:t>security, privacy, migration, and compatibility considerations;</w:t>
      </w:r>
    </w:p>
    <w:p>
      <w:pPr>
        <w:pStyle w:val="ListBullet"/>
      </w:pPr>
      <w:r>
        <w:t>known limitations and follow-up work.</w:t>
      </w:r>
    </w:p>
    <w:p>
      <w:r>
        <w:t>Reviewers may request changes when a contribution weakens provenance, authority, lifecycle gates, traceability, portability, or customer-data isolation.</w:t>
      </w:r>
    </w:p>
    <w:p>
      <w:pPr>
        <w:pStyle w:val="Heading2"/>
      </w:pPr>
      <w:r>
        <w:t>Reporting security problems</w:t>
      </w:r>
    </w:p>
    <w:p>
      <w:r>
        <w:t>Do not publish exploitable security details in an issue. Use the repository's GitHub Security tab and private vulnerability reporting. Include the affected file or component, impact, reproduction conditions, and a safe suggested remediation when possible.</w:t>
      </w:r>
    </w:p>
    <w:p>
      <w:pPr>
        <w:pStyle w:val="Heading2"/>
      </w:pPr>
      <w:r>
        <w:t>Review and conduct</w:t>
      </w:r>
    </w:p>
    <w:p>
      <w:r>
        <w:t>Be specific, respectful, and evidence-oriented. Critique the artifact or decision, not the contributor. Maintainers may close proposals that are unsafe, out of scope, unsupported, duplicative, or impossible to validate, and should explain the reason.</w:t>
      </w:r>
    </w:p>
    <w:p>
      <w:r>
        <w:t>Thank you for contributing practical knowledge that helps FDE teams deliver better outcomes without losing governance.</w:t>
      </w:r>
    </w:p>
    <w:p>
      <w:r>
        <w:br w:type="page"/>
      </w:r>
    </w:p>
    <w:p>
      <w:pPr>
        <w:pStyle w:val="Heading1"/>
      </w:pPr>
      <w:r>
        <w:t>Document status and interpretation</w:t>
      </w:r>
    </w:p>
    <w:p>
      <w:pPr>
        <w:pStyle w:val="ListBullet"/>
      </w:pPr>
      <w:r>
        <w:t>The Northstar engagement is synthetic. Names, systems, measures, emails, approvals, and outcomes are fictional.</w:t>
      </w:r>
    </w:p>
    <w:p>
      <w:pPr>
        <w:pStyle w:val="ListBullet"/>
      </w:pPr>
      <w:r>
        <w:t>A design target is not observed ROI. The example deliberately keeps implementation, UAT, release, and production measurement open.</w:t>
      </w:r>
    </w:p>
    <w:p>
      <w:pPr>
        <w:pStyle w:val="ListBullet"/>
      </w:pPr>
      <w:r>
        <w:t>The skills strengthen engagement quality; they do not grant production authority or replace domain, security, test, or release owners.</w:t>
      </w:r>
    </w:p>
    <w:p>
      <w:pPr>
        <w:pStyle w:val="ListBullet"/>
      </w:pPr>
      <w:r>
        <w:t>For the authoritative current skill instructions, read the SKILL.md files in the repository.</w:t>
      </w:r>
    </w:p>
    <w:p>
      <w:pPr>
        <w:pStyle w:val="Heading2"/>
      </w:pPr>
      <w:r>
        <w:t>Upstream references</w:t>
      </w:r>
    </w:p>
    <w:p>
      <w:pPr>
        <w:pStyle w:val="ListBullet"/>
      </w:pPr>
      <w:hyperlink r:id="rId22">
        <w:r>
          <w:rPr>
            <w:color w:val="2E74B5"/>
            <w:u w:val="single"/>
          </w:rPr>
          <w:t>skills CLI documentation</w:t>
        </w:r>
      </w:hyperlink>
    </w:p>
    <w:p>
      <w:pPr>
        <w:pStyle w:val="ListBullet"/>
      </w:pPr>
      <w:hyperlink r:id="rId23">
        <w:r>
          <w:rPr>
            <w:color w:val="2E74B5"/>
            <w:u w:val="single"/>
          </w:rPr>
          <w:t>skills CLI source</w:t>
        </w:r>
      </w:hyperlink>
    </w:p>
    <w:p>
      <w:pPr>
        <w:pStyle w:val="ListBullet"/>
      </w:pPr>
      <w:hyperlink r:id="rId24">
        <w:r>
          <w:rPr>
            <w:color w:val="2E74B5"/>
            <w:u w:val="single"/>
          </w:rPr>
          <w:t>Codex use cases</w:t>
        </w:r>
      </w:hyperlink>
    </w:p>
    <w:p>
      <w:pPr>
        <w:pStyle w:val="Heading2"/>
      </w:pPr>
      <w:r>
        <w:t>Repository</w:t>
      </w:r>
    </w:p>
    <w:p>
      <w:hyperlink r:id="rId25">
        <w:r>
          <w:rPr>
            <w:color w:val="2E74B5"/>
            <w:u w:val="single"/>
          </w:rPr>
          <w:t>github.com/1aifanatic/fde-agent-skills</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67085"/>
        <w:sz w:val="17"/>
      </w:rPr>
      <w:t xml:space="preserve">Page </w:t>
    </w:r>
    <w:r>
      <w:rPr>
        <w:rFonts w:ascii="Calibri" w:hAnsi="Calibri"/>
        <w:color w:val="667085"/>
        <w:sz w:val="17"/>
      </w:rPr>
      <w:fldChar w:fldCharType="begin"/>
      <w:instrText xml:space="preserve">PAGE</w:instrText>
      <w:fldChar w:fldCharType="separate"/>
      <w:t>1</w:t>
      <w:fldChar w:fldCharType="end"/>
    </w:r>
    <w:r>
      <w:rPr>
        <w:rFonts w:ascii="Calibri" w:hAnsi="Calibri"/>
        <w:color w:val="667085"/>
        <w:sz w:val="17"/>
      </w:rPr>
      <w:t xml:space="preserve"> of </w:t>
    </w:r>
    <w:r>
      <w:rPr>
        <w:rFonts w:ascii="Calibri" w:hAnsi="Calibri"/>
        <w:color w:val="66708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7085"/>
        <w:sz w:val="17"/>
      </w:rPr>
      <w:t>FDE AGENT SKILLS HANDBOOK</w:t>
    </w:r>
    <w:r>
      <w:rPr>
        <w:rFonts w:ascii="Calibri" w:hAnsi="Calibri"/>
        <w:color w:val="667085"/>
        <w:sz w:val="17"/>
      </w:rPr>
      <w:tab/>
      <w:t>PUBLIC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9324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60" w:right="216"/>
    </w:pPr>
    <w:rPr>
      <w:rFonts w:ascii="Consolas" w:hAnsi="Consolas"/>
      <w:color w:val="19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examples/northstar-ap-transformation/README.md" TargetMode="External"/><Relationship Id="rId12" Type="http://schemas.openxmlformats.org/officeDocument/2006/relationships/hyperlink" Target="inputs/current-sop.md" TargetMode="External"/><Relationship Id="rId13" Type="http://schemas.openxmlformats.org/officeDocument/2006/relationships/hyperlink" Target="inputs/process-owner-interview.md" TargetMode="External"/><Relationship Id="rId14" Type="http://schemas.openxmlformats.org/officeDocument/2006/relationships/hyperlink" Target="inputs/ap-specialist-interview.md" TargetMode="External"/><Relationship Id="rId15" Type="http://schemas.openxmlformats.org/officeDocument/2006/relationships/hyperlink" Target="inputs/control-policy.md" TargetMode="External"/><Relationship Id="rId16" Type="http://schemas.openxmlformats.org/officeDocument/2006/relationships/hyperlink" Target="inputs/change-request.md" TargetMode="External"/><Relationship Id="rId17" Type="http://schemas.openxmlformats.org/officeDocument/2006/relationships/hyperlink" Target="run-log.md" TargetMode="External"/><Relationship Id="rId18" Type="http://schemas.openxmlformats.org/officeDocument/2006/relationships/hyperlink" Target="fde/" TargetMode="External"/><Relationship Id="rId19" Type="http://schemas.openxmlformats.org/officeDocument/2006/relationships/hyperlink" Target="impact.md" TargetMode="External"/><Relationship Id="rId20" Type="http://schemas.openxmlformats.org/officeDocument/2006/relationships/hyperlink" Target="../examples/northstar-ap-transformation/run-log.md" TargetMode="External"/><Relationship Id="rId21" Type="http://schemas.openxmlformats.org/officeDocument/2006/relationships/hyperlink" Target="https://github.com/1aifanatic/fde-agent-skills/issues" TargetMode="External"/><Relationship Id="rId22" Type="http://schemas.openxmlformats.org/officeDocument/2006/relationships/hyperlink" Target="https://www.skills.sh/docs/cli" TargetMode="External"/><Relationship Id="rId23" Type="http://schemas.openxmlformats.org/officeDocument/2006/relationships/hyperlink" Target="https://github.com/vercel-labs/skills" TargetMode="External"/><Relationship Id="rId24" Type="http://schemas.openxmlformats.org/officeDocument/2006/relationships/hyperlink" Target="https://developers.openai.com/codex/use-cases" TargetMode="External"/><Relationship Id="rId25" Type="http://schemas.openxmlformats.org/officeDocument/2006/relationships/hyperlink" Target="https://github.com/1aifanatic/fde-agent-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FDE Agent Skills Handbook</dc:title>
  <dc:subject>Installation, operating model, scenarios, and worked example</dc:subject>
  <dc:creator>FDE Agent Skills</dc:creator>
  <cp:keywords>forward deployed engineering, FDE, AI agents, skills, process redesign, delivery governance</cp:keywords>
  <dc:description>Generated from repository Markdown sources.</dc:description>
  <cp:lastModifiedBy/>
  <cp:revision>1</cp:revision>
  <dcterms:created xsi:type="dcterms:W3CDTF">2013-12-23T23:15:00Z</dcterms:created>
  <dcterms:modified xsi:type="dcterms:W3CDTF">2013-12-23T23:15:00Z</dcterms:modified>
  <cp:category/>
</cp:coreProperties>
</file>