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b/>
          <w:bCs/>
          <w:color w:val="1A2730"/>
          <w:sz w:val="64"/>
          <w:szCs w:val="64"/>
        </w:rPr>
        <w:t xml:space="preserve">Plant</w:t>
      </w:r>
      <w:r>
        <w:rPr>
          <w:b/>
          <w:bCs/>
          <w:color w:val="0E8C7F"/>
          <w:sz w:val="64"/>
          <w:szCs w:val="64"/>
        </w:rPr>
        <w:t xml:space="preserve">Mind</w:t>
      </w:r>
    </w:p>
    <w:p>
      <w:pPr>
        <w:spacing w:after="240"/>
      </w:pPr>
      <w:r>
        <w:rPr>
          <w:i/>
          <w:iCs/>
          <w:color w:val="5A6B78"/>
          <w:sz w:val="28"/>
          <w:szCs w:val="28"/>
        </w:rPr>
        <w:t xml:space="preserve">Predict the failure. Decide the fix. Prove it.</w:t>
      </w:r>
    </w:p>
    <w:p>
      <w:pPr>
        <w:spacing w:after="60"/>
      </w:pPr>
      <w:r>
        <w:rPr>
          <w:b/>
          <w:bCs/>
        </w:rPr>
        <w:t xml:space="preserve">Powered by the Götze Decision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D4DA" w:sz="1"/>
              <w:left w:val="single" w:color="CCD4DA" w:sz="1"/>
              <w:bottom w:val="single" w:color="CCD4DA" w:sz="1"/>
              <w:right w:val="single" w:color="CCD4DA" w:sz="1"/>
            </w:tcBorders>
            <w:shd w:fill="1A2730" w:val="clear"/>
            <w:tcMar>
              <w:top w:type="dxa" w:w="80"/>
              <w:left w:type="dxa" w:w="120"/>
              <w:bottom w:type="dxa" w:w="80"/>
              <w:right w:type="dxa" w:w="120"/>
            </w:tcMar>
          </w:tcPr>
          <w:p>
            <w:r>
              <w:rPr>
                <w:b/>
                <w:bCs/>
                <w:color w:val="FFFFFF"/>
              </w:rPr>
              <w:t xml:space="preserve">Document</w:t>
            </w:r>
          </w:p>
        </w:tc>
        <w:tc>
          <w:tcPr>
            <w:tcW w:type="dxa" w:w="67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Project Brief — Team Alignment</w:t>
            </w:r>
          </w:p>
        </w:tc>
      </w:tr>
      <w:tr>
        <w:tc>
          <w:tcPr>
            <w:tcW w:type="dxa" w:w="2600"/>
            <w:tcBorders>
              <w:top w:val="single" w:color="CCD4DA" w:sz="1"/>
              <w:left w:val="single" w:color="CCD4DA" w:sz="1"/>
              <w:bottom w:val="single" w:color="CCD4DA" w:sz="1"/>
              <w:right w:val="single" w:color="CCD4DA" w:sz="1"/>
            </w:tcBorders>
            <w:shd w:fill="1A2730" w:val="clear"/>
            <w:tcMar>
              <w:top w:type="dxa" w:w="80"/>
              <w:left w:type="dxa" w:w="120"/>
              <w:bottom w:type="dxa" w:w="80"/>
              <w:right w:type="dxa" w:w="120"/>
            </w:tcMar>
          </w:tcPr>
          <w:p>
            <w:r>
              <w:rPr>
                <w:b/>
                <w:bCs/>
                <w:color w:val="FFFFFF"/>
              </w:rPr>
              <w:t xml:space="preserve">Event</w:t>
            </w:r>
          </w:p>
        </w:tc>
        <w:tc>
          <w:tcPr>
            <w:tcW w:type="dxa" w:w="67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LTTS Global Engineering Intelligence (EI) Hackathon · 9 July 2026 · 24 hours</w:t>
            </w:r>
          </w:p>
        </w:tc>
      </w:tr>
      <w:tr>
        <w:tc>
          <w:tcPr>
            <w:tcW w:type="dxa" w:w="2600"/>
            <w:tcBorders>
              <w:top w:val="single" w:color="CCD4DA" w:sz="1"/>
              <w:left w:val="single" w:color="CCD4DA" w:sz="1"/>
              <w:bottom w:val="single" w:color="CCD4DA" w:sz="1"/>
              <w:right w:val="single" w:color="CCD4DA" w:sz="1"/>
            </w:tcBorders>
            <w:shd w:fill="1A2730" w:val="clear"/>
            <w:tcMar>
              <w:top w:type="dxa" w:w="80"/>
              <w:left w:type="dxa" w:w="120"/>
              <w:bottom w:type="dxa" w:w="80"/>
              <w:right w:type="dxa" w:w="120"/>
            </w:tcMar>
          </w:tcPr>
          <w:p>
            <w:r>
              <w:rPr>
                <w:b/>
                <w:bCs/>
                <w:color w:val="FFFFFF"/>
              </w:rPr>
              <w:t xml:space="preserve">Segment</w:t>
            </w:r>
          </w:p>
        </w:tc>
        <w:tc>
          <w:tcPr>
            <w:tcW w:type="dxa" w:w="67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Sustainability — Industrial Asset Optimization</w:t>
            </w:r>
          </w:p>
        </w:tc>
      </w:tr>
      <w:tr>
        <w:tc>
          <w:tcPr>
            <w:tcW w:type="dxa" w:w="2600"/>
            <w:tcBorders>
              <w:top w:val="single" w:color="CCD4DA" w:sz="1"/>
              <w:left w:val="single" w:color="CCD4DA" w:sz="1"/>
              <w:bottom w:val="single" w:color="CCD4DA" w:sz="1"/>
              <w:right w:val="single" w:color="CCD4DA" w:sz="1"/>
            </w:tcBorders>
            <w:shd w:fill="1A2730" w:val="clear"/>
            <w:tcMar>
              <w:top w:type="dxa" w:w="80"/>
              <w:left w:type="dxa" w:w="120"/>
              <w:bottom w:type="dxa" w:w="80"/>
              <w:right w:type="dxa" w:w="120"/>
            </w:tcMar>
          </w:tcPr>
          <w:p>
            <w:r>
              <w:rPr>
                <w:b/>
                <w:bCs/>
                <w:color w:val="FFFFFF"/>
              </w:rPr>
              <w:t xml:space="preserve">Team</w:t>
            </w:r>
          </w:p>
        </w:tc>
        <w:tc>
          <w:tcPr>
            <w:tcW w:type="dxa" w:w="67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4 members — see Roles &amp; Ownership</w:t>
            </w:r>
          </w:p>
        </w:tc>
      </w:tr>
      <w:tr>
        <w:tc>
          <w:tcPr>
            <w:tcW w:type="dxa" w:w="2600"/>
            <w:tcBorders>
              <w:top w:val="single" w:color="CCD4DA" w:sz="1"/>
              <w:left w:val="single" w:color="CCD4DA" w:sz="1"/>
              <w:bottom w:val="single" w:color="CCD4DA" w:sz="1"/>
              <w:right w:val="single" w:color="CCD4DA" w:sz="1"/>
            </w:tcBorders>
            <w:shd w:fill="1A2730" w:val="clear"/>
            <w:tcMar>
              <w:top w:type="dxa" w:w="80"/>
              <w:left w:type="dxa" w:w="120"/>
              <w:bottom w:type="dxa" w:w="80"/>
              <w:right w:type="dxa" w:w="120"/>
            </w:tcMar>
          </w:tcPr>
          <w:p>
            <w:r>
              <w:rPr>
                <w:b/>
                <w:bCs/>
                <w:color w:val="FFFFFF"/>
              </w:rPr>
              <w:t xml:space="preserve">Read time</w:t>
            </w:r>
          </w:p>
        </w:tc>
        <w:tc>
          <w:tcPr>
            <w:tcW w:type="dxa" w:w="67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~8 minutes. Read it fully before we start building.</w:t>
            </w:r>
          </w:p>
        </w:tc>
      </w:tr>
    </w:tbl>
    <w:p>
      <w:r>
        <w:br w:type="page"/>
      </w:r>
    </w:p>
    <w:p>
      <w:pPr>
        <w:pStyle w:val="Heading1"/>
      </w:pPr>
      <w:r>
        <w:t xml:space="preserve">1. What we are building, in one line</w:t>
      </w:r>
    </w:p>
    <w:p>
      <w:pPr>
        <w:spacing w:after="120"/>
      </w:pPr>
      <w:r>
        <w:t xml:space="preserve">PlantMind is an </w:t>
      </w:r>
      <w:r>
        <w:rPr>
          <w:b/>
          <w:bCs/>
        </w:rPr>
        <w:t xml:space="preserve">agentic Engineering Intelligence layer</w:t>
      </w:r>
      <w:r>
        <w:t xml:space="preserve"> that turns industrial sensor data into </w:t>
      </w:r>
      <w:r>
        <w:rPr>
          <w:b/>
          <w:bCs/>
        </w:rPr>
        <w:t xml:space="preserve">autonomous, explainable repair decisions</w:t>
      </w:r>
      <w:r>
        <w:t xml:space="preserve"> — it doesn't just predict that a machine part will fail, it decides the single best corrective action, and proves that action turns a failing asset from </w:t>
      </w:r>
      <w:r>
        <w:rPr>
          <w:b/>
          <w:bCs/>
          <w:color w:val="C0392B"/>
        </w:rPr>
        <w:t xml:space="preserve">RED</w:t>
      </w:r>
      <w:r>
        <w:t xml:space="preserve"> to </w:t>
      </w:r>
      <w:r>
        <w:rPr>
          <w:b/>
          <w:bCs/>
          <w:color w:val="1E8E54"/>
        </w:rPr>
        <w:t xml:space="preserve">GREEN</w:t>
      </w:r>
      <w:r>
        <w:t xml:space="preserve">.</w:t>
      </w:r>
    </w:p>
    <w:p>
      <w:pPr>
        <w:spacing w:after="120"/>
      </w:pPr>
      <w:r>
        <w:rPr>
          <w:b/>
          <w:bCs/>
        </w:rPr>
        <w:t xml:space="preserve">The three-act story (memorize it): </w:t>
      </w:r>
      <w:r>
        <w:t xml:space="preserve">Predict the failure → Decide the fix → Prove it.</w:t>
      </w:r>
    </w:p>
    <w:p>
      <w:pPr>
        <w:pStyle w:val="Heading1"/>
      </w:pPr>
      <w:r>
        <w:t xml:space="preserve">2. The problem we solve</w:t>
      </w:r>
    </w:p>
    <w:p>
      <w:pPr>
        <w:spacing w:after="120"/>
      </w:pPr>
      <w:r>
        <w:t xml:space="preserve">Heavy industry loses an estimated </w:t>
      </w:r>
      <w:r>
        <w:rPr>
          <w:b/>
          <w:bCs/>
        </w:rPr>
        <w:t xml:space="preserve">$50 billion a year</w:t>
      </w:r>
      <w:r>
        <w:t xml:space="preserve"> to unplanned equipment downtime. A single hour of downtime in a large plant runs into hundreds of thousands of dollars. </w:t>
      </w:r>
      <w:r>
        <w:t xml:space="preserve">(These are widely cited industry estimates — we attribute them as such in the pitch.)</w:t>
      </w:r>
    </w:p>
    <w:p>
      <w:pPr>
        <w:spacing w:after="120"/>
      </w:pPr>
      <w:r>
        <w:rPr>
          <w:b/>
          <w:bCs/>
        </w:rPr>
        <w:t xml:space="preserve">The gap nobody fills: </w:t>
      </w:r>
      <w:r>
        <w:t xml:space="preserve">today's predictive-maintenance tools tell an engineer </w:t>
      </w:r>
      <w:r>
        <w:rPr>
          <w:i/>
          <w:iCs/>
        </w:rPr>
        <w:t xml:space="preserve">“bearing 7 will fail in 40 cycles.”</w:t>
      </w:r>
      <w:r>
        <w:t xml:space="preserve"> They do </w:t>
      </w:r>
      <w:r>
        <w:rPr>
          <w:b/>
          <w:bCs/>
        </w:rPr>
        <w:t xml:space="preserve">not</w:t>
      </w:r>
      <w:r>
        <w:t xml:space="preserve"> tell the engineer what to do about it, why, or what it costs to do nothing. A human still guesses the fix. </w:t>
      </w:r>
      <w:r>
        <w:rPr>
          <w:b/>
          <w:bCs/>
        </w:rPr>
        <w:t xml:space="preserve">That decision gap is our wedge.</w:t>
      </w:r>
    </w:p>
    <w:p>
      <w:pPr>
        <w:pStyle w:val="Heading1"/>
      </w:pPr>
      <w:r>
        <w:t xml:space="preserve">3. The core insight — read this twice</w:t>
      </w:r>
    </w:p>
    <w:p>
      <w:pPr>
        <w:spacing w:after="120"/>
      </w:pPr>
      <w:r>
        <w:rPr>
          <w:b/>
          <w:bCs/>
        </w:rPr>
        <w:t xml:space="preserve">Predicting a failure is now a commodity. </w:t>
      </w:r>
      <w:r>
        <w:t xml:space="preserve">Every vendor and every open-source library can do it. There is no prize there. </w:t>
      </w:r>
      <w:r>
        <w:rPr>
          <w:b/>
          <w:bCs/>
        </w:rPr>
        <w:t xml:space="preserve">The prize is in what you do with the prediction</w:t>
      </w:r>
      <w:r>
        <w:t xml:space="preserve"> — choosing the optimal action and proving it works. That decision-and-proof layer is our intellectual property and our patent.</w:t>
      </w:r>
    </w:p>
    <w:p>
      <w:pPr>
        <w:spacing w:after="120"/>
      </w:pPr>
      <w:r>
        <w:rPr>
          <w:i/>
          <w:iCs/>
          <w:color w:val="5A6B78"/>
        </w:rPr>
        <w:t xml:space="preserve">Rule for the whole team: when we present, we spend 20% of our breath on prediction and 80% on the decision. Prediction sets up the real work.</w:t>
      </w:r>
    </w:p>
    <w:p>
      <w:pPr>
        <w:pStyle w:val="Heading1"/>
      </w:pPr>
      <w:r>
        <w:t xml:space="preserve">4. How it works — five layers, eleven steps</w:t>
      </w:r>
    </w:p>
    <w:p>
      <w:pPr>
        <w:spacing w:after="120"/>
      </w:pPr>
      <w:r>
        <w:t xml:space="preserve">The system reads sensors, predicts trouble, reasons about the cause, imagines fixes, scores them, picks the best, proves it, and learns. Each step is done by exactly one kind of worker — an ML model, an LLM agent, a deterministic rule, or plain tooling. Knowing which is which is how we stay explainable.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5000"/>
        <w:gridCol w:w="1900"/>
        <w:gridCol w:w="1700"/>
      </w:tblGrid>
      <w:tr>
        <w:tc>
          <w:tcPr>
            <w:tcW w:type="dxa" w:w="760"/>
            <w:tcBorders>
              <w:top w:val="single" w:color="CCD4DA" w:sz="1"/>
              <w:left w:val="single" w:color="CCD4DA" w:sz="1"/>
              <w:bottom w:val="single" w:color="CCD4DA" w:sz="1"/>
              <w:right w:val="single" w:color="CCD4DA" w:sz="1"/>
            </w:tcBorders>
            <w:shd w:fill="1A2730" w:val="clear"/>
            <w:tcMar>
              <w:top w:type="dxa" w:w="80"/>
              <w:left w:type="dxa" w:w="120"/>
              <w:bottom w:type="dxa" w:w="80"/>
              <w:right w:type="dxa" w:w="120"/>
            </w:tcMar>
          </w:tcPr>
          <w:p>
            <w:r>
              <w:rPr>
                <w:b/>
                <w:bCs/>
                <w:color w:val="FFFFFF"/>
              </w:rPr>
              <w:t xml:space="preserve">Step</w:t>
            </w:r>
          </w:p>
        </w:tc>
        <w:tc>
          <w:tcPr>
            <w:tcW w:type="dxa" w:w="5000"/>
            <w:tcBorders>
              <w:top w:val="single" w:color="CCD4DA" w:sz="1"/>
              <w:left w:val="single" w:color="CCD4DA" w:sz="1"/>
              <w:bottom w:val="single" w:color="CCD4DA" w:sz="1"/>
              <w:right w:val="single" w:color="CCD4DA" w:sz="1"/>
            </w:tcBorders>
            <w:shd w:fill="1A2730" w:val="clear"/>
            <w:tcMar>
              <w:top w:type="dxa" w:w="80"/>
              <w:left w:type="dxa" w:w="120"/>
              <w:bottom w:type="dxa" w:w="80"/>
              <w:right w:type="dxa" w:w="120"/>
            </w:tcMar>
          </w:tcPr>
          <w:p>
            <w:r>
              <w:rPr>
                <w:b/>
                <w:bCs/>
                <w:color w:val="FFFFFF"/>
              </w:rPr>
              <w:t xml:space="preserve">What happens</w:t>
            </w:r>
          </w:p>
        </w:tc>
        <w:tc>
          <w:tcPr>
            <w:tcW w:type="dxa" w:w="1900"/>
            <w:tcBorders>
              <w:top w:val="single" w:color="CCD4DA" w:sz="1"/>
              <w:left w:val="single" w:color="CCD4DA" w:sz="1"/>
              <w:bottom w:val="single" w:color="CCD4DA" w:sz="1"/>
              <w:right w:val="single" w:color="CCD4DA" w:sz="1"/>
            </w:tcBorders>
            <w:shd w:fill="1A2730" w:val="clear"/>
            <w:tcMar>
              <w:top w:type="dxa" w:w="80"/>
              <w:left w:type="dxa" w:w="120"/>
              <w:bottom w:type="dxa" w:w="80"/>
              <w:right w:type="dxa" w:w="120"/>
            </w:tcMar>
          </w:tcPr>
          <w:p>
            <w:r>
              <w:rPr>
                <w:b/>
                <w:bCs/>
                <w:color w:val="FFFFFF"/>
              </w:rPr>
              <w:t xml:space="preserve">Done by</w:t>
            </w:r>
          </w:p>
        </w:tc>
        <w:tc>
          <w:tcPr>
            <w:tcW w:type="dxa" w:w="1700"/>
            <w:tcBorders>
              <w:top w:val="single" w:color="CCD4DA" w:sz="1"/>
              <w:left w:val="single" w:color="CCD4DA" w:sz="1"/>
              <w:bottom w:val="single" w:color="CCD4DA" w:sz="1"/>
              <w:right w:val="single" w:color="CCD4DA" w:sz="1"/>
            </w:tcBorders>
            <w:shd w:fill="1A2730" w:val="clear"/>
            <w:tcMar>
              <w:top w:type="dxa" w:w="80"/>
              <w:left w:type="dxa" w:w="120"/>
              <w:bottom w:type="dxa" w:w="80"/>
              <w:right w:type="dxa" w:w="120"/>
            </w:tcMar>
          </w:tcPr>
          <w:p>
            <w:r>
              <w:rPr>
                <w:b/>
                <w:bCs/>
                <w:color w:val="FFFFFF"/>
              </w:rPr>
              <w:t xml:space="preserve">Layer</w:t>
            </w:r>
          </w:p>
        </w:tc>
      </w:tr>
      <w:tr>
        <w:tc>
          <w:tcPr>
            <w:tcW w:type="dxa" w:w="7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01</w:t>
            </w:r>
          </w:p>
        </w:tc>
        <w:tc>
          <w:tcPr>
            <w:tcW w:type="dxa" w:w="50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Read the raw sensor stream (NASA C-MAPSS, 21 sensors, run-to-failure)</w:t>
            </w:r>
          </w:p>
        </w:tc>
        <w:tc>
          <w:tcPr>
            <w:tcW w:type="dxa" w:w="19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Tool</w:t>
            </w:r>
          </w:p>
        </w:tc>
        <w:tc>
          <w:tcPr>
            <w:tcW w:type="dxa" w:w="17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1 · Data</w:t>
            </w:r>
          </w:p>
        </w:tc>
      </w:tr>
      <w:tr>
        <w:tc>
          <w:tcPr>
            <w:tcW w:type="dxa" w:w="7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02</w:t>
            </w:r>
          </w:p>
        </w:tc>
        <w:tc>
          <w:tcPr>
            <w:tcW w:type="dxa" w:w="50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Clean and window the data (last 30 cycles → one feature row)</w:t>
            </w:r>
          </w:p>
        </w:tc>
        <w:tc>
          <w:tcPr>
            <w:tcW w:type="dxa" w:w="19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Rule</w:t>
            </w:r>
          </w:p>
        </w:tc>
        <w:tc>
          <w:tcPr>
            <w:tcW w:type="dxa" w:w="17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1 · Data</w:t>
            </w:r>
          </w:p>
        </w:tc>
      </w:tr>
      <w:tr>
        <w:tc>
          <w:tcPr>
            <w:tcW w:type="dxa" w:w="7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03</w:t>
            </w:r>
          </w:p>
        </w:tc>
        <w:tc>
          <w:tcPr>
            <w:tcW w:type="dxa" w:w="50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Predict remaining life: “part 3 dies ≈ cycle 45”</w:t>
            </w:r>
          </w:p>
        </w:tc>
        <w:tc>
          <w:tcPr>
            <w:tcW w:type="dxa" w:w="19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ML model</w:t>
            </w:r>
          </w:p>
        </w:tc>
        <w:tc>
          <w:tcPr>
            <w:tcW w:type="dxa" w:w="17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2 · Predict</w:t>
            </w:r>
          </w:p>
        </w:tc>
      </w:tr>
      <w:tr>
        <w:tc>
          <w:tcPr>
            <w:tcW w:type="dxa" w:w="7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04</w:t>
            </w:r>
          </w:p>
        </w:tc>
        <w:tc>
          <w:tcPr>
            <w:tcW w:type="dxa" w:w="50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Health status: life &lt; threshold → RED (a number, not a vibe)</w:t>
            </w:r>
          </w:p>
        </w:tc>
        <w:tc>
          <w:tcPr>
            <w:tcW w:type="dxa" w:w="19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Rule</w:t>
            </w:r>
          </w:p>
        </w:tc>
        <w:tc>
          <w:tcPr>
            <w:tcW w:type="dxa" w:w="17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2 · Predict</w:t>
            </w:r>
          </w:p>
        </w:tc>
      </w:tr>
      <w:tr>
        <w:tc>
          <w:tcPr>
            <w:tcW w:type="dxa" w:w="7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05</w:t>
            </w:r>
          </w:p>
        </w:tc>
        <w:tc>
          <w:tcPr>
            <w:tcW w:type="dxa" w:w="50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Diagnose root cause by walking the asset graph</w:t>
            </w:r>
          </w:p>
        </w:tc>
        <w:tc>
          <w:tcPr>
            <w:tcW w:type="dxa" w:w="19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LLM agent</w:t>
            </w:r>
          </w:p>
        </w:tc>
        <w:tc>
          <w:tcPr>
            <w:tcW w:type="dxa" w:w="17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3 · Diagnose</w:t>
            </w:r>
          </w:p>
        </w:tc>
      </w:tr>
      <w:tr>
        <w:tc>
          <w:tcPr>
            <w:tcW w:type="dxa" w:w="7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06</w:t>
            </w:r>
          </w:p>
        </w:tc>
        <w:tc>
          <w:tcPr>
            <w:tcW w:type="dxa" w:w="50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Propose the action menu (replace / reduce load / reroute / wait)</w:t>
            </w:r>
          </w:p>
        </w:tc>
        <w:tc>
          <w:tcPr>
            <w:tcW w:type="dxa" w:w="19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LLM agent</w:t>
            </w:r>
          </w:p>
        </w:tc>
        <w:tc>
          <w:tcPr>
            <w:tcW w:type="dxa" w:w="17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3 · Diagnose</w:t>
            </w:r>
          </w:p>
        </w:tc>
      </w:tr>
      <w:tr>
        <w:tc>
          <w:tcPr>
            <w:tcW w:type="dxa" w:w="7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07</w:t>
            </w:r>
          </w:p>
        </w:tc>
        <w:tc>
          <w:tcPr>
            <w:tcW w:type="dxa" w:w="50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The Twin imagines a what-if curve for each action</w:t>
            </w:r>
          </w:p>
        </w:tc>
        <w:tc>
          <w:tcPr>
            <w:tcW w:type="dxa" w:w="19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ML model</w:t>
            </w:r>
          </w:p>
        </w:tc>
        <w:tc>
          <w:tcPr>
            <w:tcW w:type="dxa" w:w="17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4 · Decide</w:t>
            </w:r>
          </w:p>
        </w:tc>
      </w:tr>
      <w:tr>
        <w:tc>
          <w:tcPr>
            <w:tcW w:type="dxa" w:w="7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08</w:t>
            </w:r>
          </w:p>
        </w:tc>
        <w:tc>
          <w:tcPr>
            <w:tcW w:type="dxa" w:w="50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Götze-score each action (life × throughput × energy ÷ cost)</w:t>
            </w:r>
          </w:p>
        </w:tc>
        <w:tc>
          <w:tcPr>
            <w:tcW w:type="dxa" w:w="19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Rule</w:t>
            </w:r>
          </w:p>
        </w:tc>
        <w:tc>
          <w:tcPr>
            <w:tcW w:type="dxa" w:w="17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4 · Decide</w:t>
            </w:r>
          </w:p>
        </w:tc>
      </w:tr>
      <w:tr>
        <w:tc>
          <w:tcPr>
            <w:tcW w:type="dxa" w:w="7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09</w:t>
            </w:r>
          </w:p>
        </w:tc>
        <w:tc>
          <w:tcPr>
            <w:tcW w:type="dxa" w:w="50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Pick the winner = highest score</w:t>
            </w:r>
          </w:p>
        </w:tc>
        <w:tc>
          <w:tcPr>
            <w:tcW w:type="dxa" w:w="19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Rule</w:t>
            </w:r>
          </w:p>
        </w:tc>
        <w:tc>
          <w:tcPr>
            <w:tcW w:type="dxa" w:w="17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4 · Decide</w:t>
            </w:r>
          </w:p>
        </w:tc>
      </w:tr>
      <w:tr>
        <w:tc>
          <w:tcPr>
            <w:tcW w:type="dxa" w:w="7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10</w:t>
            </w:r>
          </w:p>
        </w:tc>
        <w:tc>
          <w:tcPr>
            <w:tcW w:type="dxa" w:w="50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Prove it: replay history, show RED → GREEN</w:t>
            </w:r>
          </w:p>
        </w:tc>
        <w:tc>
          <w:tcPr>
            <w:tcW w:type="dxa" w:w="19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Tool</w:t>
            </w:r>
          </w:p>
        </w:tc>
        <w:tc>
          <w:tcPr>
            <w:tcW w:type="dxa" w:w="17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5 · Prove</w:t>
            </w:r>
          </w:p>
        </w:tc>
      </w:tr>
      <w:tr>
        <w:tc>
          <w:tcPr>
            <w:tcW w:type="dxa" w:w="7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11</w:t>
            </w:r>
          </w:p>
        </w:tc>
        <w:tc>
          <w:tcPr>
            <w:tcW w:type="dxa" w:w="50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Feedback loop: measure error, nudge the Twin, get sharper</w:t>
            </w:r>
          </w:p>
        </w:tc>
        <w:tc>
          <w:tcPr>
            <w:tcW w:type="dxa" w:w="19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Rule</w:t>
            </w:r>
          </w:p>
        </w:tc>
        <w:tc>
          <w:tcPr>
            <w:tcW w:type="dxa" w:w="17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5 · Learn</w:t>
            </w:r>
          </w:p>
        </w:tc>
      </w:tr>
    </w:tbl>
    <w:p>
      <w:pPr>
        <w:spacing w:after="120"/>
      </w:pPr>
      <w:r>
        <w:rPr>
          <w:sz w:val="6"/>
          <w:szCs w:val="6"/>
        </w:rPr>
        <w:t xml:space="preserve"> </w:t>
      </w:r>
    </w:p>
    <w:p>
      <w:pPr>
        <w:spacing w:after="120"/>
      </w:pPr>
      <w:r>
        <w:rPr>
          <w:b/>
          <w:bCs/>
        </w:rPr>
        <w:t xml:space="preserve">The design principle that keeps us safe: </w:t>
      </w:r>
      <w:r>
        <w:t xml:space="preserve">AI does the fuzzy, uncertain work — predict, reason, imagine. </w:t>
      </w:r>
      <w:r>
        <w:rPr>
          <w:b/>
          <w:bCs/>
        </w:rPr>
        <w:t xml:space="preserve">Deterministic rules make the actual decision</w:t>
      </w:r>
      <w:r>
        <w:t xml:space="preserve"> — the RED/GREEN threshold (04), the Götze score (08), the final pick (09). When a judge asks </w:t>
      </w:r>
      <w:r>
        <w:rPr>
          <w:i/>
          <w:iCs/>
        </w:rPr>
        <w:t xml:space="preserve">“why did it choose action 2?”</w:t>
      </w:r>
      <w:r>
        <w:t xml:space="preserve"> we never say “the AI decided.” We say “the score was 0.82 vs 0.61, here is the formula.” A deterministic decision core is always explainable.</w:t>
      </w:r>
    </w:p>
    <w:p>
      <w:pPr>
        <w:pStyle w:val="Heading1"/>
      </w:pPr>
      <w:r>
        <w:t xml:space="preserve">5. The two models — never confuse them</w:t>
      </w:r>
    </w:p>
    <w:p>
      <w:pPr>
        <w:spacing w:after="120"/>
      </w:pPr>
      <w:r>
        <w:t xml:space="preserve">There are two completely different kinds of “model” in PlantMind. They have nothing to do with each other. This is the single most common point of confusion — lock it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D4DA" w:sz="1"/>
              <w:left w:val="single" w:color="CCD4DA" w:sz="1"/>
              <w:bottom w:val="single" w:color="CCD4DA" w:sz="1"/>
              <w:right w:val="single" w:color="CCD4DA" w:sz="1"/>
            </w:tcBorders>
            <w:shd w:fill="0E8C7F" w:val="clear"/>
            <w:tcMar>
              <w:top w:type="dxa" w:w="80"/>
              <w:left w:type="dxa" w:w="120"/>
              <w:bottom w:type="dxa" w:w="80"/>
              <w:right w:type="dxa" w:w="120"/>
            </w:tcMar>
          </w:tcPr>
          <w:p>
            <w:r>
              <w:rPr>
                <w:b/>
                <w:bCs/>
                <w:color w:val="FFFFFF"/>
              </w:rPr>
              <w:t xml:space="preserve">The ML model — we TRAIN it</w:t>
            </w:r>
          </w:p>
        </w:tc>
        <w:tc>
          <w:tcPr>
            <w:tcW w:type="dxa" w:w="4680"/>
            <w:tcBorders>
              <w:top w:val="single" w:color="CCD4DA" w:sz="1"/>
              <w:left w:val="single" w:color="CCD4DA" w:sz="1"/>
              <w:bottom w:val="single" w:color="CCD4DA" w:sz="1"/>
              <w:right w:val="single" w:color="CCD4DA" w:sz="1"/>
            </w:tcBorders>
            <w:shd w:fill="5A4FA0" w:val="clear"/>
            <w:tcMar>
              <w:top w:type="dxa" w:w="80"/>
              <w:left w:type="dxa" w:w="120"/>
              <w:bottom w:type="dxa" w:w="80"/>
              <w:right w:type="dxa" w:w="120"/>
            </w:tcMar>
          </w:tcPr>
          <w:p>
            <w:r>
              <w:rPr>
                <w:b/>
                <w:bCs/>
                <w:color w:val="FFFFFF"/>
              </w:rPr>
              <w:t xml:space="preserve">The LLM — we RENT it</w:t>
            </w:r>
          </w:p>
        </w:tc>
      </w:tr>
      <w:tr>
        <w:tc>
          <w:tcPr>
            <w:tcW w:type="dxa" w:w="4680"/>
            <w:tcBorders>
              <w:top w:val="single" w:color="CCD4DA" w:sz="1"/>
              <w:left w:val="single" w:color="CCD4DA" w:sz="1"/>
              <w:bottom w:val="single" w:color="CCD4DA" w:sz="1"/>
              <w:right w:val="single" w:color="CCD4DA" w:sz="1"/>
            </w:tcBorders>
            <w:tcMar>
              <w:top w:type="dxa" w:w="80"/>
              <w:left w:type="dxa" w:w="120"/>
              <w:bottom w:type="dxa" w:w="80"/>
              <w:right w:type="dxa" w:w="120"/>
            </w:tcMar>
          </w:tcPr>
          <w:p>
            <w:pPr>
              <w:spacing w:after="120"/>
            </w:pPr>
            <w:r>
              <w:t xml:space="preserve">Plain scikit-learn or a tiny LSTM, trained on the </w:t>
            </w:r>
            <w:r>
              <w:rPr>
                <w:b/>
                <w:bCs/>
              </w:rPr>
              <w:t xml:space="preserve">numbers</w:t>
            </w:r>
            <w:r>
              <w:t xml:space="preserve">. It learns wear and remaining life. This is the only part trained on data. Used in steps 03 and 07.</w:t>
            </w:r>
          </w:p>
        </w:tc>
        <w:tc>
          <w:tcPr>
            <w:tcW w:type="dxa" w:w="4680"/>
            <w:tcBorders>
              <w:top w:val="single" w:color="CCD4DA" w:sz="1"/>
              <w:left w:val="single" w:color="CCD4DA" w:sz="1"/>
              <w:bottom w:val="single" w:color="CCD4DA" w:sz="1"/>
              <w:right w:val="single" w:color="CCD4DA" w:sz="1"/>
            </w:tcBorders>
            <w:tcMar>
              <w:top w:type="dxa" w:w="80"/>
              <w:left w:type="dxa" w:w="120"/>
              <w:bottom w:type="dxa" w:w="80"/>
              <w:right w:type="dxa" w:w="120"/>
            </w:tcMar>
          </w:tcPr>
          <w:p>
            <w:pPr>
              <w:spacing w:after="120"/>
            </w:pPr>
            <w:r>
              <w:t xml:space="preserve">Off-the-shelf Claude or GPT, called via API. We </w:t>
            </w:r>
            <w:r>
              <w:rPr>
                <w:b/>
                <w:bCs/>
              </w:rPr>
              <w:t xml:space="preserve">never train it</w:t>
            </w:r>
            <w:r>
              <w:t xml:space="preserve"> — we prompt it to diagnose, propose actions, and explain decisions in plain English. Used in steps 05 and 06.</w:t>
            </w:r>
          </w:p>
        </w:tc>
      </w:tr>
    </w:tbl>
    <w:p>
      <w:pPr>
        <w:pStyle w:val="Heading1"/>
      </w:pPr>
      <w:r>
        <w:t xml:space="preserve">6. The Götze Decision Engine — our patentable core</w:t>
      </w:r>
    </w:p>
    <w:p>
      <w:pPr>
        <w:spacing w:after="120"/>
      </w:pPr>
      <w:r>
        <w:rPr>
          <w:b/>
          <w:bCs/>
        </w:rPr>
        <w:t xml:space="preserve">The football analogy. </w:t>
      </w:r>
      <w:r>
        <w:t xml:space="preserve">In football, a Götze-style engine scores a </w:t>
      </w:r>
      <w:r>
        <w:rPr>
          <w:b/>
          <w:bCs/>
        </w:rPr>
        <w:t xml:space="preserve">substitution</w:t>
      </w:r>
      <w:r>
        <w:t xml:space="preserve"> by its marginal impact on the expected outcome: “if I bring this player on now, how much does the result improve?” On the factory floor, </w:t>
      </w:r>
      <w:r>
        <w:rPr>
          <w:b/>
          <w:bCs/>
        </w:rPr>
        <w:t xml:space="preserve">a corrective action is a substitution.</w:t>
      </w:r>
      <w:r>
        <w:t xml:space="preserve"> “If I reduce load on compressor 3 now, how much does the plant improve?” Same maths. Same engine. Sometimes the best move is not touching the failing part at all — and that counter-intuitive answer is what makes judges sit up.</w:t>
      </w:r>
    </w:p>
    <w:p>
      <w:pPr>
        <w:spacing w:after="120"/>
      </w:pPr>
      <w:r>
        <w:rPr>
          <w:b/>
          <w:bCs/>
        </w:rPr>
        <w:t xml:space="preserve">The score:</w:t>
      </w:r>
    </w:p>
    <w:p>
      <w:pPr>
        <w:spacing w:after="60"/>
      </w:pPr>
      <w:r>
        <w:rPr>
          <w:rFonts w:ascii="Courier New" w:cs="Courier New" w:eastAsia="Courier New" w:hAnsi="Courier New"/>
        </w:rPr>
        <w:t xml:space="preserve">GötzeScore(action a) =  Σ [ wₖ · ΔObjectiveₖ(a) ] · Confidence(a)  ÷  Cost(a)</w:t>
      </w:r>
    </w:p>
    <w:p>
      <w:pPr>
        <w:pStyle w:val="ListParagraph"/>
        <w:numPr>
          <w:ilvl w:val="0"/>
          <w:numId w:val="2"/>
        </w:numPr>
        <w:spacing w:after="80"/>
      </w:pPr>
      <w:r>
        <w:rPr>
          <w:b/>
          <w:bCs/>
        </w:rPr>
        <w:t xml:space="preserve">ΔObjectiveₖ(a)</w:t>
      </w:r>
      <w:r>
        <w:t xml:space="preserve"> — the change in objective k if we take action a, computed by running it through the Twin and comparing to doing nothing.</w:t>
      </w:r>
    </w:p>
    <w:p>
      <w:pPr>
        <w:pStyle w:val="ListParagraph"/>
        <w:numPr>
          <w:ilvl w:val="0"/>
          <w:numId w:val="2"/>
        </w:numPr>
        <w:spacing w:after="80"/>
      </w:pPr>
      <w:r>
        <w:rPr>
          <w:b/>
          <w:bCs/>
        </w:rPr>
        <w:t xml:space="preserve">Objectives k</w:t>
      </w:r>
      <w:r>
        <w:t xml:space="preserve"> = { remaining life gained, throughput preserved, energy saved, risk reduced }. Energy is one of the four terms — that is how Sustainability is baked in.</w:t>
      </w:r>
    </w:p>
    <w:p>
      <w:pPr>
        <w:pStyle w:val="ListParagraph"/>
        <w:numPr>
          <w:ilvl w:val="0"/>
          <w:numId w:val="2"/>
        </w:numPr>
        <w:spacing w:after="80"/>
      </w:pPr>
      <w:r>
        <w:rPr>
          <w:b/>
          <w:bCs/>
        </w:rPr>
        <w:t xml:space="preserve">Confidence(a)</w:t>
      </w:r>
      <w:r>
        <w:t xml:space="preserve"> — the diagnosis agent's certainty. </w:t>
      </w:r>
      <w:r>
        <w:rPr>
          <w:b/>
          <w:bCs/>
        </w:rPr>
        <w:t xml:space="preserve">Cost(a)</w:t>
      </w:r>
      <w:r>
        <w:t xml:space="preserve"> — labour + downtime + parts.</w:t>
      </w:r>
    </w:p>
    <w:p>
      <w:pPr>
        <w:pStyle w:val="ListParagraph"/>
        <w:numPr>
          <w:ilvl w:val="0"/>
          <w:numId w:val="2"/>
        </w:numPr>
        <w:spacing w:after="80"/>
      </w:pPr>
      <w:r>
        <w:rPr>
          <w:b/>
          <w:bCs/>
        </w:rPr>
        <w:t xml:space="preserve">Weights wₖ</w:t>
      </w:r>
      <w:r>
        <w:t xml:space="preserve"> — recalibrated by the feedback loop (step 11), so the engine self-improves.</w:t>
      </w:r>
    </w:p>
    <w:p>
      <w:pPr>
        <w:spacing w:after="120"/>
      </w:pPr>
      <w:r>
        <w:rPr>
          <w:b/>
          <w:bCs/>
        </w:rPr>
        <w:t xml:space="preserve">What “counterfactual” means. </w:t>
      </w:r>
      <w:r>
        <w:t xml:space="preserve">The real data contains only </w:t>
      </w:r>
      <w:r>
        <w:rPr>
          <w:b/>
          <w:bCs/>
        </w:rPr>
        <w:t xml:space="preserve">one timeline</w:t>
      </w:r>
      <w:r>
        <w:t xml:space="preserve"> — the one where nobody acted and the machine died. The timeline where we DID act and the machine lived was never recorded; it does not exist anywhere. So we cannot read the what-if from data — the </w:t>
      </w:r>
      <w:r>
        <w:rPr>
          <w:b/>
          <w:bCs/>
        </w:rPr>
        <w:t xml:space="preserve">Twin generates it</w:t>
      </w:r>
      <w:r>
        <w:t xml:space="preserve">, by learning the rules of wear from real data and replaying them under a new action. The counterfactual engine = the Twin (imagines the alternate futures) + the Götze scorer (grades them).</w:t>
      </w:r>
    </w:p>
    <w:p>
      <w:pPr>
        <w:pStyle w:val="Heading1"/>
      </w:pPr>
      <w:r>
        <w:t xml:space="preserve">7. The dataset — real, public, explainable</w:t>
      </w:r>
    </w:p>
    <w:p>
      <w:pPr>
        <w:pStyle w:val="ListParagraph"/>
        <w:numPr>
          <w:ilvl w:val="0"/>
          <w:numId w:val="2"/>
        </w:numPr>
        <w:spacing w:after="80"/>
      </w:pPr>
      <w:r>
        <w:rPr>
          <w:b/>
          <w:bCs/>
        </w:rPr>
        <w:t xml:space="preserve">Primary: NASA C-MAPSS. </w:t>
      </w:r>
      <w:r>
        <w:t xml:space="preserve">NASA-published turbofan-engine degradation data — 21 sensors, multiple engines run to failure, with ground-truth health states. The gold-standard public benchmark for this exact problem. It fits in memory; no cloud needed.</w:t>
      </w:r>
    </w:p>
    <w:p>
      <w:pPr>
        <w:pStyle w:val="ListParagraph"/>
        <w:numPr>
          <w:ilvl w:val="0"/>
          <w:numId w:val="2"/>
        </w:numPr>
        <w:spacing w:after="80"/>
      </w:pPr>
      <w:r>
        <w:rPr>
          <w:b/>
          <w:bCs/>
        </w:rPr>
        <w:t xml:space="preserve">Why run-to-failure is perfect: </w:t>
      </w:r>
      <w:r>
        <w:t xml:space="preserve">because the real failure is recorded, we can prove our prediction was right and show what our chosen action would have prevented.</w:t>
      </w:r>
    </w:p>
    <w:p>
      <w:pPr>
        <w:pStyle w:val="ListParagraph"/>
        <w:numPr>
          <w:ilvl w:val="0"/>
          <w:numId w:val="2"/>
        </w:numPr>
        <w:spacing w:after="80"/>
      </w:pPr>
      <w:r>
        <w:rPr>
          <w:b/>
          <w:bCs/>
        </w:rPr>
        <w:t xml:space="preserve">Backups if we want process-plant flavour: </w:t>
      </w:r>
      <w:r>
        <w:t xml:space="preserve">Tennessee Eastman Process (chemical plant simulation), MIMII (machine sound), Scania trucks (component failure) — all public.</w:t>
      </w:r>
    </w:p>
    <w:p>
      <w:pPr>
        <w:spacing w:after="120"/>
      </w:pPr>
      <w:r>
        <w:rPr>
          <w:b/>
          <w:bCs/>
        </w:rPr>
        <w:t xml:space="preserve">One honesty note: </w:t>
      </w:r>
      <w:r>
        <w:t xml:space="preserve">C-MAPSS is turbofan engines, which optically reads “aerospace.” We position the </w:t>
      </w:r>
      <w:r>
        <w:rPr>
          <w:b/>
          <w:bCs/>
        </w:rPr>
        <w:t xml:space="preserve">method</w:t>
      </w:r>
      <w:r>
        <w:t xml:space="preserve"> as asset-agnostic: “C-MAPSS is our proving ground because it has ground truth; the engine transfers to any rotating industrial asset — pumps, compressors, turbines in a process plant.”</w:t>
      </w:r>
    </w:p>
    <w:p>
      <w:pPr>
        <w:pStyle w:val="Heading1"/>
      </w:pPr>
      <w:r>
        <w:t xml:space="preserve">8. The proof — and the one question we must be ready for</w:t>
      </w:r>
    </w:p>
    <w:p>
      <w:pPr>
        <w:spacing w:after="120"/>
      </w:pPr>
      <w:r>
        <w:rPr>
          <w:b/>
          <w:bCs/>
        </w:rPr>
        <w:t xml:space="preserve">The proof (our money shot): </w:t>
      </w:r>
      <w:r>
        <w:t xml:space="preserve">take a real engine mid-degradation. The system flags it RED, predicts failure at cycle 45. It ranks the candidate actions, picks the best, and we replay history: with the chosen action the engine survives past cycle 80 (GREEN); with the naive action or doing nothing it dies at 45 (RED). Side by side, on real data, live.</w:t>
      </w:r>
    </w:p>
    <w:p>
      <w:pPr>
        <w:spacing w:after="120"/>
      </w:pPr>
      <w:r>
        <w:rPr>
          <w:b/>
          <w:bCs/>
          <w:color w:val="B07514"/>
        </w:rPr>
        <w:t xml:space="preserve">The trap question a domain expert WILL ask:</w:t>
      </w:r>
    </w:p>
    <w:p>
      <w:pPr>
        <w:spacing w:after="120"/>
      </w:pPr>
      <w:r>
        <w:rPr>
          <w:i/>
          <w:iCs/>
        </w:rPr>
        <w:t xml:space="preserve">“The dataset is run-to-failure. It doesn't contain your counterfactual. How do you know your recommended action actually works?”</w:t>
      </w:r>
    </w:p>
    <w:p>
      <w:pPr>
        <w:spacing w:after="120"/>
      </w:pPr>
      <w:r>
        <w:rPr>
          <w:b/>
          <w:bCs/>
          <w:color w:val="1E8E54"/>
        </w:rPr>
        <w:t xml:space="preserve">Our answer (say it before they ask):</w:t>
      </w:r>
    </w:p>
    <w:p>
      <w:pPr>
        <w:spacing w:after="120"/>
      </w:pPr>
      <w:r>
        <w:t xml:space="preserve">“Correct — the data proves our </w:t>
      </w:r>
      <w:r>
        <w:rPr>
          <w:b/>
          <w:bCs/>
        </w:rPr>
        <w:t xml:space="preserve">prediction</w:t>
      </w:r>
      <w:r>
        <w:t xml:space="preserve">, because we check our forecast against the real failure. The counterfactual comes from a physics-informed Twin, not the data. We are not claiming the data proves the fix; we are claiming the data proves the prediction and the Twin estimates the fix. In a real deployment, every action feeds its real outcome back to recalibrate the Twin, so it gets more accurate every cycle.”</w:t>
      </w:r>
    </w:p>
    <w:p>
      <w:pPr>
        <w:spacing w:after="120"/>
      </w:pPr>
      <w:r>
        <w:rPr>
          <w:i/>
          <w:iCs/>
          <w:color w:val="5A6B78"/>
        </w:rPr>
        <w:t xml:space="preserve">This single answer turns our biggest weakness — not being domain experts — into a strength: it shows we reason about what data can and cannot prove. That is a data engineer's superpower.</w:t>
      </w:r>
    </w:p>
    <w:p>
      <w:pPr>
        <w:pStyle w:val="Heading1"/>
      </w:pPr>
      <w:r>
        <w:t xml:space="preserve">9. Tech stack — free, local, foolproof</w:t>
      </w:r>
    </w:p>
    <w:p>
      <w:pPr>
        <w:spacing w:after="120"/>
      </w:pPr>
      <w:r>
        <w:t xml:space="preserve">In a 24-hour window, every external dependency is a way to lose. We build local and free. Databricks is a strategic name-drop in the pitch (mirrors the LTTS–Databricks industrial-AI partnership), not a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D4DA" w:sz="1"/>
              <w:left w:val="single" w:color="CCD4DA" w:sz="1"/>
              <w:bottom w:val="single" w:color="CCD4DA" w:sz="1"/>
              <w:right w:val="single" w:color="CCD4DA" w:sz="1"/>
            </w:tcBorders>
            <w:shd w:fill="1A2730" w:val="clear"/>
            <w:tcMar>
              <w:top w:type="dxa" w:w="80"/>
              <w:left w:type="dxa" w:w="120"/>
              <w:bottom w:type="dxa" w:w="80"/>
              <w:right w:type="dxa" w:w="120"/>
            </w:tcMar>
          </w:tcPr>
          <w:p>
            <w:r>
              <w:rPr>
                <w:b/>
                <w:bCs/>
                <w:color w:val="FFFFFF"/>
              </w:rPr>
              <w:t xml:space="preserve">Layer</w:t>
            </w:r>
          </w:p>
        </w:tc>
        <w:tc>
          <w:tcPr>
            <w:tcW w:type="dxa" w:w="3120"/>
            <w:tcBorders>
              <w:top w:val="single" w:color="CCD4DA" w:sz="1"/>
              <w:left w:val="single" w:color="CCD4DA" w:sz="1"/>
              <w:bottom w:val="single" w:color="CCD4DA" w:sz="1"/>
              <w:right w:val="single" w:color="CCD4DA" w:sz="1"/>
            </w:tcBorders>
            <w:shd w:fill="1A2730" w:val="clear"/>
            <w:tcMar>
              <w:top w:type="dxa" w:w="80"/>
              <w:left w:type="dxa" w:w="120"/>
              <w:bottom w:type="dxa" w:w="80"/>
              <w:right w:type="dxa" w:w="120"/>
            </w:tcMar>
          </w:tcPr>
          <w:p>
            <w:r>
              <w:rPr>
                <w:b/>
                <w:bCs/>
                <w:color w:val="FFFFFF"/>
              </w:rPr>
              <w:t xml:space="preserve">Tool</w:t>
            </w:r>
          </w:p>
        </w:tc>
        <w:tc>
          <w:tcPr>
            <w:tcW w:type="dxa" w:w="3120"/>
            <w:tcBorders>
              <w:top w:val="single" w:color="CCD4DA" w:sz="1"/>
              <w:left w:val="single" w:color="CCD4DA" w:sz="1"/>
              <w:bottom w:val="single" w:color="CCD4DA" w:sz="1"/>
              <w:right w:val="single" w:color="CCD4DA" w:sz="1"/>
            </w:tcBorders>
            <w:shd w:fill="1A2730" w:val="clear"/>
            <w:tcMar>
              <w:top w:type="dxa" w:w="80"/>
              <w:left w:type="dxa" w:w="120"/>
              <w:bottom w:type="dxa" w:w="80"/>
              <w:right w:type="dxa" w:w="120"/>
            </w:tcMar>
          </w:tcPr>
          <w:p>
            <w:r>
              <w:rPr>
                <w:b/>
                <w:bCs/>
                <w:color w:val="FFFFFF"/>
              </w:rPr>
              <w:t xml:space="preserve">Owner</w:t>
            </w:r>
          </w:p>
        </w:tc>
      </w:tr>
      <w:tr>
        <w:tc>
          <w:tcPr>
            <w:tcW w:type="dxa" w:w="312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Data + ML brain</w:t>
            </w:r>
          </w:p>
        </w:tc>
        <w:tc>
          <w:tcPr>
            <w:tcW w:type="dxa" w:w="312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Python, pandas, scikit-learn (+ tiny LSTM)</w:t>
            </w:r>
          </w:p>
        </w:tc>
        <w:tc>
          <w:tcPr>
            <w:tcW w:type="dxa" w:w="312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Sourav</w:t>
            </w:r>
          </w:p>
        </w:tc>
      </w:tr>
      <w:tr>
        <w:tc>
          <w:tcPr>
            <w:tcW w:type="dxa" w:w="312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LLM agents</w:t>
            </w:r>
          </w:p>
        </w:tc>
        <w:tc>
          <w:tcPr>
            <w:tcW w:type="dxa" w:w="312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Claude / GPT via API</w:t>
            </w:r>
          </w:p>
        </w:tc>
        <w:tc>
          <w:tcPr>
            <w:tcW w:type="dxa" w:w="312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Sourav</w:t>
            </w:r>
          </w:p>
        </w:tc>
      </w:tr>
      <w:tr>
        <w:tc>
          <w:tcPr>
            <w:tcW w:type="dxa" w:w="312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App shell</w:t>
            </w:r>
          </w:p>
        </w:tc>
        <w:tc>
          <w:tcPr>
            <w:tcW w:type="dxa" w:w="312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Streamlit</w:t>
            </w:r>
          </w:p>
        </w:tc>
        <w:tc>
          <w:tcPr>
            <w:tcW w:type="dxa" w:w="312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Streamlit dev</w:t>
            </w:r>
          </w:p>
        </w:tc>
      </w:tr>
      <w:tr>
        <w:tc>
          <w:tcPr>
            <w:tcW w:type="dxa" w:w="312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Charts / dashboard</w:t>
            </w:r>
          </w:p>
        </w:tc>
        <w:tc>
          <w:tcPr>
            <w:tcW w:type="dxa" w:w="312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Plotly</w:t>
            </w:r>
          </w:p>
        </w:tc>
        <w:tc>
          <w:tcPr>
            <w:tcW w:type="dxa" w:w="312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Viz 1 + Viz 2</w:t>
            </w:r>
          </w:p>
        </w:tc>
      </w:tr>
      <w:tr>
        <w:tc>
          <w:tcPr>
            <w:tcW w:type="dxa" w:w="312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Optional flex</w:t>
            </w:r>
          </w:p>
        </w:tc>
        <w:tc>
          <w:tcPr>
            <w:tcW w:type="dxa" w:w="312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Databricks Community Edition (steps 02–03 only)</w:t>
            </w:r>
          </w:p>
        </w:tc>
        <w:tc>
          <w:tcPr>
            <w:tcW w:type="dxa" w:w="312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Sourav</w:t>
            </w:r>
          </w:p>
        </w:tc>
      </w:tr>
    </w:tbl>
    <w:p>
      <w:pPr>
        <w:pStyle w:val="Heading1"/>
      </w:pPr>
      <w:r>
        <w:t xml:space="preserve">10. Roles &amp; ownership — all four of us</w:t>
      </w:r>
    </w:p>
    <w:p>
      <w:pPr>
        <w:spacing w:after="120"/>
      </w:pPr>
      <w:r>
        <w:t xml:space="preserve">Our demo IS a visualization — the RED→GREEN flip is a chart. So our viz members own the part judges actually see. Parallel ownership so nobody blocks anybody.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D4DA" w:sz="1"/>
              <w:left w:val="single" w:color="CCD4DA" w:sz="1"/>
              <w:bottom w:val="single" w:color="CCD4DA" w:sz="1"/>
              <w:right w:val="single" w:color="CCD4DA" w:sz="1"/>
            </w:tcBorders>
            <w:shd w:fill="1A2730" w:val="clear"/>
            <w:tcMar>
              <w:top w:type="dxa" w:w="80"/>
              <w:left w:type="dxa" w:w="120"/>
              <w:bottom w:type="dxa" w:w="80"/>
              <w:right w:type="dxa" w:w="120"/>
            </w:tcMar>
          </w:tcPr>
          <w:p>
            <w:r>
              <w:rPr>
                <w:b/>
                <w:bCs/>
                <w:color w:val="FFFFFF"/>
              </w:rPr>
              <w:t xml:space="preserve">Member</w:t>
            </w:r>
          </w:p>
        </w:tc>
        <w:tc>
          <w:tcPr>
            <w:tcW w:type="dxa" w:w="4560"/>
            <w:tcBorders>
              <w:top w:val="single" w:color="CCD4DA" w:sz="1"/>
              <w:left w:val="single" w:color="CCD4DA" w:sz="1"/>
              <w:bottom w:val="single" w:color="CCD4DA" w:sz="1"/>
              <w:right w:val="single" w:color="CCD4DA" w:sz="1"/>
            </w:tcBorders>
            <w:shd w:fill="1A2730" w:val="clear"/>
            <w:tcMar>
              <w:top w:type="dxa" w:w="80"/>
              <w:left w:type="dxa" w:w="120"/>
              <w:bottom w:type="dxa" w:w="80"/>
              <w:right w:type="dxa" w:w="120"/>
            </w:tcMar>
          </w:tcPr>
          <w:p>
            <w:r>
              <w:rPr>
                <w:b/>
                <w:bCs/>
                <w:color w:val="FFFFFF"/>
              </w:rPr>
              <w:t xml:space="preserve">Owns</w:t>
            </w:r>
          </w:p>
        </w:tc>
        <w:tc>
          <w:tcPr>
            <w:tcW w:type="dxa" w:w="2400"/>
            <w:tcBorders>
              <w:top w:val="single" w:color="CCD4DA" w:sz="1"/>
              <w:left w:val="single" w:color="CCD4DA" w:sz="1"/>
              <w:bottom w:val="single" w:color="CCD4DA" w:sz="1"/>
              <w:right w:val="single" w:color="CCD4DA" w:sz="1"/>
            </w:tcBorders>
            <w:shd w:fill="1A2730" w:val="clear"/>
            <w:tcMar>
              <w:top w:type="dxa" w:w="80"/>
              <w:left w:type="dxa" w:w="120"/>
              <w:bottom w:type="dxa" w:w="80"/>
              <w:right w:type="dxa" w:w="120"/>
            </w:tcMar>
          </w:tcPr>
          <w:p>
            <w:r>
              <w:rPr>
                <w:b/>
                <w:bCs/>
                <w:color w:val="FFFFFF"/>
              </w:rPr>
              <w:t xml:space="preserve">Steps</w:t>
            </w:r>
          </w:p>
        </w:tc>
      </w:tr>
      <w:tr>
        <w:tc>
          <w:tcPr>
            <w:tcW w:type="dxa" w:w="24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bCs/>
              </w:rPr>
              <w:t xml:space="preserve">Sourav (data eng)</w:t>
            </w:r>
          </w:p>
        </w:tc>
        <w:tc>
          <w:tcPr>
            <w:tcW w:type="dxa" w:w="45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The brain — ingestion, prediction, the Twin, the Götze engine, feedback loop</w:t>
            </w:r>
          </w:p>
        </w:tc>
        <w:tc>
          <w:tcPr>
            <w:tcW w:type="dxa" w:w="24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02 03 07 08 09 11</w:t>
            </w:r>
          </w:p>
        </w:tc>
      </w:tr>
      <w:tr>
        <w:tc>
          <w:tcPr>
            <w:tcW w:type="dxa" w:w="24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bCs/>
              </w:rPr>
              <w:t xml:space="preserve">Streamlit dev</w:t>
            </w:r>
          </w:p>
        </w:tc>
        <w:tc>
          <w:tcPr>
            <w:tcW w:type="dxa" w:w="45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App shell, wiring the agent's tool-calls, the live control panel</w:t>
            </w:r>
          </w:p>
        </w:tc>
        <w:tc>
          <w:tcPr>
            <w:tcW w:type="dxa" w:w="24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06 09 10</w:t>
            </w:r>
          </w:p>
        </w:tc>
      </w:tr>
      <w:tr>
        <w:tc>
          <w:tcPr>
            <w:tcW w:type="dxa" w:w="24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bCs/>
              </w:rPr>
              <w:t xml:space="preserve">Viz 1</w:t>
            </w:r>
          </w:p>
        </w:tc>
        <w:tc>
          <w:tcPr>
            <w:tcW w:type="dxa" w:w="45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The money shot — counterfactual curve, RED line vs GREEN line on one axis</w:t>
            </w:r>
          </w:p>
        </w:tc>
        <w:tc>
          <w:tcPr>
            <w:tcW w:type="dxa" w:w="24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10</w:t>
            </w:r>
          </w:p>
        </w:tc>
      </w:tr>
      <w:tr>
        <w:tc>
          <w:tcPr>
            <w:tcW w:type="dxa" w:w="24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bCs/>
              </w:rPr>
              <w:t xml:space="preserve">Viz 2</w:t>
            </w:r>
          </w:p>
        </w:tc>
        <w:tc>
          <w:tcPr>
            <w:tcW w:type="dxa" w:w="456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Asset-health dashboard — parts, live RED/GREEN status, score-comparison bars</w:t>
            </w:r>
          </w:p>
        </w:tc>
        <w:tc>
          <w:tcPr>
            <w:tcW w:type="dxa" w:w="2400"/>
            <w:tcBorders>
              <w:top w:val="single" w:color="CCD4DA" w:sz="1"/>
              <w:left w:val="single" w:color="CCD4DA" w:sz="1"/>
              <w:bottom w:val="single" w:color="CCD4DA" w:sz="1"/>
              <w:right w:val="single" w:color="CCD4DA" w:sz="1"/>
            </w:tcBorders>
            <w:tcMar>
              <w:top w:type="dxa" w:w="80"/>
              <w:left w:type="dxa" w:w="120"/>
              <w:bottom w:type="dxa" w:w="80"/>
              <w:right w:type="dxa" w:w="120"/>
            </w:tcMar>
          </w:tcPr>
          <w:p>
            <w:r>
              <w:rPr>
                <w:b w:val="false"/>
                <w:bCs w:val="false"/>
              </w:rPr>
              <w:t xml:space="preserve">04 08 10</w:t>
            </w:r>
          </w:p>
        </w:tc>
      </w:tr>
    </w:tbl>
    <w:p>
      <w:pPr>
        <w:spacing w:after="120"/>
      </w:pPr>
      <w:r>
        <w:rPr>
          <w:i/>
          <w:iCs/>
          <w:color w:val="5A6B78"/>
        </w:rPr>
        <w:t xml:space="preserve">The one image to obsess over: the failing red curve and the green curve the chosen action creates, on the same axes, with cycle-45 death and cycle-80 survival both marked. If that chart is beautiful, we win the room before we speak.</w:t>
      </w:r>
    </w:p>
    <w:p>
      <w:pPr>
        <w:pStyle w:val="Heading1"/>
      </w:pPr>
      <w:r>
        <w:t xml:space="preserve">11. The 24-hour build plan</w:t>
      </w:r>
    </w:p>
    <w:p>
      <w:pPr>
        <w:pStyle w:val="ListParagraph"/>
        <w:numPr>
          <w:ilvl w:val="0"/>
          <w:numId w:val="3"/>
        </w:numPr>
        <w:spacing w:after="80"/>
      </w:pPr>
      <w:r>
        <w:rPr>
          <w:b/>
          <w:bCs/>
        </w:rPr>
        <w:t xml:space="preserve">Hours 0–3 — Foundation. </w:t>
      </w:r>
      <w:r>
        <w:t xml:space="preserve">Load C-MAPSS, build the cleaning + windowing, stand up a basic RUL model (or a pre-trained one). Streamlit shell goes up in parallel.</w:t>
      </w:r>
    </w:p>
    <w:p>
      <w:pPr>
        <w:pStyle w:val="ListParagraph"/>
        <w:numPr>
          <w:ilvl w:val="0"/>
          <w:numId w:val="3"/>
        </w:numPr>
        <w:spacing w:after="80"/>
      </w:pPr>
      <w:r>
        <w:rPr>
          <w:b/>
          <w:bCs/>
        </w:rPr>
        <w:t xml:space="preserve">Hours 3–8 — The Twin (the risk). </w:t>
      </w:r>
      <w:r>
        <w:t xml:space="preserve">Build a SIMPLE surrogate: a regression learning “load → degradation rate,” then a multiplier when an action changes load. Do NOT build a real physics twin.</w:t>
      </w:r>
    </w:p>
    <w:p>
      <w:pPr>
        <w:pStyle w:val="ListParagraph"/>
        <w:numPr>
          <w:ilvl w:val="0"/>
          <w:numId w:val="3"/>
        </w:numPr>
        <w:spacing w:after="80"/>
      </w:pPr>
      <w:r>
        <w:rPr>
          <w:b/>
          <w:bCs/>
        </w:rPr>
        <w:t xml:space="preserve">Hours 8–14 — Götze engine + agents. </w:t>
      </w:r>
      <w:r>
        <w:t xml:space="preserve">Wire the scoring formula, the diagnosis agent, the action menu. Charts start taking real data.</w:t>
      </w:r>
    </w:p>
    <w:p>
      <w:pPr>
        <w:pStyle w:val="ListParagraph"/>
        <w:numPr>
          <w:ilvl w:val="0"/>
          <w:numId w:val="3"/>
        </w:numPr>
        <w:spacing w:after="80"/>
      </w:pPr>
      <w:r>
        <w:rPr>
          <w:b/>
          <w:bCs/>
        </w:rPr>
        <w:t xml:space="preserve">Hours 14–20 — The proof. </w:t>
      </w:r>
      <w:r>
        <w:t xml:space="preserve">RED→GREEN replay, score-comparison bars, polish the money-shot chart.</w:t>
      </w:r>
    </w:p>
    <w:p>
      <w:pPr>
        <w:pStyle w:val="ListParagraph"/>
        <w:numPr>
          <w:ilvl w:val="0"/>
          <w:numId w:val="3"/>
        </w:numPr>
        <w:spacing w:after="80"/>
      </w:pPr>
      <w:r>
        <w:rPr>
          <w:b/>
          <w:bCs/>
        </w:rPr>
        <w:t xml:space="preserve">Hours 20–24 — Pitch + rehearse. </w:t>
      </w:r>
      <w:r>
        <w:t xml:space="preserve">Lock the demo script, rehearse the trap-question answer, freeze the build.</w:t>
      </w:r>
    </w:p>
    <w:p>
      <w:pPr>
        <w:spacing w:after="120"/>
      </w:pPr>
      <w:r>
        <w:rPr>
          <w:i/>
          <w:iCs/>
          <w:color w:val="5A6B78"/>
        </w:rPr>
        <w:t xml:space="preserve">Scope discipline: fake the prediction layer if needed, shine on the decision layer. One sharp loop deeply demoed beats five shallow ones.</w:t>
      </w:r>
    </w:p>
    <w:p>
      <w:pPr>
        <w:pStyle w:val="Heading1"/>
      </w:pPr>
      <w:r>
        <w:t xml:space="preserve">12. Why this wins</w:t>
      </w:r>
    </w:p>
    <w:p>
      <w:pPr>
        <w:pStyle w:val="ListParagraph"/>
        <w:numPr>
          <w:ilvl w:val="0"/>
          <w:numId w:val="2"/>
        </w:numPr>
        <w:spacing w:after="80"/>
      </w:pPr>
      <w:r>
        <w:rPr>
          <w:b/>
          <w:bCs/>
        </w:rPr>
        <w:t xml:space="preserve">Strategic fit. </w:t>
      </w:r>
      <w:r>
        <w:t xml:space="preserve">Sits in Sustainability — LTTS's highest-margin, fastest-growing segment — and touches three of the six Lakshya-31 “Big Bets”: Plant Modernization, Industrial Automation / Digital Manufacturing, and Software Platforms in EI.</w:t>
      </w:r>
    </w:p>
    <w:p>
      <w:pPr>
        <w:pStyle w:val="ListParagraph"/>
        <w:numPr>
          <w:ilvl w:val="0"/>
          <w:numId w:val="2"/>
        </w:numPr>
        <w:spacing w:after="80"/>
      </w:pPr>
      <w:r>
        <w:rPr>
          <w:b/>
          <w:bCs/>
        </w:rPr>
        <w:t xml:space="preserve">Demonstrates the thesis. </w:t>
      </w:r>
      <w:r>
        <w:t xml:space="preserve">Agentic AI + a Physical-AI / edge story, embedded across the engineering lifecycle — exactly the language of the hackathon brief and the new Munich EI Center.</w:t>
      </w:r>
    </w:p>
    <w:p>
      <w:pPr>
        <w:pStyle w:val="ListParagraph"/>
        <w:numPr>
          <w:ilvl w:val="0"/>
          <w:numId w:val="2"/>
        </w:numPr>
        <w:spacing w:after="80"/>
      </w:pPr>
      <w:r>
        <w:rPr>
          <w:b/>
          <w:bCs/>
        </w:rPr>
        <w:t xml:space="preserve">Patentable. </w:t>
      </w:r>
      <w:r>
        <w:t xml:space="preserve">The counterfactual-twin-scored, energy-aware, self-recalibrating decision method is filable — and directly serves LTTS's stated AI-patent KPI (1,706 patents filed, 237 in AI/GenAI in FY26).</w:t>
      </w:r>
    </w:p>
    <w:p>
      <w:pPr>
        <w:pStyle w:val="ListParagraph"/>
        <w:numPr>
          <w:ilvl w:val="0"/>
          <w:numId w:val="2"/>
        </w:numPr>
        <w:spacing w:after="80"/>
      </w:pPr>
      <w:r>
        <w:rPr>
          <w:b/>
          <w:bCs/>
        </w:rPr>
        <w:t xml:space="preserve">Provable ROI. </w:t>
      </w:r>
      <w:r>
        <w:t xml:space="preserve">Predictive-to-prescriptive maintenance typically cuts unplanned downtime 30–50% and maintenance cost 10–40%. Our incremental value — the decision-quality delta — we measure live from C-MAPSS.</w:t>
      </w:r>
    </w:p>
    <w:p>
      <w:pPr>
        <w:pStyle w:val="ListParagraph"/>
        <w:numPr>
          <w:ilvl w:val="0"/>
          <w:numId w:val="2"/>
        </w:numPr>
        <w:spacing w:after="80"/>
      </w:pPr>
      <w:r>
        <w:rPr>
          <w:b/>
          <w:bCs/>
        </w:rPr>
        <w:t xml:space="preserve">Built to win the room. </w:t>
      </w:r>
      <w:r>
        <w:t xml:space="preserve">The RED→GREEN proof is visual, on real data, and impossible to ignore.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A273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E8C7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2026-06-19T02:27:57.503Z</dcterms:created>
  <dcterms:modified xsi:type="dcterms:W3CDTF">2026-06-19T02:27:57.503Z</dcterms:modified>
</cp:coreProperties>
</file>

<file path=docProps/custom.xml><?xml version="1.0" encoding="utf-8"?>
<Properties xmlns="http://schemas.openxmlformats.org/officeDocument/2006/custom-properties" xmlns:vt="http://schemas.openxmlformats.org/officeDocument/2006/docPropsVTypes"/>
</file>