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ain_register.md"/>
    <w:p>
      <w:pPr>
        <w:pStyle w:val="1"/>
      </w:pPr>
      <w:r>
        <w:t xml:space="preserve">PAIN_REGISTER.md</w:t>
      </w:r>
    </w:p>
    <w:bookmarkStart w:id="20" w:name="Xa54ae0aaec3b7703345259ea0e049843e8b198e"/>
    <w:p>
      <w:pPr>
        <w:pStyle w:val="2"/>
      </w:pPr>
      <w:r>
        <w:t xml:space="preserve">PlantMind — Phase 1: Industry Pain Point Research</w:t>
      </w:r>
    </w:p>
    <w:p>
      <w:pPr>
        <w:pStyle w:val="FirstParagraph"/>
      </w:pPr>
      <w:r>
        <w:rPr>
          <w:b/>
          <w:bCs/>
        </w:rPr>
        <w:t xml:space="preserve">Research Date:</w:t>
      </w:r>
      <w:r>
        <w:t xml:space="preserve"> </w:t>
      </w:r>
      <w:r>
        <w:t xml:space="preserve">2026-06-25</w:t>
      </w:r>
      <w:r>
        <w:br/>
      </w:r>
      <w:r>
        <w:rPr>
          <w:b/>
          <w:bCs/>
        </w:rPr>
        <w:t xml:space="preserve">Model Used:</w:t>
      </w:r>
      <w:r>
        <w:t xml:space="preserve"> </w:t>
      </w:r>
      <w:r>
        <w:t xml:space="preserve">Kimi K2.6 with Multi-Source Web Research</w:t>
      </w:r>
      <w:r>
        <w:br/>
      </w:r>
      <w:r>
        <w:rPr>
          <w:b/>
          <w:bCs/>
        </w:rPr>
        <w:t xml:space="preserve">Sources Validated:</w:t>
      </w:r>
      <w:r>
        <w:t xml:space="preserve"> </w:t>
      </w:r>
      <w:r>
        <w:t xml:space="preserve">40+ industry reports, analyst studies, vendor white papers, academic papers (2024–2026)</w:t>
      </w:r>
    </w:p>
    <w:p>
      <w:r>
        <w:pict>
          <v:rect style="width:0;height:1.5pt" o:hralign="center" o:hrstd="t" o:hr="t"/>
        </w:pict>
      </w:r>
    </w:p>
    <w:bookmarkEnd w:id="20"/>
    <w:bookmarkStart w:id="21" w:name="part-a-pain-point-register-table"/>
    <w:p>
      <w:pPr>
        <w:pStyle w:val="2"/>
      </w:pPr>
      <w:r>
        <w:t xml:space="preserve">PART A: Pain Point Register Table</w:t>
      </w:r>
    </w:p>
    <w:tbl>
      <w:tblPr>
        <w:tblStyle w:val="Table"/>
        <w:tblW w:type="pct" w:w="5000"/>
        <w:jc w:val="left"/>
        <w:tblLayout w:type="fixed"/>
        <w:tblLook w:firstRow="1" w:lastRow="0" w:firstColumn="0" w:lastColumn="0" w:noHBand="0" w:noVBand="0" w:val="0020"/>
      </w:tblPr>
      <w:tblGrid>
        <w:gridCol w:w="505"/>
        <w:gridCol w:w="337"/>
        <w:gridCol w:w="1011"/>
        <w:gridCol w:w="1067"/>
        <w:gridCol w:w="1516"/>
        <w:gridCol w:w="954"/>
        <w:gridCol w:w="1685"/>
        <w:gridCol w:w="842"/>
      </w:tblGrid>
      <w:tr>
        <w:trPr>
          <w:tblHeader w:val="on"/>
        </w:trPr>
        <w:tc>
          <w:tcPr/>
          <w:p>
            <w:pPr>
              <w:pStyle w:val="Compact"/>
              <w:jc w:val="left"/>
            </w:pPr>
            <w:r>
              <w:t xml:space="preserve">Pain_ID</w:t>
            </w:r>
          </w:p>
        </w:tc>
        <w:tc>
          <w:tcPr/>
          <w:p>
            <w:pPr>
              <w:pStyle w:val="Compact"/>
              <w:jc w:val="left"/>
            </w:pPr>
            <w:r>
              <w:t xml:space="preserve">Role</w:t>
            </w:r>
          </w:p>
        </w:tc>
        <w:tc>
          <w:tcPr/>
          <w:p>
            <w:pPr>
              <w:pStyle w:val="Compact"/>
              <w:jc w:val="left"/>
            </w:pPr>
            <w:r>
              <w:t xml:space="preserve">Pain Description</w:t>
            </w:r>
          </w:p>
        </w:tc>
        <w:tc>
          <w:tcPr/>
          <w:p>
            <w:pPr>
              <w:pStyle w:val="Compact"/>
              <w:jc w:val="left"/>
            </w:pPr>
            <w:r>
              <w:t xml:space="preserve">Current Workaround</w:t>
            </w:r>
          </w:p>
        </w:tc>
        <w:tc>
          <w:tcPr/>
          <w:p>
            <w:pPr>
              <w:pStyle w:val="Compact"/>
              <w:jc w:val="left"/>
            </w:pPr>
            <w:r>
              <w:t xml:space="preserve">Business Impact ($/yr or %)</w:t>
            </w:r>
          </w:p>
        </w:tc>
        <w:tc>
          <w:tcPr/>
          <w:p>
            <w:pPr>
              <w:pStyle w:val="Compact"/>
              <w:jc w:val="left"/>
            </w:pPr>
            <w:r>
              <w:t xml:space="preserve">Source/Citation</w:t>
            </w:r>
          </w:p>
        </w:tc>
        <w:tc>
          <w:tcPr/>
          <w:p>
            <w:pPr>
              <w:pStyle w:val="Compact"/>
              <w:jc w:val="left"/>
            </w:pPr>
            <w:r>
              <w:t xml:space="preserve">PlantMind Solution Hypothesis</w:t>
            </w:r>
          </w:p>
        </w:tc>
        <w:tc>
          <w:tcPr/>
          <w:p>
            <w:pPr>
              <w:pStyle w:val="Compact"/>
              <w:jc w:val="left"/>
            </w:pPr>
            <w:r>
              <w:t xml:space="preserve">Severity (1-5)</w:t>
            </w:r>
          </w:p>
        </w:tc>
      </w:tr>
      <w:tr>
        <w:tc>
          <w:tcPr/>
          <w:p>
            <w:pPr>
              <w:pStyle w:val="Compact"/>
              <w:jc w:val="left"/>
            </w:pPr>
            <w:r>
              <w:t xml:space="preserve">P001</w:t>
            </w:r>
          </w:p>
        </w:tc>
        <w:tc>
          <w:tcPr/>
          <w:p>
            <w:pPr>
              <w:pStyle w:val="Compact"/>
              <w:jc w:val="left"/>
            </w:pPr>
            <w:r>
              <w:t xml:space="preserve">Plant Engineer</w:t>
            </w:r>
          </w:p>
        </w:tc>
        <w:tc>
          <w:tcPr/>
          <w:p>
            <w:pPr>
              <w:pStyle w:val="Compact"/>
              <w:jc w:val="left"/>
            </w:pPr>
            <w:r>
              <w:rPr>
                <w:b/>
                <w:bCs/>
              </w:rPr>
              <w:t xml:space="preserve">Alarm Flood Overload:</w:t>
            </w:r>
            <w:r>
              <w:t xml:space="preserve"> </w:t>
            </w:r>
            <w:r>
              <w:t xml:space="preserve">Large plants average 300–2,000+ alarms/operator/day vs. EEMUA 191 manageable threshold of &lt;150/day. Operators process max ~1 alarm per 10 minutes. During upsets, flood rates exceed 10 alarms/minute, making critical alarms invisible.</w:t>
            </w:r>
          </w:p>
        </w:tc>
        <w:tc>
          <w:tcPr/>
          <w:p>
            <w:pPr>
              <w:pStyle w:val="Compact"/>
              <w:jc w:val="left"/>
            </w:pPr>
            <w:r>
              <w:t xml:space="preserve">Alarm suppression by senior operators; manual DCS scrolling; post-incident alarm log review</w:t>
            </w:r>
          </w:p>
        </w:tc>
        <w:tc>
          <w:tcPr/>
          <w:p>
            <w:pPr>
              <w:pStyle w:val="Compact"/>
              <w:jc w:val="left"/>
            </w:pPr>
            <w:r>
              <w:t xml:space="preserve">$260K–$500K/hr unplanned downtime when critical alarms missed; 5–30% of operating time in flood condition; average incident cost $2M (4-hr event)</w:t>
            </w:r>
          </w:p>
        </w:tc>
        <w:tc>
          <w:tcPr/>
          <w:p>
            <w:pPr>
              <w:pStyle w:val="Compact"/>
              <w:jc w:val="left"/>
            </w:pPr>
            <w:r>
              <w:t xml:space="preserve">ISA-18.2 / EEMUA 191 targets; iFactory alarm management analysis 2026; Siemens True Cost of Downtime 2024</w:t>
            </w:r>
          </w:p>
        </w:tc>
        <w:tc>
          <w:tcPr/>
          <w:p>
            <w:pPr>
              <w:pStyle w:val="Compact"/>
              <w:jc w:val="left"/>
            </w:pPr>
            <w:r>
              <w:rPr>
                <w:b/>
                <w:bCs/>
              </w:rPr>
              <w:t xml:space="preserve">AnomalyModelInterface</w:t>
            </w:r>
            <w:r>
              <w:t xml:space="preserve"> </w:t>
            </w:r>
            <w:r>
              <w:t xml:space="preserve">+</w:t>
            </w:r>
            <w:r>
              <w:t xml:space="preserve"> </w:t>
            </w:r>
            <w:r>
              <w:rPr>
                <w:b/>
                <w:bCs/>
              </w:rPr>
              <w:t xml:space="preserve">AgentOrchestratorInterface</w:t>
            </w:r>
            <w:r>
              <w:t xml:space="preserve">: AI-driven alarm rationalization, root-cause clustering, intelligent suppression of consequential alarms, operator guidance with contextual knowledge retrieval</w:t>
            </w:r>
          </w:p>
        </w:tc>
        <w:tc>
          <w:tcPr/>
          <w:p>
            <w:pPr>
              <w:pStyle w:val="Compact"/>
              <w:jc w:val="left"/>
            </w:pPr>
            <w:r>
              <w:t xml:space="preserve">5</w:t>
            </w:r>
          </w:p>
        </w:tc>
      </w:tr>
      <w:tr>
        <w:tc>
          <w:tcPr/>
          <w:p>
            <w:pPr>
              <w:pStyle w:val="Compact"/>
              <w:jc w:val="left"/>
            </w:pPr>
            <w:r>
              <w:t xml:space="preserve">P002</w:t>
            </w:r>
          </w:p>
        </w:tc>
        <w:tc>
          <w:tcPr/>
          <w:p>
            <w:pPr>
              <w:pStyle w:val="Compact"/>
              <w:jc w:val="left"/>
            </w:pPr>
            <w:r>
              <w:t xml:space="preserve">Plant Engineer</w:t>
            </w:r>
          </w:p>
        </w:tc>
        <w:tc>
          <w:tcPr/>
          <w:p>
            <w:pPr>
              <w:pStyle w:val="Compact"/>
              <w:jc w:val="left"/>
            </w:pPr>
            <w:r>
              <w:rPr>
                <w:b/>
                <w:bCs/>
              </w:rPr>
              <w:t xml:space="preserve">Manual Historian Review Burden:</w:t>
            </w:r>
            <w:r>
              <w:t xml:space="preserve"> </w:t>
            </w:r>
            <w:r>
              <w:t xml:space="preserve">Plant engineers spend 60–70% of shift manually reviewing PI/Aspen historian trends, spreadsheets, and DCS screens rather than making engineering decisions.</w:t>
            </w:r>
          </w:p>
        </w:tc>
        <w:tc>
          <w:tcPr/>
          <w:p>
            <w:pPr>
              <w:pStyle w:val="Compact"/>
              <w:jc w:val="left"/>
            </w:pPr>
            <w:r>
              <w:t xml:space="preserve">PI ProcessBook, Excel exports, DCS trend review, paper logbooks</w:t>
            </w:r>
          </w:p>
        </w:tc>
        <w:tc>
          <w:tcPr/>
          <w:p>
            <w:pPr>
              <w:pStyle w:val="Compact"/>
              <w:jc w:val="left"/>
            </w:pPr>
            <w:r>
              <w:t xml:space="preserve">Lost engineering productivity: ~$150K–$300K/yr per engineer in opportunity cost; delayed process optimization decisions</w:t>
            </w:r>
          </w:p>
        </w:tc>
        <w:tc>
          <w:tcPr/>
          <w:p>
            <w:pPr>
              <w:pStyle w:val="Compact"/>
              <w:jc w:val="left"/>
            </w:pPr>
            <w:r>
              <w:t xml:space="preserve">[INFERRED] Based on ISA-18.2 operator workload studies; EEMUA 191 time-to-respond benchmarks</w:t>
            </w:r>
          </w:p>
        </w:tc>
        <w:tc>
          <w:tcPr/>
          <w:p>
            <w:pPr>
              <w:pStyle w:val="Compact"/>
              <w:jc w:val="left"/>
            </w:pPr>
            <w:r>
              <w:rPr>
                <w:b/>
                <w:bCs/>
              </w:rPr>
              <w:t xml:space="preserve">KnowledgeRetrieverInterface</w:t>
            </w:r>
            <w:r>
              <w:t xml:space="preserve"> </w:t>
            </w:r>
            <w:r>
              <w:t xml:space="preserve">+</w:t>
            </w:r>
            <w:r>
              <w:t xml:space="preserve"> </w:t>
            </w:r>
            <w:r>
              <w:rPr>
                <w:b/>
                <w:bCs/>
              </w:rPr>
              <w:t xml:space="preserve">FeatureStoreInterface</w:t>
            </w:r>
            <w:r>
              <w:t xml:space="preserve">: Natural language querying of multi-source data, automated deviation detection, prescriptive recommendations</w:t>
            </w:r>
          </w:p>
        </w:tc>
        <w:tc>
          <w:tcPr/>
          <w:p>
            <w:pPr>
              <w:pStyle w:val="Compact"/>
              <w:jc w:val="left"/>
            </w:pPr>
            <w:r>
              <w:t xml:space="preserve">4</w:t>
            </w:r>
          </w:p>
        </w:tc>
      </w:tr>
      <w:tr>
        <w:tc>
          <w:tcPr/>
          <w:p>
            <w:pPr>
              <w:pStyle w:val="Compact"/>
              <w:jc w:val="left"/>
            </w:pPr>
            <w:r>
              <w:t xml:space="preserve">P003</w:t>
            </w:r>
          </w:p>
        </w:tc>
        <w:tc>
          <w:tcPr/>
          <w:p>
            <w:pPr>
              <w:pStyle w:val="Compact"/>
              <w:jc w:val="left"/>
            </w:pPr>
            <w:r>
              <w:t xml:space="preserve">Plant Engineer</w:t>
            </w:r>
          </w:p>
        </w:tc>
        <w:tc>
          <w:tcPr/>
          <w:p>
            <w:pPr>
              <w:pStyle w:val="Compact"/>
              <w:jc w:val="left"/>
            </w:pPr>
            <w:r>
              <w:rPr>
                <w:b/>
                <w:bCs/>
              </w:rPr>
              <w:t xml:space="preserve">Process Deviation Diagnosis Latency:</w:t>
            </w:r>
            <w:r>
              <w:t xml:space="preserve"> </w:t>
            </w:r>
            <w:r>
              <w:t xml:space="preserve">Average time from alarm to root cause identification is 2–8 hours for non-trivial deviations. Senior engineers diagnose via tribal knowledge; junior engineers escalate repeatedly.</w:t>
            </w:r>
          </w:p>
        </w:tc>
        <w:tc>
          <w:tcPr/>
          <w:p>
            <w:pPr>
              <w:pStyle w:val="Compact"/>
              <w:jc w:val="left"/>
            </w:pPr>
            <w:r>
              <w:t xml:space="preserve">Expert consultation, manual P&amp;ID tracing, lab sample analysis, trial-and-error adjustments</w:t>
            </w:r>
          </w:p>
        </w:tc>
        <w:tc>
          <w:tcPr/>
          <w:p>
            <w:pPr>
              <w:pStyle w:val="Compact"/>
              <w:jc w:val="left"/>
            </w:pPr>
            <w:r>
              <w:t xml:space="preserve">$50K–$200K per deviation event in lost production + off-spec product; cumulative $2–5M/yr for typical refinery</w:t>
            </w:r>
          </w:p>
        </w:tc>
        <w:tc>
          <w:tcPr/>
          <w:p>
            <w:pPr>
              <w:pStyle w:val="Compact"/>
              <w:jc w:val="left"/>
            </w:pPr>
            <w:r>
              <w:t xml:space="preserve">[INFERRED] Based on EEMUA 191 response time targets; industry operational data</w:t>
            </w:r>
          </w:p>
        </w:tc>
        <w:tc>
          <w:tcPr/>
          <w:p>
            <w:pPr>
              <w:pStyle w:val="Compact"/>
              <w:jc w:val="left"/>
            </w:pPr>
            <w:r>
              <w:rPr>
                <w:b/>
                <w:bCs/>
              </w:rPr>
              <w:t xml:space="preserve">AgentOrchestratorInterface</w:t>
            </w:r>
            <w:r>
              <w:t xml:space="preserve"> </w:t>
            </w:r>
            <w:r>
              <w:t xml:space="preserve">+</w:t>
            </w:r>
            <w:r>
              <w:t xml:space="preserve"> </w:t>
            </w:r>
            <w:r>
              <w:rPr>
                <w:b/>
                <w:bCs/>
              </w:rPr>
              <w:t xml:space="preserve">KnowledgeRetrieverInterface</w:t>
            </w:r>
            <w:r>
              <w:t xml:space="preserve">: Automated root-cause analysis using causal graph models, similarity search against historical incidents, explainable recommendations</w:t>
            </w:r>
          </w:p>
        </w:tc>
        <w:tc>
          <w:tcPr/>
          <w:p>
            <w:pPr>
              <w:pStyle w:val="Compact"/>
              <w:jc w:val="left"/>
            </w:pPr>
            <w:r>
              <w:t xml:space="preserve">5</w:t>
            </w:r>
          </w:p>
        </w:tc>
      </w:tr>
      <w:tr>
        <w:tc>
          <w:tcPr/>
          <w:p>
            <w:pPr>
              <w:pStyle w:val="Compact"/>
              <w:jc w:val="left"/>
            </w:pPr>
            <w:r>
              <w:t xml:space="preserve">P004</w:t>
            </w:r>
          </w:p>
        </w:tc>
        <w:tc>
          <w:tcPr/>
          <w:p>
            <w:pPr>
              <w:pStyle w:val="Compact"/>
              <w:jc w:val="left"/>
            </w:pPr>
            <w:r>
              <w:t xml:space="preserve">Plant Engineer</w:t>
            </w:r>
          </w:p>
        </w:tc>
        <w:tc>
          <w:tcPr/>
          <w:p>
            <w:pPr>
              <w:pStyle w:val="Compact"/>
              <w:jc w:val="left"/>
            </w:pPr>
            <w:r>
              <w:rPr>
                <w:b/>
                <w:bCs/>
              </w:rPr>
              <w:t xml:space="preserve">Knowledge Exodus — Senior Retirement:</w:t>
            </w:r>
            <w:r>
              <w:t xml:space="preserve"> </w:t>
            </w:r>
            <w:r>
              <w:t xml:space="preserve">82% of manufacturing workers who leave do so to retire. 78% of companies report significant concern about brain drain. Tribal knowledge of process behavior walks out the door.</w:t>
            </w:r>
          </w:p>
        </w:tc>
        <w:tc>
          <w:tcPr/>
          <w:p>
            <w:pPr>
              <w:pStyle w:val="Compact"/>
              <w:jc w:val="left"/>
            </w:pPr>
            <w:r>
              <w:t xml:space="preserve">Shadowing programs, SOP documentation (often outdated), video recordings, knowledge management portals</w:t>
            </w:r>
          </w:p>
        </w:tc>
        <w:tc>
          <w:tcPr/>
          <w:p>
            <w:pPr>
              <w:pStyle w:val="Compact"/>
              <w:jc w:val="left"/>
            </w:pPr>
            <w:r>
              <w:t xml:space="preserve">$47M/yr estimated cost for large US businesses from poor knowledge transfer; 800% productivity gap between high/low performers in complex roles</w:t>
            </w:r>
          </w:p>
        </w:tc>
        <w:tc>
          <w:tcPr/>
          <w:p>
            <w:pPr>
              <w:pStyle w:val="Compact"/>
              <w:jc w:val="left"/>
            </w:pPr>
            <w:r>
              <w:t xml:space="preserve">Dirac Inc. </w:t>
            </w:r>
            <w:r>
              <w:t xml:space="preserve">“</w:t>
            </w:r>
            <w:r>
              <w:t xml:space="preserve">Silver Exodus</w:t>
            </w:r>
            <w:r>
              <w:t xml:space="preserve">”</w:t>
            </w:r>
            <w:r>
              <w:t xml:space="preserve"> </w:t>
            </w:r>
            <w:r>
              <w:t xml:space="preserve">research; McKinsey manufacturing workforce analysis 2025; NAM survey</w:t>
            </w:r>
          </w:p>
        </w:tc>
        <w:tc>
          <w:tcPr/>
          <w:p>
            <w:pPr>
              <w:pStyle w:val="Compact"/>
              <w:jc w:val="left"/>
            </w:pPr>
            <w:r>
              <w:rPr>
                <w:b/>
                <w:bCs/>
              </w:rPr>
              <w:t xml:space="preserve">KnowledgeRetrieverInterface</w:t>
            </w:r>
            <w:r>
              <w:t xml:space="preserve"> </w:t>
            </w:r>
            <w:r>
              <w:t xml:space="preserve">+</w:t>
            </w:r>
            <w:r>
              <w:t xml:space="preserve"> </w:t>
            </w:r>
            <w:r>
              <w:rPr>
                <w:b/>
                <w:bCs/>
              </w:rPr>
              <w:t xml:space="preserve">FeedbackLoopInterface</w:t>
            </w:r>
            <w:r>
              <w:t xml:space="preserve">: Vectorized knowledge base of historical incidents, golden batch recipes, deviation responses; continuous learning from engineer decisions</w:t>
            </w:r>
          </w:p>
        </w:tc>
        <w:tc>
          <w:tcPr/>
          <w:p>
            <w:pPr>
              <w:pStyle w:val="Compact"/>
              <w:jc w:val="left"/>
            </w:pPr>
            <w:r>
              <w:t xml:space="preserve">5</w:t>
            </w:r>
          </w:p>
        </w:tc>
      </w:tr>
      <w:tr>
        <w:tc>
          <w:tcPr/>
          <w:p>
            <w:pPr>
              <w:pStyle w:val="Compact"/>
              <w:jc w:val="left"/>
            </w:pPr>
            <w:r>
              <w:t xml:space="preserve">P005</w:t>
            </w:r>
          </w:p>
        </w:tc>
        <w:tc>
          <w:tcPr/>
          <w:p>
            <w:pPr>
              <w:pStyle w:val="Compact"/>
              <w:jc w:val="left"/>
            </w:pPr>
            <w:r>
              <w:t xml:space="preserve">Reliability Engineer</w:t>
            </w:r>
          </w:p>
        </w:tc>
        <w:tc>
          <w:tcPr/>
          <w:p>
            <w:pPr>
              <w:pStyle w:val="Compact"/>
              <w:jc w:val="left"/>
            </w:pPr>
            <w:r>
              <w:rPr>
                <w:b/>
                <w:bCs/>
              </w:rPr>
              <w:t xml:space="preserve">Failure Detection Methods Are Reactive:</w:t>
            </w:r>
            <w:r>
              <w:t xml:space="preserve"> </w:t>
            </w:r>
            <w:r>
              <w:t xml:space="preserve">42% of unplanned downtime caused by equipment failure. Standard methods: vibration analysis (periodic), oil analysis, thermography — all periodic/manual. Only ~20–30% of failures detected before occurrence.</w:t>
            </w:r>
          </w:p>
        </w:tc>
        <w:tc>
          <w:tcPr/>
          <w:p>
            <w:pPr>
              <w:pStyle w:val="Compact"/>
              <w:jc w:val="left"/>
            </w:pPr>
            <w:r>
              <w:t xml:space="preserve">Route-based vibration monitoring, manual inspection rounds, CMMS work order triggers, operator rounds</w:t>
            </w:r>
          </w:p>
        </w:tc>
        <w:tc>
          <w:tcPr/>
          <w:p>
            <w:pPr>
              <w:pStyle w:val="Compact"/>
              <w:jc w:val="left"/>
            </w:pPr>
            <w:r>
              <w:t xml:space="preserve">$260K/hr average downtime cost; $1.4T/yr Fortune Global 500 total; $50B/yr US manufacturing alone</w:t>
            </w:r>
          </w:p>
        </w:tc>
        <w:tc>
          <w:tcPr/>
          <w:p>
            <w:pPr>
              <w:pStyle w:val="Compact"/>
              <w:jc w:val="left"/>
            </w:pPr>
            <w:r>
              <w:t xml:space="preserve">Aberdeen Group; Siemens True Cost of Downtime 2024; Fluke 2025 Global Survey</w:t>
            </w:r>
          </w:p>
        </w:tc>
        <w:tc>
          <w:tcPr/>
          <w:p>
            <w:pPr>
              <w:pStyle w:val="Compact"/>
              <w:jc w:val="left"/>
            </w:pPr>
            <w:r>
              <w:rPr>
                <w:b/>
                <w:bCs/>
              </w:rPr>
              <w:t xml:space="preserve">AnomalyModelInterface</w:t>
            </w:r>
            <w:r>
              <w:t xml:space="preserve"> </w:t>
            </w:r>
            <w:r>
              <w:t xml:space="preserve">+</w:t>
            </w:r>
            <w:r>
              <w:t xml:space="preserve"> </w:t>
            </w:r>
            <w:r>
              <w:rPr>
                <w:b/>
                <w:bCs/>
              </w:rPr>
              <w:t xml:space="preserve">FeatureStoreInterface</w:t>
            </w:r>
            <w:r>
              <w:t xml:space="preserve">: Continuous multi-variate anomaly detection on all sensor streams, failure mode-specific models, remaining useful life predictions</w:t>
            </w:r>
          </w:p>
        </w:tc>
        <w:tc>
          <w:tcPr/>
          <w:p>
            <w:pPr>
              <w:pStyle w:val="Compact"/>
              <w:jc w:val="left"/>
            </w:pPr>
            <w:r>
              <w:t xml:space="preserve">5</w:t>
            </w:r>
          </w:p>
        </w:tc>
      </w:tr>
      <w:tr>
        <w:tc>
          <w:tcPr/>
          <w:p>
            <w:pPr>
              <w:pStyle w:val="Compact"/>
              <w:jc w:val="left"/>
            </w:pPr>
            <w:r>
              <w:t xml:space="preserve">P006</w:t>
            </w:r>
          </w:p>
        </w:tc>
        <w:tc>
          <w:tcPr/>
          <w:p>
            <w:pPr>
              <w:pStyle w:val="Compact"/>
              <w:jc w:val="left"/>
            </w:pPr>
            <w:r>
              <w:t xml:space="preserve">Reliability Engineer</w:t>
            </w:r>
          </w:p>
        </w:tc>
        <w:tc>
          <w:tcPr/>
          <w:p>
            <w:pPr>
              <w:pStyle w:val="Compact"/>
              <w:jc w:val="left"/>
            </w:pPr>
            <w:r>
              <w:rPr>
                <w:b/>
                <w:bCs/>
              </w:rPr>
              <w:t xml:space="preserve">High MTTD/MTTR:</w:t>
            </w:r>
            <w:r>
              <w:t xml:space="preserve"> </w:t>
            </w:r>
            <w:r>
              <w:t xml:space="preserve">Industry average MTTD (mean time to detect) for equipment degradation: days to weeks. MTTR (mean time to repair): 4–72 hours depending on sector. Energy/OT incidents often 72+ hours.</w:t>
            </w:r>
          </w:p>
        </w:tc>
        <w:tc>
          <w:tcPr/>
          <w:p>
            <w:pPr>
              <w:pStyle w:val="Compact"/>
              <w:jc w:val="left"/>
            </w:pPr>
            <w:r>
              <w:t xml:space="preserve">SCADA alarms, operator reports, periodic inspection, run-to-failure</w:t>
            </w:r>
          </w:p>
        </w:tc>
        <w:tc>
          <w:tcPr/>
          <w:p>
            <w:pPr>
              <w:pStyle w:val="Compact"/>
              <w:jc w:val="left"/>
            </w:pPr>
            <w:r>
              <w:t xml:space="preserve">Each day of delayed detection = $45K–$180K per event (oil &amp; gas); emergency repairs cost 4–7x planned repairs</w:t>
            </w:r>
          </w:p>
        </w:tc>
        <w:tc>
          <w:tcPr/>
          <w:p>
            <w:pPr>
              <w:pStyle w:val="Compact"/>
              <w:jc w:val="left"/>
            </w:pPr>
            <w:r>
              <w:t xml:space="preserve">iFactory oil &amp; gas case studies 2026; Dragos ICS Security Report 2023; Facilio MTTR benchmarks 2026</w:t>
            </w:r>
          </w:p>
        </w:tc>
        <w:tc>
          <w:tcPr/>
          <w:p>
            <w:pPr>
              <w:pStyle w:val="Compact"/>
              <w:jc w:val="left"/>
            </w:pPr>
            <w:r>
              <w:rPr>
                <w:b/>
                <w:bCs/>
              </w:rPr>
              <w:t xml:space="preserve">AnomalyModelInterface</w:t>
            </w:r>
            <w:r>
              <w:t xml:space="preserve">: Early degradation detection (7–21 days advance warning); automated work order generation with parts lists and procedures</w:t>
            </w:r>
          </w:p>
        </w:tc>
        <w:tc>
          <w:tcPr/>
          <w:p>
            <w:pPr>
              <w:pStyle w:val="Compact"/>
              <w:jc w:val="left"/>
            </w:pPr>
            <w:r>
              <w:t xml:space="preserve">5</w:t>
            </w:r>
          </w:p>
        </w:tc>
      </w:tr>
      <w:tr>
        <w:tc>
          <w:tcPr/>
          <w:p>
            <w:pPr>
              <w:pStyle w:val="Compact"/>
              <w:jc w:val="left"/>
            </w:pPr>
            <w:r>
              <w:t xml:space="preserve">P007</w:t>
            </w:r>
          </w:p>
        </w:tc>
        <w:tc>
          <w:tcPr/>
          <w:p>
            <w:pPr>
              <w:pStyle w:val="Compact"/>
              <w:jc w:val="left"/>
            </w:pPr>
            <w:r>
              <w:t xml:space="preserve">Reliability Engineer</w:t>
            </w:r>
          </w:p>
        </w:tc>
        <w:tc>
          <w:tcPr/>
          <w:p>
            <w:pPr>
              <w:pStyle w:val="Compact"/>
              <w:jc w:val="left"/>
            </w:pPr>
            <w:r>
              <w:rPr>
                <w:b/>
                <w:bCs/>
              </w:rPr>
              <w:t xml:space="preserve">Failure History Fragmentation:</w:t>
            </w:r>
            <w:r>
              <w:t xml:space="preserve"> </w:t>
            </w:r>
            <w:r>
              <w:t xml:space="preserve">Failure history stored across paper logs, CMMS (SAP PM, Oracle EAM), DCS event logs, maintenance notebooks, and engineer memory — no unified searchable record.</w:t>
            </w:r>
          </w:p>
        </w:tc>
        <w:tc>
          <w:tcPr/>
          <w:p>
            <w:pPr>
              <w:pStyle w:val="Compact"/>
              <w:jc w:val="left"/>
            </w:pPr>
            <w:r>
              <w:t xml:space="preserve">Manual CMMS entry, Excel spreadsheets, paper files, tribal knowledge</w:t>
            </w:r>
          </w:p>
        </w:tc>
        <w:tc>
          <w:tcPr/>
          <w:p>
            <w:pPr>
              <w:pStyle w:val="Compact"/>
              <w:jc w:val="left"/>
            </w:pPr>
            <w:r>
              <w:t xml:space="preserve">Repeated failures due to undetected patterns; $15–30% inflated maintenance costs from missing historical context</w:t>
            </w:r>
          </w:p>
        </w:tc>
        <w:tc>
          <w:tcPr/>
          <w:p>
            <w:pPr>
              <w:pStyle w:val="Compact"/>
              <w:jc w:val="left"/>
            </w:pPr>
            <w:r>
              <w:t xml:space="preserve">[INFERRED] Based on CMMS adoption studies; SMRP maintenance metrics</w:t>
            </w:r>
          </w:p>
        </w:tc>
        <w:tc>
          <w:tcPr/>
          <w:p>
            <w:pPr>
              <w:pStyle w:val="Compact"/>
              <w:jc w:val="left"/>
            </w:pPr>
            <w:r>
              <w:rPr>
                <w:b/>
                <w:bCs/>
              </w:rPr>
              <w:t xml:space="preserve">KnowledgeRetrieverInterface</w:t>
            </w:r>
            <w:r>
              <w:t xml:space="preserve"> </w:t>
            </w:r>
            <w:r>
              <w:t xml:space="preserve">+</w:t>
            </w:r>
            <w:r>
              <w:t xml:space="preserve"> </w:t>
            </w:r>
            <w:r>
              <w:rPr>
                <w:b/>
                <w:bCs/>
              </w:rPr>
              <w:t xml:space="preserve">GovernanceInterface</w:t>
            </w:r>
            <w:r>
              <w:t xml:space="preserve">: Unified failure knowledge graph with full lineage, searchable by asset, symptom, and root cause; automated pattern recognition</w:t>
            </w:r>
          </w:p>
        </w:tc>
        <w:tc>
          <w:tcPr/>
          <w:p>
            <w:pPr>
              <w:pStyle w:val="Compact"/>
              <w:jc w:val="left"/>
            </w:pPr>
            <w:r>
              <w:t xml:space="preserve">4</w:t>
            </w:r>
          </w:p>
        </w:tc>
      </w:tr>
      <w:tr>
        <w:tc>
          <w:tcPr/>
          <w:p>
            <w:pPr>
              <w:pStyle w:val="Compact"/>
              <w:jc w:val="left"/>
            </w:pPr>
            <w:r>
              <w:t xml:space="preserve">P008</w:t>
            </w:r>
          </w:p>
        </w:tc>
        <w:tc>
          <w:tcPr/>
          <w:p>
            <w:pPr>
              <w:pStyle w:val="Compact"/>
              <w:jc w:val="left"/>
            </w:pPr>
            <w:r>
              <w:t xml:space="preserve">Maintenance Engineer</w:t>
            </w:r>
          </w:p>
        </w:tc>
        <w:tc>
          <w:tcPr/>
          <w:p>
            <w:pPr>
              <w:pStyle w:val="Compact"/>
              <w:jc w:val="left"/>
            </w:pPr>
            <w:r>
              <w:rPr>
                <w:b/>
                <w:bCs/>
              </w:rPr>
              <w:t xml:space="preserve">Work Order Prioritization Chaos:</w:t>
            </w:r>
            <w:r>
              <w:t xml:space="preserve"> </w:t>
            </w:r>
            <w:r>
              <w:t xml:space="preserve">Maintenance backlogs average 2–6 weeks industry-wide. 40% of planning capacity wasted triaging noise (duplicates, self-resolved, unclosed WOs). Reactive work consumes 50–70% of craft hours.</w:t>
            </w:r>
          </w:p>
        </w:tc>
        <w:tc>
          <w:tcPr/>
          <w:p>
            <w:pPr>
              <w:pStyle w:val="Compact"/>
              <w:jc w:val="left"/>
            </w:pPr>
            <w:r>
              <w:t xml:space="preserve">Manual CMMS sorting by date/requester seniority; planner judgment;</w:t>
            </w:r>
            <w:r>
              <w:t xml:space="preserve"> </w:t>
            </w:r>
            <w:r>
              <w:t xml:space="preserve">“</w:t>
            </w:r>
            <w:r>
              <w:t xml:space="preserve">loudest voice wins</w:t>
            </w:r>
            <w:r>
              <w:t xml:space="preserve">”</w:t>
            </w:r>
          </w:p>
        </w:tc>
        <w:tc>
          <w:tcPr/>
          <w:p>
            <w:pPr>
              <w:pStyle w:val="Compact"/>
              <w:jc w:val="left"/>
            </w:pPr>
            <w:r>
              <w:t xml:space="preserve">Unmanaged backlogs increase emergency repair spend by 23%, reduce asset availability by 18%, inflate total maintenance cost by 15–30%</w:t>
            </w:r>
          </w:p>
        </w:tc>
        <w:tc>
          <w:tcPr/>
          <w:p>
            <w:pPr>
              <w:pStyle w:val="Compact"/>
              <w:jc w:val="left"/>
            </w:pPr>
            <w:r>
              <w:t xml:space="preserve">MaintainX 2026; SMRP/ARC Advisory Group research; Oxmaint backlog analysis 2026</w:t>
            </w:r>
          </w:p>
        </w:tc>
        <w:tc>
          <w:tcPr/>
          <w:p>
            <w:pPr>
              <w:pStyle w:val="Compact"/>
              <w:jc w:val="left"/>
            </w:pPr>
            <w:r>
              <w:rPr>
                <w:b/>
                <w:bCs/>
              </w:rPr>
              <w:t xml:space="preserve">AgentOrchestratorInterface</w:t>
            </w:r>
            <w:r>
              <w:t xml:space="preserve"> </w:t>
            </w:r>
            <w:r>
              <w:t xml:space="preserve">+</w:t>
            </w:r>
            <w:r>
              <w:t xml:space="preserve"> </w:t>
            </w:r>
            <w:r>
              <w:rPr>
                <w:b/>
                <w:bCs/>
              </w:rPr>
              <w:t xml:space="preserve">GovernanceInterface</w:t>
            </w:r>
            <w:r>
              <w:t xml:space="preserve">: AI-powered WO scoring and ranking by consequence severity, automated priority assignment, schedule optimization</w:t>
            </w:r>
          </w:p>
        </w:tc>
        <w:tc>
          <w:tcPr/>
          <w:p>
            <w:pPr>
              <w:pStyle w:val="Compact"/>
              <w:jc w:val="left"/>
            </w:pPr>
            <w:r>
              <w:t xml:space="preserve">4</w:t>
            </w:r>
          </w:p>
        </w:tc>
      </w:tr>
      <w:tr>
        <w:tc>
          <w:tcPr/>
          <w:p>
            <w:pPr>
              <w:pStyle w:val="Compact"/>
              <w:jc w:val="left"/>
            </w:pPr>
            <w:r>
              <w:t xml:space="preserve">P009</w:t>
            </w:r>
          </w:p>
        </w:tc>
        <w:tc>
          <w:tcPr/>
          <w:p>
            <w:pPr>
              <w:pStyle w:val="Compact"/>
              <w:jc w:val="left"/>
            </w:pPr>
            <w:r>
              <w:t xml:space="preserve">Maintenance Engineer</w:t>
            </w:r>
          </w:p>
        </w:tc>
        <w:tc>
          <w:tcPr/>
          <w:p>
            <w:pPr>
              <w:pStyle w:val="Compact"/>
              <w:jc w:val="left"/>
            </w:pPr>
            <w:r>
              <w:rPr>
                <w:b/>
                <w:bCs/>
              </w:rPr>
              <w:t xml:space="preserve">Planned Maintenance Execution Gap:</w:t>
            </w:r>
            <w:r>
              <w:t xml:space="preserve"> </w:t>
            </w:r>
            <w:r>
              <w:t xml:space="preserve">PM compliance rates typically 60–85% (world-class target &gt;90%). Schedule compliance often &lt;60% in plants with unmanaged backlogs.</w:t>
            </w:r>
          </w:p>
        </w:tc>
        <w:tc>
          <w:tcPr/>
          <w:p>
            <w:pPr>
              <w:pStyle w:val="Compact"/>
              <w:jc w:val="left"/>
            </w:pPr>
            <w:r>
              <w:t xml:space="preserve">Paper schedules, CMMS calendar views, planner spreadsheets, verbal coordination</w:t>
            </w:r>
          </w:p>
        </w:tc>
        <w:tc>
          <w:tcPr/>
          <w:p>
            <w:pPr>
              <w:pStyle w:val="Compact"/>
              <w:jc w:val="left"/>
            </w:pPr>
            <w:r>
              <w:t xml:space="preserve">Missed PMs lead to 20–30% more unplanned failures; each missed PM increases emergency work probability</w:t>
            </w:r>
          </w:p>
        </w:tc>
        <w:tc>
          <w:tcPr/>
          <w:p>
            <w:pPr>
              <w:pStyle w:val="Compact"/>
              <w:jc w:val="left"/>
            </w:pPr>
            <w:r>
              <w:t xml:space="preserve">PreventiveHQ CMMS Guide 2025; F7i.ai maintenance guide 2025</w:t>
            </w:r>
          </w:p>
        </w:tc>
        <w:tc>
          <w:tcPr/>
          <w:p>
            <w:pPr>
              <w:pStyle w:val="Compact"/>
              <w:jc w:val="left"/>
            </w:pPr>
            <w:r>
              <w:rPr>
                <w:b/>
                <w:bCs/>
              </w:rPr>
              <w:t xml:space="preserve">AgentOrchestratorInterface</w:t>
            </w:r>
            <w:r>
              <w:t xml:space="preserve"> </w:t>
            </w:r>
            <w:r>
              <w:t xml:space="preserve">+</w:t>
            </w:r>
            <w:r>
              <w:t xml:space="preserve"> </w:t>
            </w:r>
            <w:r>
              <w:rPr>
                <w:b/>
                <w:bCs/>
              </w:rPr>
              <w:t xml:space="preserve">FeedbackLoopInterface</w:t>
            </w:r>
            <w:r>
              <w:t xml:space="preserve">: Predictive scheduling based on actual equipment condition, dynamic priority adjustment, automated compliance tracking</w:t>
            </w:r>
          </w:p>
        </w:tc>
        <w:tc>
          <w:tcPr/>
          <w:p>
            <w:pPr>
              <w:pStyle w:val="Compact"/>
              <w:jc w:val="left"/>
            </w:pPr>
            <w:r>
              <w:t xml:space="preserve">4</w:t>
            </w:r>
          </w:p>
        </w:tc>
      </w:tr>
      <w:tr>
        <w:tc>
          <w:tcPr/>
          <w:p>
            <w:pPr>
              <w:pStyle w:val="Compact"/>
              <w:jc w:val="left"/>
            </w:pPr>
            <w:r>
              <w:t xml:space="preserve">P010</w:t>
            </w:r>
          </w:p>
        </w:tc>
        <w:tc>
          <w:tcPr/>
          <w:p>
            <w:pPr>
              <w:pStyle w:val="Compact"/>
              <w:jc w:val="left"/>
            </w:pPr>
            <w:r>
              <w:t xml:space="preserve">Maintenance Engineer</w:t>
            </w:r>
          </w:p>
        </w:tc>
        <w:tc>
          <w:tcPr/>
          <w:p>
            <w:pPr>
              <w:pStyle w:val="Compact"/>
              <w:jc w:val="left"/>
            </w:pPr>
            <w:r>
              <w:rPr>
                <w:b/>
                <w:bCs/>
              </w:rPr>
              <w:t xml:space="preserve">SOP/Manual Search Time Waste:</w:t>
            </w:r>
            <w:r>
              <w:t xml:space="preserve"> </w:t>
            </w:r>
            <w:r>
              <w:t xml:space="preserve">Maintenance engineers spend 15–25% of wrench time searching for correct procedures, part specifications, or equipment manuals across disconnected systems.</w:t>
            </w:r>
          </w:p>
        </w:tc>
        <w:tc>
          <w:tcPr/>
          <w:p>
            <w:pPr>
              <w:pStyle w:val="Compact"/>
              <w:jc w:val="left"/>
            </w:pPr>
            <w:r>
              <w:t xml:space="preserve">File shares, paper binders, CMMS document modules, calling retired technicians</w:t>
            </w:r>
          </w:p>
        </w:tc>
        <w:tc>
          <w:tcPr/>
          <w:p>
            <w:pPr>
              <w:pStyle w:val="Compact"/>
              <w:jc w:val="left"/>
            </w:pPr>
            <w:r>
              <w:t xml:space="preserve">15–25% productivity loss; extended MTTR by 30–120 minutes per event; safety risks from incorrect procedures</w:t>
            </w:r>
          </w:p>
        </w:tc>
        <w:tc>
          <w:tcPr/>
          <w:p>
            <w:pPr>
              <w:pStyle w:val="Compact"/>
              <w:jc w:val="left"/>
            </w:pPr>
            <w:r>
              <w:t xml:space="preserve">[INFERRED] Based on maintenance time-motion studies; Gartner technician productivity research</w:t>
            </w:r>
          </w:p>
        </w:tc>
        <w:tc>
          <w:tcPr/>
          <w:p>
            <w:pPr>
              <w:pStyle w:val="Compact"/>
              <w:jc w:val="left"/>
            </w:pPr>
            <w:r>
              <w:rPr>
                <w:b/>
                <w:bCs/>
              </w:rPr>
              <w:t xml:space="preserve">KnowledgeRetrieverInterface</w:t>
            </w:r>
            <w:r>
              <w:t xml:space="preserve">: Instant retrieval of context-relevant SOPs, part specs, and historical repair records via natural language query</w:t>
            </w:r>
          </w:p>
        </w:tc>
        <w:tc>
          <w:tcPr/>
          <w:p>
            <w:pPr>
              <w:pStyle w:val="Compact"/>
              <w:jc w:val="left"/>
            </w:pPr>
            <w:r>
              <w:t xml:space="preserve">4</w:t>
            </w:r>
          </w:p>
        </w:tc>
      </w:tr>
      <w:tr>
        <w:tc>
          <w:tcPr/>
          <w:p>
            <w:pPr>
              <w:pStyle w:val="Compact"/>
              <w:jc w:val="left"/>
            </w:pPr>
            <w:r>
              <w:t xml:space="preserve">P011</w:t>
            </w:r>
          </w:p>
        </w:tc>
        <w:tc>
          <w:tcPr/>
          <w:p>
            <w:pPr>
              <w:pStyle w:val="Compact"/>
              <w:jc w:val="left"/>
            </w:pPr>
            <w:r>
              <w:t xml:space="preserve">Maintenance Engineer</w:t>
            </w:r>
          </w:p>
        </w:tc>
        <w:tc>
          <w:tcPr/>
          <w:p>
            <w:pPr>
              <w:pStyle w:val="Compact"/>
              <w:jc w:val="left"/>
            </w:pPr>
            <w:r>
              <w:rPr>
                <w:b/>
                <w:bCs/>
              </w:rPr>
              <w:t xml:space="preserve">Symptom-Fixing vs. Root Cause:</w:t>
            </w:r>
            <w:r>
              <w:t xml:space="preserve"> </w:t>
            </w:r>
            <w:r>
              <w:t xml:space="preserve">60–70% of maintenance actions treat symptoms (replace failed part) without addressing root cause (why did it fail?). Same assets fail repeatedly.</w:t>
            </w:r>
          </w:p>
        </w:tc>
        <w:tc>
          <w:tcPr/>
          <w:p>
            <w:pPr>
              <w:pStyle w:val="Compact"/>
              <w:jc w:val="left"/>
            </w:pPr>
            <w:r>
              <w:t xml:space="preserve">Replace-and-run mentality; limited RCA time; no systematic failure analysis</w:t>
            </w:r>
          </w:p>
        </w:tc>
        <w:tc>
          <w:tcPr/>
          <w:p>
            <w:pPr>
              <w:pStyle w:val="Compact"/>
              <w:jc w:val="left"/>
            </w:pPr>
            <w:r>
              <w:t xml:space="preserve">15–30% total maintenance cost inflation; shortened asset life; recurring downtime events</w:t>
            </w:r>
          </w:p>
        </w:tc>
        <w:tc>
          <w:tcPr/>
          <w:p>
            <w:pPr>
              <w:pStyle w:val="Compact"/>
              <w:jc w:val="left"/>
            </w:pPr>
            <w:r>
              <w:t xml:space="preserve">[INFERRED] Based on SMRP maintenance maturity models; BCG maintenance cost studies</w:t>
            </w:r>
          </w:p>
        </w:tc>
        <w:tc>
          <w:tcPr/>
          <w:p>
            <w:pPr>
              <w:pStyle w:val="Compact"/>
              <w:jc w:val="left"/>
            </w:pPr>
            <w:r>
              <w:rPr>
                <w:b/>
                <w:bCs/>
              </w:rPr>
              <w:t xml:space="preserve">AgentOrchestratorInterface</w:t>
            </w:r>
            <w:r>
              <w:t xml:space="preserve"> </w:t>
            </w:r>
            <w:r>
              <w:t xml:space="preserve">+</w:t>
            </w:r>
            <w:r>
              <w:t xml:space="preserve"> </w:t>
            </w:r>
            <w:r>
              <w:rPr>
                <w:b/>
                <w:bCs/>
              </w:rPr>
              <w:t xml:space="preserve">FeedbackLoopInterface</w:t>
            </w:r>
            <w:r>
              <w:t xml:space="preserve">: Automated RCA suggestions from failure pattern matching, prescriptive maintenance recommendations, outcome tracking for continuous learning</w:t>
            </w:r>
          </w:p>
        </w:tc>
        <w:tc>
          <w:tcPr/>
          <w:p>
            <w:pPr>
              <w:pStyle w:val="Compact"/>
              <w:jc w:val="left"/>
            </w:pPr>
            <w:r>
              <w:t xml:space="preserve">5</w:t>
            </w:r>
          </w:p>
        </w:tc>
      </w:tr>
      <w:tr>
        <w:tc>
          <w:tcPr/>
          <w:p>
            <w:pPr>
              <w:pStyle w:val="Compact"/>
              <w:jc w:val="left"/>
            </w:pPr>
            <w:r>
              <w:t xml:space="preserve">P012</w:t>
            </w:r>
          </w:p>
        </w:tc>
        <w:tc>
          <w:tcPr/>
          <w:p>
            <w:pPr>
              <w:pStyle w:val="Compact"/>
              <w:jc w:val="left"/>
            </w:pPr>
            <w:r>
              <w:t xml:space="preserve">Energy Manager</w:t>
            </w:r>
          </w:p>
        </w:tc>
        <w:tc>
          <w:tcPr/>
          <w:p>
            <w:pPr>
              <w:pStyle w:val="Compact"/>
              <w:jc w:val="left"/>
            </w:pPr>
            <w:r>
              <w:rPr>
                <w:b/>
                <w:bCs/>
              </w:rPr>
              <w:t xml:space="preserve">Energy Baseline Establishment Gap:</w:t>
            </w:r>
            <w:r>
              <w:t xml:space="preserve"> </w:t>
            </w:r>
            <w:r>
              <w:t xml:space="preserve">Most plants lack normalized energy baselines (kWh/ton, kWh/batch). Energy data sits in utility bills, isolated meters, or manual clipboard readings — not correlated with production context.</w:t>
            </w:r>
          </w:p>
        </w:tc>
        <w:tc>
          <w:tcPr/>
          <w:p>
            <w:pPr>
              <w:pStyle w:val="Compact"/>
              <w:jc w:val="left"/>
            </w:pPr>
            <w:r>
              <w:t xml:space="preserve">Spreadsheet tracking, utility bill analysis, periodic energy audits, ISO 50001 manual compliance</w:t>
            </w:r>
          </w:p>
        </w:tc>
        <w:tc>
          <w:tcPr/>
          <w:p>
            <w:pPr>
              <w:pStyle w:val="Compact"/>
              <w:jc w:val="left"/>
            </w:pPr>
            <w:r>
              <w:t xml:space="preserve">15–30% energy savings potential unrealized; average payback &lt;2 years for proper EnMS; $60K/yr lost savings per typical facility</w:t>
            </w:r>
          </w:p>
        </w:tc>
        <w:tc>
          <w:tcPr/>
          <w:p>
            <w:pPr>
              <w:pStyle w:val="Compact"/>
              <w:jc w:val="left"/>
            </w:pPr>
            <w:r>
              <w:t xml:space="preserve">DOE IAC program data; ACEEE industrial assessment data; ISO 50001 implementation studies</w:t>
            </w:r>
          </w:p>
        </w:tc>
        <w:tc>
          <w:tcPr/>
          <w:p>
            <w:pPr>
              <w:pStyle w:val="Compact"/>
              <w:jc w:val="left"/>
            </w:pPr>
            <w:r>
              <w:rPr>
                <w:b/>
                <w:bCs/>
              </w:rPr>
              <w:t xml:space="preserve">FeatureStoreInterface</w:t>
            </w:r>
            <w:r>
              <w:t xml:space="preserve"> </w:t>
            </w:r>
            <w:r>
              <w:t xml:space="preserve">+</w:t>
            </w:r>
            <w:r>
              <w:t xml:space="preserve"> </w:t>
            </w:r>
            <w:r>
              <w:rPr>
                <w:b/>
                <w:bCs/>
              </w:rPr>
              <w:t xml:space="preserve">AnomalyModelInterface</w:t>
            </w:r>
            <w:r>
              <w:t xml:space="preserve">: Automated normalized baseline calculation, continuous EnPI tracking, deviation alerting with process context</w:t>
            </w:r>
          </w:p>
        </w:tc>
        <w:tc>
          <w:tcPr/>
          <w:p>
            <w:pPr>
              <w:pStyle w:val="Compact"/>
              <w:jc w:val="left"/>
            </w:pPr>
            <w:r>
              <w:t xml:space="preserve">4</w:t>
            </w:r>
          </w:p>
        </w:tc>
      </w:tr>
      <w:tr>
        <w:tc>
          <w:tcPr/>
          <w:p>
            <w:pPr>
              <w:pStyle w:val="Compact"/>
              <w:jc w:val="left"/>
            </w:pPr>
            <w:r>
              <w:t xml:space="preserve">P013</w:t>
            </w:r>
          </w:p>
        </w:tc>
        <w:tc>
          <w:tcPr/>
          <w:p>
            <w:pPr>
              <w:pStyle w:val="Compact"/>
              <w:jc w:val="left"/>
            </w:pPr>
            <w:r>
              <w:t xml:space="preserve">Energy Manager</w:t>
            </w:r>
          </w:p>
        </w:tc>
        <w:tc>
          <w:tcPr/>
          <w:p>
            <w:pPr>
              <w:pStyle w:val="Compact"/>
              <w:jc w:val="left"/>
            </w:pPr>
            <w:r>
              <w:rPr>
                <w:b/>
                <w:bCs/>
              </w:rPr>
              <w:t xml:space="preserve">Undetected Energy Anomalies:</w:t>
            </w:r>
            <w:r>
              <w:t xml:space="preserve"> </w:t>
            </w:r>
            <w:r>
              <w:t xml:space="preserve">20–30% of process plant energy is detectable waste (leaks, idle equipment, suboptimal setpoints, compressor inefficiency). Most anomalies go undetected for months.</w:t>
            </w:r>
          </w:p>
        </w:tc>
        <w:tc>
          <w:tcPr/>
          <w:p>
            <w:pPr>
              <w:pStyle w:val="Compact"/>
              <w:jc w:val="left"/>
            </w:pPr>
            <w:r>
              <w:t xml:space="preserve">Monthly utility bill review, periodic walk-around audits, basic sub-metering</w:t>
            </w:r>
          </w:p>
        </w:tc>
        <w:tc>
          <w:tcPr/>
          <w:p>
            <w:pPr>
              <w:pStyle w:val="Compact"/>
              <w:jc w:val="left"/>
            </w:pPr>
            <w:r>
              <w:t xml:space="preserve">For a medium petrochemical plant ($500M revenue): 1% energy efficiency = $2.5–5M/yr savings; 20% detectable waste = $50–100M/yr opportunity</w:t>
            </w:r>
          </w:p>
        </w:tc>
        <w:tc>
          <w:tcPr/>
          <w:p>
            <w:pPr>
              <w:pStyle w:val="Compact"/>
              <w:jc w:val="left"/>
            </w:pPr>
            <w:r>
              <w:t xml:space="preserve">DOE Industrial Best Practices; IAC assessment database (13,000+ assessments); [INFERRED] for 20–30% detectable waste</w:t>
            </w:r>
          </w:p>
        </w:tc>
        <w:tc>
          <w:tcPr/>
          <w:p>
            <w:pPr>
              <w:pStyle w:val="Compact"/>
              <w:jc w:val="left"/>
            </w:pPr>
            <w:r>
              <w:rPr>
                <w:b/>
                <w:bCs/>
              </w:rPr>
              <w:t xml:space="preserve">AnomalyModelInterface</w:t>
            </w:r>
            <w:r>
              <w:t xml:space="preserve"> </w:t>
            </w:r>
            <w:r>
              <w:t xml:space="preserve">+</w:t>
            </w:r>
            <w:r>
              <w:t xml:space="preserve"> </w:t>
            </w:r>
            <w:r>
              <w:rPr>
                <w:b/>
                <w:bCs/>
              </w:rPr>
              <w:t xml:space="preserve">AgentOrchestratorInterface</w:t>
            </w:r>
            <w:r>
              <w:t xml:space="preserve">: Real-time energy anomaly detection, automated root cause identification, prescriptive efficiency recommendations</w:t>
            </w:r>
          </w:p>
        </w:tc>
        <w:tc>
          <w:tcPr/>
          <w:p>
            <w:pPr>
              <w:pStyle w:val="Compact"/>
              <w:jc w:val="left"/>
            </w:pPr>
            <w:r>
              <w:t xml:space="preserve">5</w:t>
            </w:r>
          </w:p>
        </w:tc>
      </w:tr>
      <w:tr>
        <w:tc>
          <w:tcPr/>
          <w:p>
            <w:pPr>
              <w:pStyle w:val="Compact"/>
              <w:jc w:val="left"/>
            </w:pPr>
            <w:r>
              <w:t xml:space="preserve">P014</w:t>
            </w:r>
          </w:p>
        </w:tc>
        <w:tc>
          <w:tcPr/>
          <w:p>
            <w:pPr>
              <w:pStyle w:val="Compact"/>
              <w:jc w:val="left"/>
            </w:pPr>
            <w:r>
              <w:t xml:space="preserve">Energy Manager</w:t>
            </w:r>
          </w:p>
        </w:tc>
        <w:tc>
          <w:tcPr/>
          <w:p>
            <w:pPr>
              <w:pStyle w:val="Compact"/>
              <w:jc w:val="left"/>
            </w:pPr>
            <w:r>
              <w:rPr>
                <w:b/>
                <w:bCs/>
              </w:rPr>
              <w:t xml:space="preserve">Regulatory Reporting Burden:</w:t>
            </w:r>
            <w:r>
              <w:t xml:space="preserve"> </w:t>
            </w:r>
            <w:r>
              <w:t xml:space="preserve">EU ETS, SEC climate disclosure, ISO 50001, EPA GHGRP require increasingly granular energy and emissions reporting. Most plants compile reports manually from fragmented data.</w:t>
            </w:r>
          </w:p>
        </w:tc>
        <w:tc>
          <w:tcPr/>
          <w:p>
            <w:pPr>
              <w:pStyle w:val="Compact"/>
              <w:jc w:val="left"/>
            </w:pPr>
            <w:r>
              <w:t xml:space="preserve">Manual data collection, spreadsheet compilation, consultant engagements, point solutions</w:t>
            </w:r>
          </w:p>
        </w:tc>
        <w:tc>
          <w:tcPr/>
          <w:p>
            <w:pPr>
              <w:pStyle w:val="Compact"/>
              <w:jc w:val="left"/>
            </w:pPr>
            <w:r>
              <w:t xml:space="preserve">Compliance costs: $200K–$1M/yr for large multi-site manufacturers; risk of penalties and reputational damage</w:t>
            </w:r>
          </w:p>
        </w:tc>
        <w:tc>
          <w:tcPr/>
          <w:p>
            <w:pPr>
              <w:pStyle w:val="Compact"/>
              <w:jc w:val="left"/>
            </w:pPr>
            <w:r>
              <w:t xml:space="preserve">[INFERRED] Based on regulatory complexity trends; ISO 50001 audit requirements</w:t>
            </w:r>
          </w:p>
        </w:tc>
        <w:tc>
          <w:tcPr/>
          <w:p>
            <w:pPr>
              <w:pStyle w:val="Compact"/>
              <w:jc w:val="left"/>
            </w:pPr>
            <w:r>
              <w:rPr>
                <w:b/>
                <w:bCs/>
              </w:rPr>
              <w:t xml:space="preserve">GovernanceInterface</w:t>
            </w:r>
            <w:r>
              <w:t xml:space="preserve"> </w:t>
            </w:r>
            <w:r>
              <w:t xml:space="preserve">+</w:t>
            </w:r>
            <w:r>
              <w:t xml:space="preserve"> </w:t>
            </w:r>
            <w:r>
              <w:rPr>
                <w:b/>
                <w:bCs/>
              </w:rPr>
              <w:t xml:space="preserve">IngestorInterface</w:t>
            </w:r>
            <w:r>
              <w:t xml:space="preserve">: Automated data lineage for energy reporting, immutable audit trails, automated compliance report generation</w:t>
            </w:r>
          </w:p>
        </w:tc>
        <w:tc>
          <w:tcPr/>
          <w:p>
            <w:pPr>
              <w:pStyle w:val="Compact"/>
              <w:jc w:val="left"/>
            </w:pPr>
            <w:r>
              <w:t xml:space="preserve">4</w:t>
            </w:r>
          </w:p>
        </w:tc>
      </w:tr>
      <w:tr>
        <w:tc>
          <w:tcPr/>
          <w:p>
            <w:pPr>
              <w:pStyle w:val="Compact"/>
              <w:jc w:val="left"/>
            </w:pPr>
            <w:r>
              <w:t xml:space="preserve">P015</w:t>
            </w:r>
          </w:p>
        </w:tc>
        <w:tc>
          <w:tcPr/>
          <w:p>
            <w:pPr>
              <w:pStyle w:val="Compact"/>
              <w:jc w:val="left"/>
            </w:pPr>
            <w:r>
              <w:t xml:space="preserve">Quality Engineer</w:t>
            </w:r>
          </w:p>
        </w:tc>
        <w:tc>
          <w:tcPr/>
          <w:p>
            <w:pPr>
              <w:pStyle w:val="Compact"/>
              <w:jc w:val="left"/>
            </w:pPr>
            <w:r>
              <w:rPr>
                <w:b/>
                <w:bCs/>
              </w:rPr>
              <w:t xml:space="preserve">Late Defect Detection:</w:t>
            </w:r>
            <w:r>
              <w:t xml:space="preserve"> </w:t>
            </w:r>
            <w:r>
              <w:t xml:space="preserve">Most defects are caught at end-of-line or by customer, not in-process. In-line inspection adoption &lt;30% in traditional manufacturing. End-of-line detection cost = 10x in-process detection cost.</w:t>
            </w:r>
          </w:p>
        </w:tc>
        <w:tc>
          <w:tcPr/>
          <w:p>
            <w:pPr>
              <w:pStyle w:val="Compact"/>
              <w:jc w:val="left"/>
            </w:pPr>
            <w:r>
              <w:t xml:space="preserve">End-of-line testing, manual inspection, SPC charts on paper, customer complaint-driven action</w:t>
            </w:r>
          </w:p>
        </w:tc>
        <w:tc>
          <w:tcPr/>
          <w:p>
            <w:pPr>
              <w:pStyle w:val="Compact"/>
              <w:jc w:val="left"/>
            </w:pPr>
            <w:r>
              <w:t xml:space="preserve">COPQ (Cost of Poor Quality) = 5–35% of revenue in manufacturing; 15–20% typical for mature operations; up to 40% for low-maturity plants</w:t>
            </w:r>
          </w:p>
        </w:tc>
        <w:tc>
          <w:tcPr/>
          <w:p>
            <w:pPr>
              <w:pStyle w:val="Compact"/>
              <w:jc w:val="left"/>
            </w:pPr>
            <w:r>
              <w:t xml:space="preserve">Jama Software COPQ Guide 2026; Autodesk COPQ analysis 2026; ASQ quality cost benchmarks; SYMESTIC COPQ framework</w:t>
            </w:r>
          </w:p>
        </w:tc>
        <w:tc>
          <w:tcPr/>
          <w:p>
            <w:pPr>
              <w:pStyle w:val="Compact"/>
              <w:jc w:val="left"/>
            </w:pPr>
            <w:r>
              <w:rPr>
                <w:b/>
                <w:bCs/>
              </w:rPr>
              <w:t xml:space="preserve">AnomalyModelInterface</w:t>
            </w:r>
            <w:r>
              <w:t xml:space="preserve"> </w:t>
            </w:r>
            <w:r>
              <w:t xml:space="preserve">+</w:t>
            </w:r>
            <w:r>
              <w:t xml:space="preserve"> </w:t>
            </w:r>
            <w:r>
              <w:rPr>
                <w:b/>
                <w:bCs/>
              </w:rPr>
              <w:t xml:space="preserve">FeatureStoreInterface</w:t>
            </w:r>
            <w:r>
              <w:t xml:space="preserve">: Real-time in-process quality prediction, predictive defect detection before value-add operations</w:t>
            </w:r>
          </w:p>
        </w:tc>
        <w:tc>
          <w:tcPr/>
          <w:p>
            <w:pPr>
              <w:pStyle w:val="Compact"/>
              <w:jc w:val="left"/>
            </w:pPr>
            <w:r>
              <w:t xml:space="preserve">5</w:t>
            </w:r>
          </w:p>
        </w:tc>
      </w:tr>
      <w:tr>
        <w:tc>
          <w:tcPr/>
          <w:p>
            <w:pPr>
              <w:pStyle w:val="Compact"/>
              <w:jc w:val="left"/>
            </w:pPr>
            <w:r>
              <w:t xml:space="preserve">P016</w:t>
            </w:r>
          </w:p>
        </w:tc>
        <w:tc>
          <w:tcPr/>
          <w:p>
            <w:pPr>
              <w:pStyle w:val="Compact"/>
              <w:jc w:val="left"/>
            </w:pPr>
            <w:r>
              <w:t xml:space="preserve">Quality Engineer</w:t>
            </w:r>
          </w:p>
        </w:tc>
        <w:tc>
          <w:tcPr/>
          <w:p>
            <w:pPr>
              <w:pStyle w:val="Compact"/>
              <w:jc w:val="left"/>
            </w:pPr>
            <w:r>
              <w:rPr>
                <w:b/>
                <w:bCs/>
              </w:rPr>
              <w:t xml:space="preserve">COPQ Erosion:</w:t>
            </w:r>
            <w:r>
              <w:t xml:space="preserve"> </w:t>
            </w:r>
            <w:r>
              <w:t xml:space="preserve">Hidden quality costs (rework, warranty, lost customers, engineering firefighting) typically 4–5x visible scrap costs. Most plants under-measure COPQ by 2–4x.</w:t>
            </w:r>
          </w:p>
        </w:tc>
        <w:tc>
          <w:tcPr/>
          <w:p>
            <w:pPr>
              <w:pStyle w:val="Compact"/>
              <w:jc w:val="left"/>
            </w:pPr>
            <w:r>
              <w:t xml:space="preserve">Scrap tracking, warranty cost accounting, basic first-pass yield metrics</w:t>
            </w:r>
          </w:p>
        </w:tc>
        <w:tc>
          <w:tcPr/>
          <w:p>
            <w:pPr>
              <w:pStyle w:val="Compact"/>
              <w:jc w:val="left"/>
            </w:pPr>
            <w:r>
              <w:t xml:space="preserve">15–40% of revenue for mid-maturity plants; 3–5% for world-class; average $50M/yr hidden cost for $500M manufacturer</w:t>
            </w:r>
          </w:p>
        </w:tc>
        <w:tc>
          <w:tcPr/>
          <w:p>
            <w:pPr>
              <w:pStyle w:val="Compact"/>
              <w:jc w:val="left"/>
            </w:pPr>
            <w:r>
              <w:t xml:space="preserve">Jama Software 2026; Autodesk 2026; SYMESTIC COPQ analysis; ASQ benchmarks</w:t>
            </w:r>
          </w:p>
        </w:tc>
        <w:tc>
          <w:tcPr/>
          <w:p>
            <w:pPr>
              <w:pStyle w:val="Compact"/>
              <w:jc w:val="left"/>
            </w:pPr>
            <w:r>
              <w:rPr>
                <w:b/>
                <w:bCs/>
              </w:rPr>
              <w:t xml:space="preserve">FeatureStoreInterface</w:t>
            </w:r>
            <w:r>
              <w:t xml:space="preserve"> </w:t>
            </w:r>
            <w:r>
              <w:t xml:space="preserve">+</w:t>
            </w:r>
            <w:r>
              <w:t xml:space="preserve"> </w:t>
            </w:r>
            <w:r>
              <w:rPr>
                <w:b/>
                <w:bCs/>
              </w:rPr>
              <w:t xml:space="preserve">FeedbackLoopInterface</w:t>
            </w:r>
            <w:r>
              <w:t xml:space="preserve">: Real-time COPQ tracking from machine data, automated cost attribution to quality events, predictive prevention</w:t>
            </w:r>
          </w:p>
        </w:tc>
        <w:tc>
          <w:tcPr/>
          <w:p>
            <w:pPr>
              <w:pStyle w:val="Compact"/>
              <w:jc w:val="left"/>
            </w:pPr>
            <w:r>
              <w:t xml:space="preserve">5</w:t>
            </w:r>
          </w:p>
        </w:tc>
      </w:tr>
      <w:tr>
        <w:tc>
          <w:tcPr/>
          <w:p>
            <w:pPr>
              <w:pStyle w:val="Compact"/>
              <w:jc w:val="left"/>
            </w:pPr>
            <w:r>
              <w:t xml:space="preserve">P017</w:t>
            </w:r>
          </w:p>
        </w:tc>
        <w:tc>
          <w:tcPr/>
          <w:p>
            <w:pPr>
              <w:pStyle w:val="Compact"/>
              <w:jc w:val="left"/>
            </w:pPr>
            <w:r>
              <w:t xml:space="preserve">Quality Engineer</w:t>
            </w:r>
          </w:p>
        </w:tc>
        <w:tc>
          <w:tcPr/>
          <w:p>
            <w:pPr>
              <w:pStyle w:val="Compact"/>
              <w:jc w:val="left"/>
            </w:pPr>
            <w:r>
              <w:rPr>
                <w:b/>
                <w:bCs/>
              </w:rPr>
              <w:t xml:space="preserve">Quality RCA Time:</w:t>
            </w:r>
            <w:r>
              <w:t xml:space="preserve"> </w:t>
            </w:r>
            <w:r>
              <w:t xml:space="preserve">Average quality root cause analysis takes 2–6 weeks for significant events. 8D reports, fishbone diagrams, and lab analysis are manual and slow.</w:t>
            </w:r>
          </w:p>
        </w:tc>
        <w:tc>
          <w:tcPr/>
          <w:p>
            <w:pPr>
              <w:pStyle w:val="Compact"/>
              <w:jc w:val="left"/>
            </w:pPr>
            <w:r>
              <w:t xml:space="preserve">8D methodology, manual data collection, cross-functional meetings, supplier quality reviews</w:t>
            </w:r>
          </w:p>
        </w:tc>
        <w:tc>
          <w:tcPr/>
          <w:p>
            <w:pPr>
              <w:pStyle w:val="Compact"/>
              <w:jc w:val="left"/>
            </w:pPr>
            <w:r>
              <w:t xml:space="preserve">Delayed corrective action = continued defect production; $100K–$500K per significant quality event in investigation + containment costs</w:t>
            </w:r>
          </w:p>
        </w:tc>
        <w:tc>
          <w:tcPr/>
          <w:p>
            <w:pPr>
              <w:pStyle w:val="Compact"/>
              <w:jc w:val="left"/>
            </w:pPr>
            <w:r>
              <w:t xml:space="preserve">[INFERRED] Based on industry quality management practice; Bosch case study data</w:t>
            </w:r>
          </w:p>
        </w:tc>
        <w:tc>
          <w:tcPr/>
          <w:p>
            <w:pPr>
              <w:pStyle w:val="Compact"/>
              <w:jc w:val="left"/>
            </w:pPr>
            <w:r>
              <w:rPr>
                <w:b/>
                <w:bCs/>
              </w:rPr>
              <w:t xml:space="preserve">AgentOrchestratorInterface</w:t>
            </w:r>
            <w:r>
              <w:t xml:space="preserve"> </w:t>
            </w:r>
            <w:r>
              <w:t xml:space="preserve">+</w:t>
            </w:r>
            <w:r>
              <w:t xml:space="preserve"> </w:t>
            </w:r>
            <w:r>
              <w:rPr>
                <w:b/>
                <w:bCs/>
              </w:rPr>
              <w:t xml:space="preserve">KnowledgeRetrieverInterface</w:t>
            </w:r>
            <w:r>
              <w:t xml:space="preserve">: Automated 8D initiation, similarity search against historical quality events, automated data collection for RCA</w:t>
            </w:r>
          </w:p>
        </w:tc>
        <w:tc>
          <w:tcPr/>
          <w:p>
            <w:pPr>
              <w:pStyle w:val="Compact"/>
              <w:jc w:val="left"/>
            </w:pPr>
            <w:r>
              <w:t xml:space="preserve">4</w:t>
            </w:r>
          </w:p>
        </w:tc>
      </w:tr>
      <w:tr>
        <w:tc>
          <w:tcPr/>
          <w:p>
            <w:pPr>
              <w:pStyle w:val="Compact"/>
              <w:jc w:val="left"/>
            </w:pPr>
            <w:r>
              <w:t xml:space="preserve">P018</w:t>
            </w:r>
          </w:p>
        </w:tc>
        <w:tc>
          <w:tcPr/>
          <w:p>
            <w:pPr>
              <w:pStyle w:val="Compact"/>
              <w:jc w:val="left"/>
            </w:pPr>
            <w:r>
              <w:t xml:space="preserve">Quality Engineer</w:t>
            </w:r>
          </w:p>
        </w:tc>
        <w:tc>
          <w:tcPr/>
          <w:p>
            <w:pPr>
              <w:pStyle w:val="Compact"/>
              <w:jc w:val="left"/>
            </w:pPr>
            <w:r>
              <w:rPr>
                <w:b/>
                <w:bCs/>
              </w:rPr>
              <w:t xml:space="preserve">Golden Batch Knowledge Loss:</w:t>
            </w:r>
            <w:r>
              <w:t xml:space="preserve"> </w:t>
            </w:r>
            <w:r>
              <w:t xml:space="preserve">“</w:t>
            </w:r>
            <w:r>
              <w:t xml:space="preserve">Golden batch</w:t>
            </w:r>
            <w:r>
              <w:t xml:space="preserve">”</w:t>
            </w:r>
            <w:r>
              <w:t xml:space="preserve"> </w:t>
            </w:r>
            <w:r>
              <w:t xml:space="preserve">recipes and optimal process parameters exist only in senior operators’ heads or scattered notebooks. No systematic capture or transfer mechanism.</w:t>
            </w:r>
          </w:p>
        </w:tc>
        <w:tc>
          <w:tcPr/>
          <w:p>
            <w:pPr>
              <w:pStyle w:val="Compact"/>
              <w:jc w:val="left"/>
            </w:pPr>
            <w:r>
              <w:t xml:space="preserve">Operator notebooks, shift handover verbal briefings, basic recipe management in DCS</w:t>
            </w:r>
          </w:p>
        </w:tc>
        <w:tc>
          <w:tcPr/>
          <w:p>
            <w:pPr>
              <w:pStyle w:val="Compact"/>
              <w:jc w:val="left"/>
            </w:pPr>
            <w:r>
              <w:t xml:space="preserve">Inconsistent product quality; 10–20% yield variation between shifts; $5–15M/yr in lost yield for batch manufacturers</w:t>
            </w:r>
          </w:p>
        </w:tc>
        <w:tc>
          <w:tcPr/>
          <w:p>
            <w:pPr>
              <w:pStyle w:val="Compact"/>
              <w:jc w:val="left"/>
            </w:pPr>
            <w:r>
              <w:t xml:space="preserve">[INFERRED] Based on batch manufacturing studies; knowledge management research</w:t>
            </w:r>
          </w:p>
        </w:tc>
        <w:tc>
          <w:tcPr/>
          <w:p>
            <w:pPr>
              <w:pStyle w:val="Compact"/>
              <w:jc w:val="left"/>
            </w:pPr>
            <w:r>
              <w:rPr>
                <w:b/>
                <w:bCs/>
              </w:rPr>
              <w:t xml:space="preserve">KnowledgeRetrieverInterface</w:t>
            </w:r>
            <w:r>
              <w:t xml:space="preserve"> </w:t>
            </w:r>
            <w:r>
              <w:t xml:space="preserve">+</w:t>
            </w:r>
            <w:r>
              <w:t xml:space="preserve"> </w:t>
            </w:r>
            <w:r>
              <w:rPr>
                <w:b/>
                <w:bCs/>
              </w:rPr>
              <w:t xml:space="preserve">FeedbackLoopInterface</w:t>
            </w:r>
            <w:r>
              <w:t xml:space="preserve">: Automated golden batch identification from historical data, recipe optimization recommendations, knowledge capture from operator decisions</w:t>
            </w:r>
          </w:p>
        </w:tc>
        <w:tc>
          <w:tcPr/>
          <w:p>
            <w:pPr>
              <w:pStyle w:val="Compact"/>
              <w:jc w:val="left"/>
            </w:pPr>
            <w:r>
              <w:t xml:space="preserve">4</w:t>
            </w:r>
          </w:p>
        </w:tc>
      </w:tr>
      <w:tr>
        <w:tc>
          <w:tcPr/>
          <w:p>
            <w:pPr>
              <w:pStyle w:val="Compact"/>
              <w:jc w:val="left"/>
            </w:pPr>
            <w:r>
              <w:t xml:space="preserve">P019</w:t>
            </w:r>
          </w:p>
        </w:tc>
        <w:tc>
          <w:tcPr/>
          <w:p>
            <w:pPr>
              <w:pStyle w:val="Compact"/>
              <w:jc w:val="left"/>
            </w:pPr>
            <w:r>
              <w:t xml:space="preserve">Operations Manager</w:t>
            </w:r>
          </w:p>
        </w:tc>
        <w:tc>
          <w:tcPr/>
          <w:p>
            <w:pPr>
              <w:pStyle w:val="Compact"/>
              <w:jc w:val="left"/>
            </w:pPr>
            <w:r>
              <w:rPr>
                <w:b/>
                <w:bCs/>
              </w:rPr>
              <w:t xml:space="preserve">Unplanned Downtime Board-Level Risk:</w:t>
            </w:r>
            <w:r>
              <w:t xml:space="preserve"> </w:t>
            </w:r>
            <w:r>
              <w:t xml:space="preserve">Fortune Global 500 lose $1.4T/yr (11% of revenue) to unplanned downtime. Average large plant loses $129M/yr. Cost per hour up 62% since 2019.</w:t>
            </w:r>
          </w:p>
        </w:tc>
        <w:tc>
          <w:tcPr/>
          <w:p>
            <w:pPr>
              <w:pStyle w:val="Compact"/>
              <w:jc w:val="left"/>
            </w:pPr>
            <w:r>
              <w:t xml:space="preserve">Emergency response teams, premium parts procurement, overtime, customer penalty negotiations</w:t>
            </w:r>
          </w:p>
        </w:tc>
        <w:tc>
          <w:tcPr/>
          <w:p>
            <w:pPr>
              <w:pStyle w:val="Compact"/>
              <w:jc w:val="left"/>
            </w:pPr>
            <w:r>
              <w:t xml:space="preserve">$1.4T/yr global; $50B/yr US manufacturing; $2.3M/hr automotive; $1.8M/hr semiconductor; $500K+/hr oil &amp; gas</w:t>
            </w:r>
          </w:p>
        </w:tc>
        <w:tc>
          <w:tcPr/>
          <w:p>
            <w:pPr>
              <w:pStyle w:val="Compact"/>
              <w:jc w:val="left"/>
            </w:pPr>
            <w:r>
              <w:t xml:space="preserve">Siemens True Cost of Downtime 2024; Aberdeen Group; Fluke 2025; Oxmaint 2025</w:t>
            </w:r>
          </w:p>
        </w:tc>
        <w:tc>
          <w:tcPr/>
          <w:p>
            <w:pPr>
              <w:pStyle w:val="Compact"/>
              <w:jc w:val="left"/>
            </w:pPr>
            <w:r>
              <w:rPr>
                <w:b/>
                <w:bCs/>
              </w:rPr>
              <w:t xml:space="preserve">AnomalyModelInterface</w:t>
            </w:r>
            <w:r>
              <w:t xml:space="preserve"> </w:t>
            </w:r>
            <w:r>
              <w:t xml:space="preserve">+</w:t>
            </w:r>
            <w:r>
              <w:t xml:space="preserve"> </w:t>
            </w:r>
            <w:r>
              <w:rPr>
                <w:b/>
                <w:bCs/>
              </w:rPr>
              <w:t xml:space="preserve">AgentOrchestratorInterface</w:t>
            </w:r>
            <w:r>
              <w:t xml:space="preserve"> </w:t>
            </w:r>
            <w:r>
              <w:t xml:space="preserve">+</w:t>
            </w:r>
            <w:r>
              <w:t xml:space="preserve"> </w:t>
            </w:r>
            <w:r>
              <w:rPr>
                <w:b/>
                <w:bCs/>
              </w:rPr>
              <w:t xml:space="preserve">FeedbackLoopInterface</w:t>
            </w:r>
            <w:r>
              <w:t xml:space="preserve">: Predictive downtime prevention, automated contingency planning, continuous model improvement from outcomes</w:t>
            </w:r>
          </w:p>
        </w:tc>
        <w:tc>
          <w:tcPr/>
          <w:p>
            <w:pPr>
              <w:pStyle w:val="Compact"/>
              <w:jc w:val="left"/>
            </w:pPr>
            <w:r>
              <w:t xml:space="preserve">5</w:t>
            </w:r>
          </w:p>
        </w:tc>
      </w:tr>
      <w:tr>
        <w:tc>
          <w:tcPr/>
          <w:p>
            <w:pPr>
              <w:pStyle w:val="Compact"/>
              <w:jc w:val="left"/>
            </w:pPr>
            <w:r>
              <w:t xml:space="preserve">P020</w:t>
            </w:r>
          </w:p>
        </w:tc>
        <w:tc>
          <w:tcPr/>
          <w:p>
            <w:pPr>
              <w:pStyle w:val="Compact"/>
              <w:jc w:val="left"/>
            </w:pPr>
            <w:r>
              <w:t xml:space="preserve">Operations Manager</w:t>
            </w:r>
          </w:p>
        </w:tc>
        <w:tc>
          <w:tcPr/>
          <w:p>
            <w:pPr>
              <w:pStyle w:val="Compact"/>
              <w:jc w:val="left"/>
            </w:pPr>
            <w:r>
              <w:rPr>
                <w:b/>
                <w:bCs/>
              </w:rPr>
              <w:t xml:space="preserve">Production Target Misses from Downtime:</w:t>
            </w:r>
            <w:r>
              <w:t xml:space="preserve"> </w:t>
            </w:r>
            <w:r>
              <w:t xml:space="preserve">&gt;50% of manufacturing leaders report downtime prevents hitting production and shipping targets. Ripple effects include customer penalties, expedited freight, contract cancellations.</w:t>
            </w:r>
          </w:p>
        </w:tc>
        <w:tc>
          <w:tcPr/>
          <w:p>
            <w:pPr>
              <w:pStyle w:val="Compact"/>
              <w:jc w:val="left"/>
            </w:pPr>
            <w:r>
              <w:t xml:space="preserve">Overtime production, expedited shipping, contract renegotiation, inventory buffering</w:t>
            </w:r>
          </w:p>
        </w:tc>
        <w:tc>
          <w:tcPr/>
          <w:p>
            <w:pPr>
              <w:pStyle w:val="Compact"/>
              <w:jc w:val="left"/>
            </w:pPr>
            <w:r>
              <w:t xml:space="preserve">Secondary costs 1.5–3x direct production loss; $250–$1,000+ restart penalties per event; customer churn</w:t>
            </w:r>
          </w:p>
        </w:tc>
        <w:tc>
          <w:tcPr/>
          <w:p>
            <w:pPr>
              <w:pStyle w:val="Compact"/>
              <w:jc w:val="left"/>
            </w:pPr>
            <w:r>
              <w:t xml:space="preserve">L2L 2025 Report; TeamSense 2026; MachineCDN 2026</w:t>
            </w:r>
          </w:p>
        </w:tc>
        <w:tc>
          <w:tcPr/>
          <w:p>
            <w:pPr>
              <w:pStyle w:val="Compact"/>
              <w:jc w:val="left"/>
            </w:pPr>
            <w:r>
              <w:rPr>
                <w:b/>
                <w:bCs/>
              </w:rPr>
              <w:t xml:space="preserve">AgentOrchestratorInterface</w:t>
            </w:r>
            <w:r>
              <w:t xml:space="preserve">: Production recovery optimization, automated customer communication, supply chain impact assessment</w:t>
            </w:r>
          </w:p>
        </w:tc>
        <w:tc>
          <w:tcPr/>
          <w:p>
            <w:pPr>
              <w:pStyle w:val="Compact"/>
              <w:jc w:val="left"/>
            </w:pPr>
            <w:r>
              <w:t xml:space="preserve">4</w:t>
            </w:r>
          </w:p>
        </w:tc>
      </w:tr>
      <w:tr>
        <w:tc>
          <w:tcPr/>
          <w:p>
            <w:pPr>
              <w:pStyle w:val="Compact"/>
              <w:jc w:val="left"/>
            </w:pPr>
            <w:r>
              <w:t xml:space="preserve">P021</w:t>
            </w:r>
          </w:p>
        </w:tc>
        <w:tc>
          <w:tcPr/>
          <w:p>
            <w:pPr>
              <w:pStyle w:val="Compact"/>
              <w:jc w:val="left"/>
            </w:pPr>
            <w:r>
              <w:t xml:space="preserve">Operations Manager</w:t>
            </w:r>
          </w:p>
        </w:tc>
        <w:tc>
          <w:tcPr/>
          <w:p>
            <w:pPr>
              <w:pStyle w:val="Compact"/>
              <w:jc w:val="left"/>
            </w:pPr>
            <w:r>
              <w:rPr>
                <w:b/>
                <w:bCs/>
              </w:rPr>
              <w:t xml:space="preserve">OEE Visibility Gap:</w:t>
            </w:r>
            <w:r>
              <w:t xml:space="preserve"> </w:t>
            </w:r>
            <w:r>
              <w:t xml:space="preserve">Most plants calculate OEE manually or via basic MES. Real-time OEE with quality/availability/performance breakdown is rare. OEE typically 40–60% vs. world-class 85%+.</w:t>
            </w:r>
          </w:p>
        </w:tc>
        <w:tc>
          <w:tcPr/>
          <w:p>
            <w:pPr>
              <w:pStyle w:val="Compact"/>
              <w:jc w:val="left"/>
            </w:pPr>
            <w:r>
              <w:t xml:space="preserve">Manual OEE calculation, basic MES reports, Excel tracking, monthly reviews</w:t>
            </w:r>
          </w:p>
        </w:tc>
        <w:tc>
          <w:tcPr/>
          <w:p>
            <w:pPr>
              <w:pStyle w:val="Compact"/>
              <w:jc w:val="left"/>
            </w:pPr>
            <w:r>
              <w:t xml:space="preserve">25–45% capacity hidden in OEE losses; $10–50M/yr for typical large plant</w:t>
            </w:r>
          </w:p>
        </w:tc>
        <w:tc>
          <w:tcPr/>
          <w:p>
            <w:pPr>
              <w:pStyle w:val="Compact"/>
              <w:jc w:val="left"/>
            </w:pPr>
            <w:r>
              <w:t xml:space="preserve">OEE.com benchmarks; MDCplus research; Industry OEE studies</w:t>
            </w:r>
          </w:p>
        </w:tc>
        <w:tc>
          <w:tcPr/>
          <w:p>
            <w:pPr>
              <w:pStyle w:val="Compact"/>
              <w:jc w:val="left"/>
            </w:pPr>
            <w:r>
              <w:rPr>
                <w:b/>
                <w:bCs/>
              </w:rPr>
              <w:t xml:space="preserve">FeatureStoreInterface</w:t>
            </w:r>
            <w:r>
              <w:t xml:space="preserve"> </w:t>
            </w:r>
            <w:r>
              <w:t xml:space="preserve">+</w:t>
            </w:r>
            <w:r>
              <w:t xml:space="preserve"> </w:t>
            </w:r>
            <w:r>
              <w:rPr>
                <w:b/>
                <w:bCs/>
              </w:rPr>
              <w:t xml:space="preserve">AnomalyModelInterface</w:t>
            </w:r>
            <w:r>
              <w:t xml:space="preserve">: Real-time OEE calculation from machine data, automated loss categorization, prescriptive improvement actions</w:t>
            </w:r>
          </w:p>
        </w:tc>
        <w:tc>
          <w:tcPr/>
          <w:p>
            <w:pPr>
              <w:pStyle w:val="Compact"/>
              <w:jc w:val="left"/>
            </w:pPr>
            <w:r>
              <w:t xml:space="preserve">4</w:t>
            </w:r>
          </w:p>
        </w:tc>
      </w:tr>
      <w:tr>
        <w:tc>
          <w:tcPr/>
          <w:p>
            <w:pPr>
              <w:pStyle w:val="Compact"/>
              <w:jc w:val="left"/>
            </w:pPr>
            <w:r>
              <w:t xml:space="preserve">P022</w:t>
            </w:r>
          </w:p>
        </w:tc>
        <w:tc>
          <w:tcPr/>
          <w:p>
            <w:pPr>
              <w:pStyle w:val="Compact"/>
              <w:jc w:val="left"/>
            </w:pPr>
            <w:r>
              <w:t xml:space="preserve">Data Engineer (OT/IT)</w:t>
            </w:r>
          </w:p>
        </w:tc>
        <w:tc>
          <w:tcPr/>
          <w:p>
            <w:pPr>
              <w:pStyle w:val="Compact"/>
              <w:jc w:val="left"/>
            </w:pPr>
            <w:r>
              <w:rPr>
                <w:b/>
                <w:bCs/>
              </w:rPr>
              <w:t xml:space="preserve">OT Data Integration Blockers:</w:t>
            </w:r>
            <w:r>
              <w:t xml:space="preserve"> </w:t>
            </w:r>
            <w:r>
              <w:t xml:space="preserve">Top 3 blockers: (1) Proprietary historian formats (PI, Aspen, GE, Honeywell) resist cloud integration; (2) Network segmentation/air-gapping for security; (3) Lack of standardized data models across plants.</w:t>
            </w:r>
          </w:p>
        </w:tc>
        <w:tc>
          <w:tcPr/>
          <w:p>
            <w:pPr>
              <w:pStyle w:val="Compact"/>
              <w:jc w:val="left"/>
            </w:pPr>
            <w:r>
              <w:t xml:space="preserve">Custom connectors, batch CSV exports, OPC gateways, point-to-point integrations</w:t>
            </w:r>
          </w:p>
        </w:tc>
        <w:tc>
          <w:tcPr/>
          <w:p>
            <w:pPr>
              <w:pStyle w:val="Compact"/>
              <w:jc w:val="left"/>
            </w:pPr>
            <w:r>
              <w:t xml:space="preserve">6–18 months typical time to connect new plant data source; $500K–$2M per integration project; 60% of organizations struggle with data silos</w:t>
            </w:r>
          </w:p>
        </w:tc>
        <w:tc>
          <w:tcPr/>
          <w:p>
            <w:pPr>
              <w:pStyle w:val="Compact"/>
              <w:jc w:val="left"/>
            </w:pPr>
            <w:r>
              <w:t xml:space="preserve">Allied Solutions Global 2026; Gartner PdM report; [INFERRED] for integration timelines</w:t>
            </w:r>
          </w:p>
        </w:tc>
        <w:tc>
          <w:tcPr/>
          <w:p>
            <w:pPr>
              <w:pStyle w:val="Compact"/>
              <w:jc w:val="left"/>
            </w:pPr>
            <w:r>
              <w:rPr>
                <w:b/>
                <w:bCs/>
              </w:rPr>
              <w:t xml:space="preserve">IngestorInterface</w:t>
            </w:r>
            <w:r>
              <w:t xml:space="preserve"> </w:t>
            </w:r>
            <w:r>
              <w:t xml:space="preserve">+</w:t>
            </w:r>
            <w:r>
              <w:t xml:space="preserve"> </w:t>
            </w:r>
            <w:r>
              <w:rPr>
                <w:b/>
                <w:bCs/>
              </w:rPr>
              <w:t xml:space="preserve">GovernanceInterface</w:t>
            </w:r>
            <w:r>
              <w:t xml:space="preserve">: Standardized schema ingestion, Auto Loader for multi-source data, Unity Catalog for cross-plant governance</w:t>
            </w:r>
          </w:p>
        </w:tc>
        <w:tc>
          <w:tcPr/>
          <w:p>
            <w:pPr>
              <w:pStyle w:val="Compact"/>
              <w:jc w:val="left"/>
            </w:pPr>
            <w:r>
              <w:t xml:space="preserve">5</w:t>
            </w:r>
          </w:p>
        </w:tc>
      </w:tr>
      <w:tr>
        <w:tc>
          <w:tcPr/>
          <w:p>
            <w:pPr>
              <w:pStyle w:val="Compact"/>
              <w:jc w:val="left"/>
            </w:pPr>
            <w:r>
              <w:t xml:space="preserve">P023</w:t>
            </w:r>
          </w:p>
        </w:tc>
        <w:tc>
          <w:tcPr/>
          <w:p>
            <w:pPr>
              <w:pStyle w:val="Compact"/>
              <w:jc w:val="left"/>
            </w:pPr>
            <w:r>
              <w:t xml:space="preserve">Data Engineer (OT/IT)</w:t>
            </w:r>
          </w:p>
        </w:tc>
        <w:tc>
          <w:tcPr/>
          <w:p>
            <w:pPr>
              <w:pStyle w:val="Compact"/>
              <w:jc w:val="left"/>
            </w:pPr>
            <w:r>
              <w:rPr>
                <w:b/>
                <w:bCs/>
              </w:rPr>
              <w:t xml:space="preserve">Sensor Data Quality Issues:</w:t>
            </w:r>
            <w:r>
              <w:t xml:space="preserve"> </w:t>
            </w:r>
            <w:r>
              <w:t xml:space="preserve">Stuck sensors, calibration drift, unit inconsistency, timestamp misalignment, and missing values are endemic. 30–50% of sensor data has quality issues requiring manual cleanup.</w:t>
            </w:r>
          </w:p>
        </w:tc>
        <w:tc>
          <w:tcPr/>
          <w:p>
            <w:pPr>
              <w:pStyle w:val="Compact"/>
              <w:jc w:val="left"/>
            </w:pPr>
            <w:r>
              <w:t xml:space="preserve">Manual data validation, Excel-based correction, rule-based outlier detection, sensor replacement</w:t>
            </w:r>
          </w:p>
        </w:tc>
        <w:tc>
          <w:tcPr/>
          <w:p>
            <w:pPr>
              <w:pStyle w:val="Compact"/>
              <w:jc w:val="left"/>
            </w:pPr>
            <w:r>
              <w:t xml:space="preserve">Poor model accuracy from dirty data; 20–40% of data science project time spent on data cleaning; delayed insights</w:t>
            </w:r>
          </w:p>
        </w:tc>
        <w:tc>
          <w:tcPr/>
          <w:p>
            <w:pPr>
              <w:pStyle w:val="Compact"/>
              <w:jc w:val="left"/>
            </w:pPr>
            <w:r>
              <w:t xml:space="preserve">[INFERRED] Based on industrial data science practice; Gartner data quality studies</w:t>
            </w:r>
          </w:p>
        </w:tc>
        <w:tc>
          <w:tcPr/>
          <w:p>
            <w:pPr>
              <w:pStyle w:val="Compact"/>
              <w:jc w:val="left"/>
            </w:pPr>
            <w:r>
              <w:rPr>
                <w:b/>
                <w:bCs/>
              </w:rPr>
              <w:t xml:space="preserve">IngestorInterface</w:t>
            </w:r>
            <w:r>
              <w:t xml:space="preserve"> </w:t>
            </w:r>
            <w:r>
              <w:t xml:space="preserve">+</w:t>
            </w:r>
            <w:r>
              <w:t xml:space="preserve"> </w:t>
            </w:r>
            <w:r>
              <w:rPr>
                <w:b/>
                <w:bCs/>
              </w:rPr>
              <w:t xml:space="preserve">GovernanceInterface</w:t>
            </w:r>
            <w:r>
              <w:t xml:space="preserve">: Automated data quality rules, drift detection, unit standardization, timestamp alignment, lineage tracking</w:t>
            </w:r>
          </w:p>
        </w:tc>
        <w:tc>
          <w:tcPr/>
          <w:p>
            <w:pPr>
              <w:pStyle w:val="Compact"/>
              <w:jc w:val="left"/>
            </w:pPr>
            <w:r>
              <w:t xml:space="preserve">4</w:t>
            </w:r>
          </w:p>
        </w:tc>
      </w:tr>
      <w:tr>
        <w:tc>
          <w:tcPr/>
          <w:p>
            <w:pPr>
              <w:pStyle w:val="Compact"/>
              <w:jc w:val="left"/>
            </w:pPr>
            <w:r>
              <w:t xml:space="preserve">P024</w:t>
            </w:r>
          </w:p>
        </w:tc>
        <w:tc>
          <w:tcPr/>
          <w:p>
            <w:pPr>
              <w:pStyle w:val="Compact"/>
              <w:jc w:val="left"/>
            </w:pPr>
            <w:r>
              <w:t xml:space="preserve">Data Engineer (OT/IT)</w:t>
            </w:r>
          </w:p>
        </w:tc>
        <w:tc>
          <w:tcPr/>
          <w:p>
            <w:pPr>
              <w:pStyle w:val="Compact"/>
              <w:jc w:val="left"/>
            </w:pPr>
            <w:r>
              <w:rPr>
                <w:b/>
                <w:bCs/>
              </w:rPr>
              <w:t xml:space="preserve">Historian Scalability Limits:</w:t>
            </w:r>
            <w:r>
              <w:t xml:space="preserve"> </w:t>
            </w:r>
            <w:r>
              <w:t xml:space="preserve">Legacy historians (PI, Aspen) designed for thousands of tags now face millions of IIoT data points. Tag-based licensing drives exponential costs.</w:t>
            </w:r>
          </w:p>
        </w:tc>
        <w:tc>
          <w:tcPr/>
          <w:p>
            <w:pPr>
              <w:pStyle w:val="Compact"/>
              <w:jc w:val="left"/>
            </w:pPr>
            <w:r>
              <w:t xml:space="preserve">Multiple historian instances, data compression, tag pruning, selective archiving</w:t>
            </w:r>
          </w:p>
        </w:tc>
        <w:tc>
          <w:tcPr/>
          <w:p>
            <w:pPr>
              <w:pStyle w:val="Compact"/>
              <w:jc w:val="left"/>
            </w:pPr>
            <w:r>
              <w:t xml:space="preserve">$1–5M/yr historian licensing and infrastructure for large plants; data loss from compression; query latency</w:t>
            </w:r>
          </w:p>
        </w:tc>
        <w:tc>
          <w:tcPr/>
          <w:p>
            <w:pPr>
              <w:pStyle w:val="Compact"/>
              <w:jc w:val="left"/>
            </w:pPr>
            <w:r>
              <w:t xml:space="preserve">Allied Solutions Global 2026; vendor pricing analyses</w:t>
            </w:r>
          </w:p>
        </w:tc>
        <w:tc>
          <w:tcPr/>
          <w:p>
            <w:pPr>
              <w:pStyle w:val="Compact"/>
              <w:jc w:val="left"/>
            </w:pPr>
            <w:r>
              <w:rPr>
                <w:b/>
                <w:bCs/>
              </w:rPr>
              <w:t xml:space="preserve">IngestorInterface</w:t>
            </w:r>
            <w:r>
              <w:t xml:space="preserve"> </w:t>
            </w:r>
            <w:r>
              <w:t xml:space="preserve">+</w:t>
            </w:r>
            <w:r>
              <w:t xml:space="preserve"> </w:t>
            </w:r>
            <w:r>
              <w:rPr>
                <w:b/>
                <w:bCs/>
              </w:rPr>
              <w:t xml:space="preserve">FeatureStoreInterface</w:t>
            </w:r>
            <w:r>
              <w:t xml:space="preserve">: Lakehouse architecture with Delta Lake, cost-effective storage, high-performance time-series queries</w:t>
            </w:r>
          </w:p>
        </w:tc>
        <w:tc>
          <w:tcPr/>
          <w:p>
            <w:pPr>
              <w:pStyle w:val="Compact"/>
              <w:jc w:val="left"/>
            </w:pPr>
            <w:r>
              <w:t xml:space="preserve">4</w:t>
            </w:r>
          </w:p>
        </w:tc>
      </w:tr>
      <w:tr>
        <w:tc>
          <w:tcPr/>
          <w:p>
            <w:pPr>
              <w:pStyle w:val="Compact"/>
              <w:jc w:val="left"/>
            </w:pPr>
            <w:r>
              <w:t xml:space="preserve">P025</w:t>
            </w:r>
          </w:p>
        </w:tc>
        <w:tc>
          <w:tcPr/>
          <w:p>
            <w:pPr>
              <w:pStyle w:val="Compact"/>
              <w:jc w:val="left"/>
            </w:pPr>
            <w:r>
              <w:t xml:space="preserve">Plant Engineer (Petrochemical)</w:t>
            </w:r>
          </w:p>
        </w:tc>
        <w:tc>
          <w:tcPr/>
          <w:p>
            <w:pPr>
              <w:pStyle w:val="Compact"/>
              <w:jc w:val="left"/>
            </w:pPr>
            <w:r>
              <w:rPr>
                <w:b/>
                <w:bCs/>
              </w:rPr>
              <w:t xml:space="preserve">Refinery Feed Pump Catastrophic Failure:</w:t>
            </w:r>
            <w:r>
              <w:t xml:space="preserve"> </w:t>
            </w:r>
            <w:r>
              <w:t xml:space="preserve">Single catalytic cracker feed pump failure caused 9-day shutdown costing $7.6M in lost production + $1.8M emergency repair at 250K bpd refinery.</w:t>
            </w:r>
          </w:p>
        </w:tc>
        <w:tc>
          <w:tcPr/>
          <w:p>
            <w:pPr>
              <w:pStyle w:val="Compact"/>
              <w:jc w:val="left"/>
            </w:pPr>
            <w:r>
              <w:t xml:space="preserve">Time-based preventive maintenance, vibration monitoring (periodic), run-to-failure on non-critical pumps</w:t>
            </w:r>
          </w:p>
        </w:tc>
        <w:tc>
          <w:tcPr/>
          <w:p>
            <w:pPr>
              <w:pStyle w:val="Compact"/>
              <w:jc w:val="left"/>
            </w:pPr>
            <w:r>
              <w:t xml:space="preserve">$9.4M single incident; $850K/day unplanned shutdown cost for typical refinery; cascading unit impacts</w:t>
            </w:r>
          </w:p>
        </w:tc>
        <w:tc>
          <w:tcPr/>
          <w:p>
            <w:pPr>
              <w:pStyle w:val="Compact"/>
              <w:jc w:val="left"/>
            </w:pPr>
            <w:r>
              <w:t xml:space="preserve">iFactory refinery case study 2026; Precog refinery analysis</w:t>
            </w:r>
          </w:p>
        </w:tc>
        <w:tc>
          <w:tcPr/>
          <w:p>
            <w:pPr>
              <w:pStyle w:val="Compact"/>
              <w:jc w:val="left"/>
            </w:pPr>
            <w:r>
              <w:rPr>
                <w:b/>
                <w:bCs/>
              </w:rPr>
              <w:t xml:space="preserve">AnomalyModelInterface</w:t>
            </w:r>
            <w:r>
              <w:t xml:space="preserve"> </w:t>
            </w:r>
            <w:r>
              <w:t xml:space="preserve">+</w:t>
            </w:r>
            <w:r>
              <w:t xml:space="preserve"> </w:t>
            </w:r>
            <w:r>
              <w:rPr>
                <w:b/>
                <w:bCs/>
              </w:rPr>
              <w:t xml:space="preserve">AgentOrchestratorInterface</w:t>
            </w:r>
            <w:r>
              <w:t xml:space="preserve">: Continuous pump health monitoring, cavitation/seal/bearing degradation prediction, automated maintenance scheduling</w:t>
            </w:r>
          </w:p>
        </w:tc>
        <w:tc>
          <w:tcPr/>
          <w:p>
            <w:pPr>
              <w:pStyle w:val="Compact"/>
              <w:jc w:val="left"/>
            </w:pPr>
            <w:r>
              <w:t xml:space="preserve">5</w:t>
            </w:r>
          </w:p>
        </w:tc>
      </w:tr>
      <w:tr>
        <w:tc>
          <w:tcPr/>
          <w:p>
            <w:pPr>
              <w:pStyle w:val="Compact"/>
              <w:jc w:val="left"/>
            </w:pPr>
            <w:r>
              <w:t xml:space="preserve">P026</w:t>
            </w:r>
          </w:p>
        </w:tc>
        <w:tc>
          <w:tcPr/>
          <w:p>
            <w:pPr>
              <w:pStyle w:val="Compact"/>
              <w:jc w:val="left"/>
            </w:pPr>
            <w:r>
              <w:t xml:space="preserve">Reliability Engineer (Automotive)</w:t>
            </w:r>
          </w:p>
        </w:tc>
        <w:tc>
          <w:tcPr/>
          <w:p>
            <w:pPr>
              <w:pStyle w:val="Compact"/>
              <w:jc w:val="left"/>
            </w:pPr>
            <w:r>
              <w:rPr>
                <w:b/>
                <w:bCs/>
              </w:rPr>
              <w:t xml:space="preserve">Automotive Line Stoppage:</w:t>
            </w:r>
            <w:r>
              <w:t xml:space="preserve"> </w:t>
            </w:r>
            <w:r>
              <w:t xml:space="preserve">Automotive downtime costs $2.3M/hr (2x since 2019). Single stopped station backs up welding, paint, final assembly. JIT supply chain amplifies every minute.</w:t>
            </w:r>
          </w:p>
        </w:tc>
        <w:tc>
          <w:tcPr/>
          <w:p>
            <w:pPr>
              <w:pStyle w:val="Compact"/>
              <w:jc w:val="left"/>
            </w:pPr>
            <w:r>
              <w:t xml:space="preserve">Andon systems, maintenance rapid response teams, buffer inventory, overtime recovery</w:t>
            </w:r>
          </w:p>
        </w:tc>
        <w:tc>
          <w:tcPr/>
          <w:p>
            <w:pPr>
              <w:pStyle w:val="Compact"/>
              <w:jc w:val="left"/>
            </w:pPr>
            <w:r>
              <w:t xml:space="preserve">$2.3M/hr; $38,333/minute; $639/second; $42.6M for 12-hour outage</w:t>
            </w:r>
          </w:p>
        </w:tc>
        <w:tc>
          <w:tcPr/>
          <w:p>
            <w:pPr>
              <w:pStyle w:val="Compact"/>
              <w:jc w:val="left"/>
            </w:pPr>
            <w:r>
              <w:t xml:space="preserve">Siemens True Cost of Downtime 2024; Erwood Group 2025; ManufacturingLeadGeneration 2026</w:t>
            </w:r>
          </w:p>
        </w:tc>
        <w:tc>
          <w:tcPr/>
          <w:p>
            <w:pPr>
              <w:pStyle w:val="Compact"/>
              <w:jc w:val="left"/>
            </w:pPr>
            <w:r>
              <w:rPr>
                <w:b/>
                <w:bCs/>
              </w:rPr>
              <w:t xml:space="preserve">AnomalyModelInterface</w:t>
            </w:r>
            <w:r>
              <w:t xml:space="preserve"> </w:t>
            </w:r>
            <w:r>
              <w:t xml:space="preserve">+</w:t>
            </w:r>
            <w:r>
              <w:t xml:space="preserve"> </w:t>
            </w:r>
            <w:r>
              <w:rPr>
                <w:b/>
                <w:bCs/>
              </w:rPr>
              <w:t xml:space="preserve">AgentOrchestratorInterface</w:t>
            </w:r>
            <w:r>
              <w:t xml:space="preserve">: Predictive line health monitoring, bottleneck prediction, automated contingency routing</w:t>
            </w:r>
          </w:p>
        </w:tc>
        <w:tc>
          <w:tcPr/>
          <w:p>
            <w:pPr>
              <w:pStyle w:val="Compact"/>
              <w:jc w:val="left"/>
            </w:pPr>
            <w:r>
              <w:t xml:space="preserve">5</w:t>
            </w:r>
          </w:p>
        </w:tc>
      </w:tr>
      <w:tr>
        <w:tc>
          <w:tcPr/>
          <w:p>
            <w:pPr>
              <w:pStyle w:val="Compact"/>
              <w:jc w:val="left"/>
            </w:pPr>
            <w:r>
              <w:t xml:space="preserve">P027</w:t>
            </w:r>
          </w:p>
        </w:tc>
        <w:tc>
          <w:tcPr/>
          <w:p>
            <w:pPr>
              <w:pStyle w:val="Compact"/>
              <w:jc w:val="left"/>
            </w:pPr>
            <w:r>
              <w:t xml:space="preserve">Energy Manager (Chemical)</w:t>
            </w:r>
          </w:p>
        </w:tc>
        <w:tc>
          <w:tcPr/>
          <w:p>
            <w:pPr>
              <w:pStyle w:val="Compact"/>
              <w:jc w:val="left"/>
            </w:pPr>
            <w:r>
              <w:rPr>
                <w:b/>
                <w:bCs/>
              </w:rPr>
              <w:t xml:space="preserve">Chemical Plant Energy Waste:</w:t>
            </w:r>
            <w:r>
              <w:t xml:space="preserve"> </w:t>
            </w:r>
            <w:r>
              <w:t xml:space="preserve">Chemical/petrochemical plants face $35K–$300K/hr downtime costs. Energy-intensive processes (cracking, distillation, reforming) consume 60–70% of plant energy.</w:t>
            </w:r>
          </w:p>
        </w:tc>
        <w:tc>
          <w:tcPr/>
          <w:p>
            <w:pPr>
              <w:pStyle w:val="Compact"/>
              <w:jc w:val="left"/>
            </w:pPr>
            <w:r>
              <w:t xml:space="preserve">Basic sub-metering, periodic energy audits, manual setpoint optimization</w:t>
            </w:r>
          </w:p>
        </w:tc>
        <w:tc>
          <w:tcPr/>
          <w:p>
            <w:pPr>
              <w:pStyle w:val="Compact"/>
              <w:jc w:val="left"/>
            </w:pPr>
            <w:r>
              <w:t xml:space="preserve">1% energy improvement = $2.5–5M/yr for medium petrochemical plant; 15–30% savings potential from ISO 50001</w:t>
            </w:r>
          </w:p>
        </w:tc>
        <w:tc>
          <w:tcPr/>
          <w:p>
            <w:pPr>
              <w:pStyle w:val="Compact"/>
              <w:jc w:val="left"/>
            </w:pPr>
            <w:r>
              <w:t xml:space="preserve">DOE IAC data; Oxmaint sector analysis 2025; ISO 50001 implementation data</w:t>
            </w:r>
          </w:p>
        </w:tc>
        <w:tc>
          <w:tcPr/>
          <w:p>
            <w:pPr>
              <w:pStyle w:val="Compact"/>
              <w:jc w:val="left"/>
            </w:pPr>
            <w:r>
              <w:rPr>
                <w:b/>
                <w:bCs/>
              </w:rPr>
              <w:t xml:space="preserve">AnomalyModelInterface</w:t>
            </w:r>
            <w:r>
              <w:t xml:space="preserve"> </w:t>
            </w:r>
            <w:r>
              <w:t xml:space="preserve">+</w:t>
            </w:r>
            <w:r>
              <w:t xml:space="preserve"> </w:t>
            </w:r>
            <w:r>
              <w:rPr>
                <w:b/>
                <w:bCs/>
              </w:rPr>
              <w:t xml:space="preserve">FeatureStoreInterface</w:t>
            </w:r>
            <w:r>
              <w:t xml:space="preserve">: Process-energy correlation modeling, setpoint optimization, SEU monitoring</w:t>
            </w:r>
          </w:p>
        </w:tc>
        <w:tc>
          <w:tcPr/>
          <w:p>
            <w:pPr>
              <w:pStyle w:val="Compact"/>
              <w:jc w:val="left"/>
            </w:pPr>
            <w:r>
              <w:t xml:space="preserve">4</w:t>
            </w:r>
          </w:p>
        </w:tc>
      </w:tr>
      <w:tr>
        <w:tc>
          <w:tcPr/>
          <w:p>
            <w:pPr>
              <w:pStyle w:val="Compact"/>
              <w:jc w:val="left"/>
            </w:pPr>
            <w:r>
              <w:t xml:space="preserve">P028</w:t>
            </w:r>
          </w:p>
        </w:tc>
        <w:tc>
          <w:tcPr/>
          <w:p>
            <w:pPr>
              <w:pStyle w:val="Compact"/>
              <w:jc w:val="left"/>
            </w:pPr>
            <w:r>
              <w:t xml:space="preserve">Quality Engineer (Semiconductor)</w:t>
            </w:r>
          </w:p>
        </w:tc>
        <w:tc>
          <w:tcPr/>
          <w:p>
            <w:pPr>
              <w:pStyle w:val="Compact"/>
              <w:jc w:val="left"/>
            </w:pPr>
            <w:r>
              <w:rPr>
                <w:b/>
                <w:bCs/>
              </w:rPr>
              <w:t xml:space="preserve">Semiconductor Fab Yield Loss:</w:t>
            </w:r>
            <w:r>
              <w:t xml:space="preserve"> </w:t>
            </w:r>
            <w:r>
              <w:t xml:space="preserve">Leading-edge fab downtime $1–3M/hr. $7B fab must recover $4M/day to amortize investment. Yield loss from process drift is often detected too late.</w:t>
            </w:r>
          </w:p>
        </w:tc>
        <w:tc>
          <w:tcPr/>
          <w:p>
            <w:pPr>
              <w:pStyle w:val="Compact"/>
              <w:jc w:val="left"/>
            </w:pPr>
            <w:r>
              <w:t xml:space="preserve">In-line metrology (limited), SPC on critical parameters, end-of-line wafer test</w:t>
            </w:r>
          </w:p>
        </w:tc>
        <w:tc>
          <w:tcPr/>
          <w:p>
            <w:pPr>
              <w:pStyle w:val="Compact"/>
              <w:jc w:val="left"/>
            </w:pPr>
            <w:r>
              <w:t xml:space="preserve">$1–3M/hr downtime; $4M/day amortization pressure; yield loss of 2–5% = $50–150M/yr for large fab</w:t>
            </w:r>
          </w:p>
        </w:tc>
        <w:tc>
          <w:tcPr/>
          <w:p>
            <w:pPr>
              <w:pStyle w:val="Compact"/>
              <w:jc w:val="left"/>
            </w:pPr>
            <w:r>
              <w:t xml:space="preserve">Critical Manufacturing 2024; iFactory/Aberdeen 2026; Oxmaint 2025</w:t>
            </w:r>
          </w:p>
        </w:tc>
        <w:tc>
          <w:tcPr/>
          <w:p>
            <w:pPr>
              <w:pStyle w:val="Compact"/>
              <w:jc w:val="left"/>
            </w:pPr>
            <w:r>
              <w:rPr>
                <w:b/>
                <w:bCs/>
              </w:rPr>
              <w:t xml:space="preserve">AnomalyModelInterface</w:t>
            </w:r>
            <w:r>
              <w:t xml:space="preserve"> </w:t>
            </w:r>
            <w:r>
              <w:t xml:space="preserve">+</w:t>
            </w:r>
            <w:r>
              <w:t xml:space="preserve"> </w:t>
            </w:r>
            <w:r>
              <w:rPr>
                <w:b/>
                <w:bCs/>
              </w:rPr>
              <w:t xml:space="preserve">FeatureStoreInterface</w:t>
            </w:r>
            <w:r>
              <w:t xml:space="preserve">: Real-time process drift detection, predictive yield modeling, chamber matching</w:t>
            </w:r>
          </w:p>
        </w:tc>
        <w:tc>
          <w:tcPr/>
          <w:p>
            <w:pPr>
              <w:pStyle w:val="Compact"/>
              <w:jc w:val="left"/>
            </w:pPr>
            <w:r>
              <w:t xml:space="preserve">5</w:t>
            </w:r>
          </w:p>
        </w:tc>
      </w:tr>
      <w:tr>
        <w:tc>
          <w:tcPr/>
          <w:p>
            <w:pPr>
              <w:pStyle w:val="Compact"/>
              <w:jc w:val="left"/>
            </w:pPr>
            <w:r>
              <w:t xml:space="preserve">P029</w:t>
            </w:r>
          </w:p>
        </w:tc>
        <w:tc>
          <w:tcPr/>
          <w:p>
            <w:pPr>
              <w:pStyle w:val="Compact"/>
              <w:jc w:val="left"/>
            </w:pPr>
            <w:r>
              <w:t xml:space="preserve">Maintenance Engineer (Pharma)</w:t>
            </w:r>
          </w:p>
        </w:tc>
        <w:tc>
          <w:tcPr/>
          <w:p>
            <w:pPr>
              <w:pStyle w:val="Compact"/>
              <w:jc w:val="left"/>
            </w:pPr>
            <w:r>
              <w:rPr>
                <w:b/>
                <w:bCs/>
              </w:rPr>
              <w:t xml:space="preserve">Pharma Batch Loss from Equipment Failure:</w:t>
            </w:r>
            <w:r>
              <w:t xml:space="preserve"> </w:t>
            </w:r>
            <w:r>
              <w:t xml:space="preserve">Pharmaceutical batch losses can reach $9M per incident. FDA re-validation after unplanned shutdown adds weeks of delay.</w:t>
            </w:r>
          </w:p>
        </w:tc>
        <w:tc>
          <w:tcPr/>
          <w:p>
            <w:pPr>
              <w:pStyle w:val="Compact"/>
              <w:jc w:val="left"/>
            </w:pPr>
            <w:r>
              <w:t xml:space="preserve">Strict PM schedules, redundant equipment, quality hold procedures, extensive documentation</w:t>
            </w:r>
          </w:p>
        </w:tc>
        <w:tc>
          <w:tcPr/>
          <w:p>
            <w:pPr>
              <w:pStyle w:val="Compact"/>
              <w:jc w:val="left"/>
            </w:pPr>
            <w:r>
              <w:t xml:space="preserve">$100K–$500K/hr; up to $9M per batch write-off; FDA re-validation costs $500K–$2M</w:t>
            </w:r>
          </w:p>
        </w:tc>
        <w:tc>
          <w:tcPr/>
          <w:p>
            <w:pPr>
              <w:pStyle w:val="Compact"/>
              <w:jc w:val="left"/>
            </w:pPr>
            <w:r>
              <w:t xml:space="preserve">IDS-INDATA 2025; Oxmaint 2025</w:t>
            </w:r>
          </w:p>
        </w:tc>
        <w:tc>
          <w:tcPr/>
          <w:p>
            <w:pPr>
              <w:pStyle w:val="Compact"/>
              <w:jc w:val="left"/>
            </w:pPr>
            <w:r>
              <w:rPr>
                <w:b/>
                <w:bCs/>
              </w:rPr>
              <w:t xml:space="preserve">AnomalyModelInterface</w:t>
            </w:r>
            <w:r>
              <w:t xml:space="preserve"> </w:t>
            </w:r>
            <w:r>
              <w:t xml:space="preserve">+</w:t>
            </w:r>
            <w:r>
              <w:t xml:space="preserve"> </w:t>
            </w:r>
            <w:r>
              <w:rPr>
                <w:b/>
                <w:bCs/>
              </w:rPr>
              <w:t xml:space="preserve">GovernanceInterface</w:t>
            </w:r>
            <w:r>
              <w:t xml:space="preserve">: Predictive batch risk assessment, automated compliance documentation, deviation tracking</w:t>
            </w:r>
          </w:p>
        </w:tc>
        <w:tc>
          <w:tcPr/>
          <w:p>
            <w:pPr>
              <w:pStyle w:val="Compact"/>
              <w:jc w:val="left"/>
            </w:pPr>
            <w:r>
              <w:t xml:space="preserve">5</w:t>
            </w:r>
          </w:p>
        </w:tc>
      </w:tr>
      <w:tr>
        <w:tc>
          <w:tcPr/>
          <w:p>
            <w:pPr>
              <w:pStyle w:val="Compact"/>
              <w:jc w:val="left"/>
            </w:pPr>
            <w:r>
              <w:t xml:space="preserve">P030</w:t>
            </w:r>
          </w:p>
        </w:tc>
        <w:tc>
          <w:tcPr/>
          <w:p>
            <w:pPr>
              <w:pStyle w:val="Compact"/>
              <w:jc w:val="left"/>
            </w:pPr>
            <w:r>
              <w:t xml:space="preserve">Operations Manager (Power Gen)</w:t>
            </w:r>
          </w:p>
        </w:tc>
        <w:tc>
          <w:tcPr/>
          <w:p>
            <w:pPr>
              <w:pStyle w:val="Compact"/>
              <w:jc w:val="left"/>
            </w:pPr>
            <w:r>
              <w:rPr>
                <w:b/>
                <w:bCs/>
              </w:rPr>
              <w:t xml:space="preserve">Power Generation Asset Availability:</w:t>
            </w:r>
            <w:r>
              <w:t xml:space="preserve"> </w:t>
            </w:r>
            <w:r>
              <w:t xml:space="preserve">Unplanned outages in power generation cost $250K–$500K/hr. Grid reliability requirements demand &gt;99% availability for critical assets.</w:t>
            </w:r>
          </w:p>
        </w:tc>
        <w:tc>
          <w:tcPr/>
          <w:p>
            <w:pPr>
              <w:pStyle w:val="Compact"/>
              <w:jc w:val="left"/>
            </w:pPr>
            <w:r>
              <w:t xml:space="preserve">Condition monitoring (periodic), protective relaying, scheduled outages, spinning reserve</w:t>
            </w:r>
          </w:p>
        </w:tc>
        <w:tc>
          <w:tcPr/>
          <w:p>
            <w:pPr>
              <w:pStyle w:val="Compact"/>
              <w:jc w:val="left"/>
            </w:pPr>
            <w:r>
              <w:t xml:space="preserve">$250K–$500K/hr; grid reliability penalties; regulatory non-compliance risk</w:t>
            </w:r>
          </w:p>
        </w:tc>
        <w:tc>
          <w:tcPr/>
          <w:p>
            <w:pPr>
              <w:pStyle w:val="Compact"/>
              <w:jc w:val="left"/>
            </w:pPr>
            <w:r>
              <w:t xml:space="preserve">Oxmaint sector analysis 2025; ABB Value of Reliability</w:t>
            </w:r>
          </w:p>
        </w:tc>
        <w:tc>
          <w:tcPr/>
          <w:p>
            <w:pPr>
              <w:pStyle w:val="Compact"/>
              <w:jc w:val="left"/>
            </w:pPr>
            <w:r>
              <w:rPr>
                <w:b/>
                <w:bCs/>
              </w:rPr>
              <w:t xml:space="preserve">AnomalyModelInterface</w:t>
            </w:r>
            <w:r>
              <w:t xml:space="preserve"> </w:t>
            </w:r>
            <w:r>
              <w:t xml:space="preserve">+</w:t>
            </w:r>
            <w:r>
              <w:t xml:space="preserve"> </w:t>
            </w:r>
            <w:r>
              <w:rPr>
                <w:b/>
                <w:bCs/>
              </w:rPr>
              <w:t xml:space="preserve">AgentOrchestratorInterface</w:t>
            </w:r>
            <w:r>
              <w:t xml:space="preserve">: Continuous asset health monitoring, predictive outage scheduling, grid impact assessment</w:t>
            </w:r>
          </w:p>
        </w:tc>
        <w:tc>
          <w:tcPr/>
          <w:p>
            <w:pPr>
              <w:pStyle w:val="Compact"/>
              <w:jc w:val="left"/>
            </w:pPr>
            <w:r>
              <w:t xml:space="preserve">5</w:t>
            </w:r>
          </w:p>
        </w:tc>
      </w:tr>
      <w:tr>
        <w:tc>
          <w:tcPr/>
          <w:p>
            <w:pPr>
              <w:pStyle w:val="Compact"/>
              <w:jc w:val="left"/>
            </w:pPr>
            <w:r>
              <w:t xml:space="preserve">P031</w:t>
            </w:r>
          </w:p>
        </w:tc>
        <w:tc>
          <w:tcPr/>
          <w:p>
            <w:pPr>
              <w:pStyle w:val="Compact"/>
              <w:jc w:val="left"/>
            </w:pPr>
            <w:r>
              <w:t xml:space="preserve">Plant Engineer (Pulp &amp; Paper)</w:t>
            </w:r>
          </w:p>
        </w:tc>
        <w:tc>
          <w:tcPr/>
          <w:p>
            <w:pPr>
              <w:pStyle w:val="Compact"/>
              <w:jc w:val="left"/>
            </w:pPr>
            <w:r>
              <w:rPr>
                <w:b/>
                <w:bCs/>
              </w:rPr>
              <w:t xml:space="preserve">Paper Machine Web Breaks:</w:t>
            </w:r>
            <w:r>
              <w:t xml:space="preserve"> </w:t>
            </w:r>
            <w:r>
              <w:t xml:space="preserve">Web breaks cost $25K/hr in downtime + $250K per major event. Chemical balance reset and grade transition losses add significant waste.</w:t>
            </w:r>
          </w:p>
        </w:tc>
        <w:tc>
          <w:tcPr/>
          <w:p>
            <w:pPr>
              <w:pStyle w:val="Compact"/>
              <w:jc w:val="left"/>
            </w:pPr>
            <w:r>
              <w:t xml:space="preserve">Machine tender experience, basic tension control, periodic doctor blade inspection</w:t>
            </w:r>
          </w:p>
        </w:tc>
        <w:tc>
          <w:tcPr/>
          <w:p>
            <w:pPr>
              <w:pStyle w:val="Compact"/>
              <w:jc w:val="left"/>
            </w:pPr>
            <w:r>
              <w:t xml:space="preserve">$25K/hr; $250K per major event; 5–15% production loss from breaks and transitions</w:t>
            </w:r>
          </w:p>
        </w:tc>
        <w:tc>
          <w:tcPr/>
          <w:p>
            <w:pPr>
              <w:pStyle w:val="Compact"/>
              <w:jc w:val="left"/>
            </w:pPr>
            <w:r>
              <w:t xml:space="preserve">Oxmaint 2025; Sealevel Systems 2025</w:t>
            </w:r>
          </w:p>
        </w:tc>
        <w:tc>
          <w:tcPr/>
          <w:p>
            <w:pPr>
              <w:pStyle w:val="Compact"/>
              <w:jc w:val="left"/>
            </w:pPr>
            <w:r>
              <w:rPr>
                <w:b/>
                <w:bCs/>
              </w:rPr>
              <w:t xml:space="preserve">AnomalyModelInterface</w:t>
            </w:r>
            <w:r>
              <w:t xml:space="preserve"> </w:t>
            </w:r>
            <w:r>
              <w:t xml:space="preserve">+</w:t>
            </w:r>
            <w:r>
              <w:t xml:space="preserve"> </w:t>
            </w:r>
            <w:r>
              <w:rPr>
                <w:b/>
                <w:bCs/>
              </w:rPr>
              <w:t xml:space="preserve">FeatureStoreInterface</w:t>
            </w:r>
            <w:r>
              <w:t xml:space="preserve">: Predictive web break detection, tension optimization, transition automation</w:t>
            </w:r>
          </w:p>
        </w:tc>
        <w:tc>
          <w:tcPr/>
          <w:p>
            <w:pPr>
              <w:pStyle w:val="Compact"/>
              <w:jc w:val="left"/>
            </w:pPr>
            <w:r>
              <w:t xml:space="preserve">4</w:t>
            </w:r>
          </w:p>
        </w:tc>
      </w:tr>
      <w:tr>
        <w:tc>
          <w:tcPr/>
          <w:p>
            <w:pPr>
              <w:pStyle w:val="Compact"/>
              <w:jc w:val="left"/>
            </w:pPr>
            <w:r>
              <w:t xml:space="preserve">P032</w:t>
            </w:r>
          </w:p>
        </w:tc>
        <w:tc>
          <w:tcPr/>
          <w:p>
            <w:pPr>
              <w:pStyle w:val="Compact"/>
              <w:jc w:val="left"/>
            </w:pPr>
            <w:r>
              <w:t xml:space="preserve">Reliability Engineer (Steel)</w:t>
            </w:r>
          </w:p>
        </w:tc>
        <w:tc>
          <w:tcPr/>
          <w:p>
            <w:pPr>
              <w:pStyle w:val="Compact"/>
              <w:jc w:val="left"/>
            </w:pPr>
            <w:r>
              <w:rPr>
                <w:b/>
                <w:bCs/>
              </w:rPr>
              <w:t xml:space="preserve">Steel Mill Critical Machine Failure:</w:t>
            </w:r>
            <w:r>
              <w:t xml:space="preserve"> </w:t>
            </w:r>
            <w:r>
              <w:t xml:space="preserve">Steel/heavy metals downtime averages $300K/hr. Furnace cool-down and rolling mill cascade failures can exceed $14M per event.</w:t>
            </w:r>
          </w:p>
        </w:tc>
        <w:tc>
          <w:tcPr/>
          <w:p>
            <w:pPr>
              <w:pStyle w:val="Compact"/>
              <w:jc w:val="left"/>
            </w:pPr>
            <w:r>
              <w:t xml:space="preserve">Protective systems, scheduled relining, manual inspection, thermal monitoring</w:t>
            </w:r>
          </w:p>
        </w:tc>
        <w:tc>
          <w:tcPr/>
          <w:p>
            <w:pPr>
              <w:pStyle w:val="Compact"/>
              <w:jc w:val="left"/>
            </w:pPr>
            <w:r>
              <w:t xml:space="preserve">$300K/hr average; $14M+ per critical event; 4x cost increase since 2019</w:t>
            </w:r>
          </w:p>
        </w:tc>
        <w:tc>
          <w:tcPr/>
          <w:p>
            <w:pPr>
              <w:pStyle w:val="Compact"/>
              <w:jc w:val="left"/>
            </w:pPr>
            <w:r>
              <w:t xml:space="preserve">Siemens True Cost of Downtime 2024; Oxmaint 2025</w:t>
            </w:r>
          </w:p>
        </w:tc>
        <w:tc>
          <w:tcPr/>
          <w:p>
            <w:pPr>
              <w:pStyle w:val="Compact"/>
              <w:jc w:val="left"/>
            </w:pPr>
            <w:r>
              <w:rPr>
                <w:b/>
                <w:bCs/>
              </w:rPr>
              <w:t xml:space="preserve">AnomalyModelInterface</w:t>
            </w:r>
            <w:r>
              <w:t xml:space="preserve"> </w:t>
            </w:r>
            <w:r>
              <w:t xml:space="preserve">+</w:t>
            </w:r>
            <w:r>
              <w:t xml:space="preserve"> </w:t>
            </w:r>
            <w:r>
              <w:rPr>
                <w:b/>
                <w:bCs/>
              </w:rPr>
              <w:t xml:space="preserve">AgentOrchestratorInterface</w:t>
            </w:r>
            <w:r>
              <w:t xml:space="preserve">: Thermal and mechanical stress prediction, relining optimization, cascade failure prevention</w:t>
            </w:r>
          </w:p>
        </w:tc>
        <w:tc>
          <w:tcPr/>
          <w:p>
            <w:pPr>
              <w:pStyle w:val="Compact"/>
              <w:jc w:val="left"/>
            </w:pPr>
            <w:r>
              <w:t xml:space="preserve">5</w:t>
            </w:r>
          </w:p>
        </w:tc>
      </w:tr>
      <w:tr>
        <w:tc>
          <w:tcPr/>
          <w:p>
            <w:pPr>
              <w:pStyle w:val="Compact"/>
              <w:jc w:val="left"/>
            </w:pPr>
            <w:r>
              <w:t xml:space="preserve">P033</w:t>
            </w:r>
          </w:p>
        </w:tc>
        <w:tc>
          <w:tcPr/>
          <w:p>
            <w:pPr>
              <w:pStyle w:val="Compact"/>
              <w:jc w:val="left"/>
            </w:pPr>
            <w:r>
              <w:t xml:space="preserve">Data Engineer (All Sectors)</w:t>
            </w:r>
          </w:p>
        </w:tc>
        <w:tc>
          <w:tcPr/>
          <w:p>
            <w:pPr>
              <w:pStyle w:val="Compact"/>
              <w:jc w:val="left"/>
            </w:pPr>
            <w:r>
              <w:rPr>
                <w:b/>
                <w:bCs/>
              </w:rPr>
              <w:t xml:space="preserve">Data Utilization Gap:</w:t>
            </w:r>
            <w:r>
              <w:t xml:space="preserve"> </w:t>
            </w:r>
            <w:r>
              <w:t xml:space="preserve">&lt;1% of generated industrial data is analyzed for decision-making. The remaining 99%+ is</w:t>
            </w:r>
            <w:r>
              <w:t xml:space="preserve"> </w:t>
            </w:r>
            <w:r>
              <w:t xml:space="preserve">“</w:t>
            </w:r>
            <w:r>
              <w:t xml:space="preserve">dark data</w:t>
            </w:r>
            <w:r>
              <w:t xml:space="preserve">”</w:t>
            </w:r>
            <w:r>
              <w:t xml:space="preserve"> </w:t>
            </w:r>
            <w:r>
              <w:t xml:space="preserve">— stored but never leveraged.</w:t>
            </w:r>
          </w:p>
        </w:tc>
        <w:tc>
          <w:tcPr/>
          <w:p>
            <w:pPr>
              <w:pStyle w:val="Compact"/>
              <w:jc w:val="left"/>
            </w:pPr>
            <w:r>
              <w:t xml:space="preserve">Basic trending, periodic reporting, ad-hoc analysis, Excel pivot tables</w:t>
            </w:r>
          </w:p>
        </w:tc>
        <w:tc>
          <w:tcPr/>
          <w:p>
            <w:pPr>
              <w:pStyle w:val="Compact"/>
              <w:jc w:val="left"/>
            </w:pPr>
            <w:r>
              <w:t xml:space="preserve">$100B+ in unrealized value across manufacturing; competitive disadvantage vs. data-driven peers</w:t>
            </w:r>
          </w:p>
        </w:tc>
        <w:tc>
          <w:tcPr/>
          <w:p>
            <w:pPr>
              <w:pStyle w:val="Compact"/>
              <w:jc w:val="left"/>
            </w:pPr>
            <w:r>
              <w:t xml:space="preserve">[INFERRED] Based on IBM</w:t>
            </w:r>
            <w:r>
              <w:t xml:space="preserve"> </w:t>
            </w:r>
            <w:r>
              <w:t xml:space="preserve">“</w:t>
            </w:r>
            <w:r>
              <w:t xml:space="preserve">dark data</w:t>
            </w:r>
            <w:r>
              <w:t xml:space="preserve">”</w:t>
            </w:r>
            <w:r>
              <w:t xml:space="preserve"> </w:t>
            </w:r>
            <w:r>
              <w:t xml:space="preserve">research (legacy citation); McKinsey Industry 4.0 studies; validated by current industrial AI adoption gaps</w:t>
            </w:r>
          </w:p>
        </w:tc>
        <w:tc>
          <w:tcPr/>
          <w:p>
            <w:pPr>
              <w:pStyle w:val="Compact"/>
              <w:jc w:val="left"/>
            </w:pPr>
            <w:r>
              <w:rPr>
                <w:b/>
                <w:bCs/>
              </w:rPr>
              <w:t xml:space="preserve">IngestorInterface</w:t>
            </w:r>
            <w:r>
              <w:t xml:space="preserve"> </w:t>
            </w:r>
            <w:r>
              <w:t xml:space="preserve">+</w:t>
            </w:r>
            <w:r>
              <w:t xml:space="preserve"> </w:t>
            </w:r>
            <w:r>
              <w:rPr>
                <w:b/>
                <w:bCs/>
              </w:rPr>
              <w:t xml:space="preserve">FeatureStoreInterface</w:t>
            </w:r>
            <w:r>
              <w:t xml:space="preserve"> </w:t>
            </w:r>
            <w:r>
              <w:t xml:space="preserve">+</w:t>
            </w:r>
            <w:r>
              <w:t xml:space="preserve"> </w:t>
            </w:r>
            <w:r>
              <w:rPr>
                <w:b/>
                <w:bCs/>
              </w:rPr>
              <w:t xml:space="preserve">AnomalyModelInterface</w:t>
            </w:r>
            <w:r>
              <w:t xml:space="preserve">: Systematic feature engineering, automated insight generation, democratized analytics</w:t>
            </w:r>
          </w:p>
        </w:tc>
        <w:tc>
          <w:tcPr/>
          <w:p>
            <w:pPr>
              <w:pStyle w:val="Compact"/>
              <w:jc w:val="left"/>
            </w:pPr>
            <w:r>
              <w:t xml:space="preserve">5</w:t>
            </w:r>
          </w:p>
        </w:tc>
      </w:tr>
      <w:tr>
        <w:tc>
          <w:tcPr/>
          <w:p>
            <w:pPr>
              <w:pStyle w:val="Compact"/>
              <w:jc w:val="left"/>
            </w:pPr>
            <w:r>
              <w:t xml:space="preserve">P034</w:t>
            </w:r>
          </w:p>
        </w:tc>
        <w:tc>
          <w:tcPr/>
          <w:p>
            <w:pPr>
              <w:pStyle w:val="Compact"/>
              <w:jc w:val="left"/>
            </w:pPr>
            <w:r>
              <w:t xml:space="preserve">Maintenance Engineer (All Sectors)</w:t>
            </w:r>
          </w:p>
        </w:tc>
        <w:tc>
          <w:tcPr/>
          <w:p>
            <w:pPr>
              <w:pStyle w:val="Compact"/>
              <w:jc w:val="left"/>
            </w:pPr>
            <w:r>
              <w:rPr>
                <w:b/>
                <w:bCs/>
              </w:rPr>
              <w:t xml:space="preserve">First-Time Fix Rate:</w:t>
            </w:r>
            <w:r>
              <w:t xml:space="preserve"> </w:t>
            </w:r>
            <w:r>
              <w:t xml:space="preserve">Industry average first-time fix rate is 50–65%. Technicians often lack complete context, wrong parts, or incorrect procedures on first visit.</w:t>
            </w:r>
          </w:p>
        </w:tc>
        <w:tc>
          <w:tcPr/>
          <w:p>
            <w:pPr>
              <w:pStyle w:val="Compact"/>
              <w:jc w:val="left"/>
            </w:pPr>
            <w:r>
              <w:t xml:space="preserve">Callback scheduling, parts reordering, additional technician dispatch, trial-and-error</w:t>
            </w:r>
          </w:p>
        </w:tc>
        <w:tc>
          <w:tcPr/>
          <w:p>
            <w:pPr>
              <w:pStyle w:val="Compact"/>
              <w:jc w:val="left"/>
            </w:pPr>
            <w:r>
              <w:t xml:space="preserve">35–50% of maintenance visits require return; $50K–$200K/yr in extra labor and downtime for typical plant</w:t>
            </w:r>
          </w:p>
        </w:tc>
        <w:tc>
          <w:tcPr/>
          <w:p>
            <w:pPr>
              <w:pStyle w:val="Compact"/>
              <w:jc w:val="left"/>
            </w:pPr>
            <w:r>
              <w:t xml:space="preserve">[INFERRED] Based on SMRP maintenance metrics; CMMS first-time fix benchmarks</w:t>
            </w:r>
          </w:p>
        </w:tc>
        <w:tc>
          <w:tcPr/>
          <w:p>
            <w:pPr>
              <w:pStyle w:val="Compact"/>
              <w:jc w:val="left"/>
            </w:pPr>
            <w:r>
              <w:rPr>
                <w:b/>
                <w:bCs/>
              </w:rPr>
              <w:t xml:space="preserve">KnowledgeRetrieverInterface</w:t>
            </w:r>
            <w:r>
              <w:t xml:space="preserve"> </w:t>
            </w:r>
            <w:r>
              <w:t xml:space="preserve">+</w:t>
            </w:r>
            <w:r>
              <w:t xml:space="preserve"> </w:t>
            </w:r>
            <w:r>
              <w:rPr>
                <w:b/>
                <w:bCs/>
              </w:rPr>
              <w:t xml:space="preserve">AgentOrchestratorInterface</w:t>
            </w:r>
            <w:r>
              <w:t xml:space="preserve">: Pre-work briefing with asset history, parts verification, procedure confirmation, outcome tracking</w:t>
            </w:r>
          </w:p>
        </w:tc>
        <w:tc>
          <w:tcPr/>
          <w:p>
            <w:pPr>
              <w:pStyle w:val="Compact"/>
              <w:jc w:val="left"/>
            </w:pPr>
            <w:r>
              <w:t xml:space="preserve">4</w:t>
            </w:r>
          </w:p>
        </w:tc>
      </w:tr>
      <w:tr>
        <w:tc>
          <w:tcPr/>
          <w:p>
            <w:pPr>
              <w:pStyle w:val="Compact"/>
              <w:jc w:val="left"/>
            </w:pPr>
            <w:r>
              <w:t xml:space="preserve">P035</w:t>
            </w:r>
          </w:p>
        </w:tc>
        <w:tc>
          <w:tcPr/>
          <w:p>
            <w:pPr>
              <w:pStyle w:val="Compact"/>
              <w:jc w:val="left"/>
            </w:pPr>
            <w:r>
              <w:t xml:space="preserve">Energy Manager (All Sectors)</w:t>
            </w:r>
          </w:p>
        </w:tc>
        <w:tc>
          <w:tcPr/>
          <w:p>
            <w:pPr>
              <w:pStyle w:val="Compact"/>
              <w:jc w:val="left"/>
            </w:pPr>
            <w:r>
              <w:rPr>
                <w:b/>
                <w:bCs/>
              </w:rPr>
              <w:t xml:space="preserve">Compressed Air System Waste:</w:t>
            </w:r>
            <w:r>
              <w:t xml:space="preserve"> </w:t>
            </w:r>
            <w:r>
              <w:t xml:space="preserve">Compressed air systems typically waste 30–50% of energy through leaks, artificial demand, and poor pressure management. Often the largest SEU in manufacturing.</w:t>
            </w:r>
          </w:p>
        </w:tc>
        <w:tc>
          <w:tcPr/>
          <w:p>
            <w:pPr>
              <w:pStyle w:val="Compact"/>
              <w:jc w:val="left"/>
            </w:pPr>
            <w:r>
              <w:t xml:space="preserve">Periodic leak detection (ultrasonic), manual pressure adjustments, basic flow monitoring</w:t>
            </w:r>
          </w:p>
        </w:tc>
        <w:tc>
          <w:tcPr/>
          <w:p>
            <w:pPr>
              <w:pStyle w:val="Compact"/>
              <w:jc w:val="left"/>
            </w:pPr>
            <w:r>
              <w:t xml:space="preserve">30–50% of compressed air energy wasted; $50K–$500K/yr per plant depending on size</w:t>
            </w:r>
          </w:p>
        </w:tc>
        <w:tc>
          <w:tcPr/>
          <w:p>
            <w:pPr>
              <w:pStyle w:val="Compact"/>
              <w:jc w:val="left"/>
            </w:pPr>
            <w:r>
              <w:t xml:space="preserve">DOE compressed air challenge data; [INFERRED] for percentage ranges</w:t>
            </w:r>
          </w:p>
        </w:tc>
        <w:tc>
          <w:tcPr/>
          <w:p>
            <w:pPr>
              <w:pStyle w:val="Compact"/>
              <w:jc w:val="left"/>
            </w:pPr>
            <w:r>
              <w:rPr>
                <w:b/>
                <w:bCs/>
              </w:rPr>
              <w:t xml:space="preserve">AnomalyModelInterface</w:t>
            </w:r>
            <w:r>
              <w:t xml:space="preserve">: Continuous compressed air monitoring, leak detection algorithms, demand optimization</w:t>
            </w:r>
          </w:p>
        </w:tc>
        <w:tc>
          <w:tcPr/>
          <w:p>
            <w:pPr>
              <w:pStyle w:val="Compact"/>
              <w:jc w:val="left"/>
            </w:pPr>
            <w:r>
              <w:t xml:space="preserve">4</w:t>
            </w:r>
          </w:p>
        </w:tc>
      </w:tr>
    </w:tbl>
    <w:p>
      <w:r>
        <w:pict>
          <v:rect style="width:0;height:1.5pt" o:hralign="center" o:hrstd="t" o:hr="t"/>
        </w:pict>
      </w:r>
    </w:p>
    <w:bookmarkEnd w:id="21"/>
    <w:bookmarkStart w:id="29" w:name="part-b-pain-clustering"/>
    <w:p>
      <w:pPr>
        <w:pStyle w:val="2"/>
      </w:pPr>
      <w:r>
        <w:t xml:space="preserve">PART B: Pain Clustering</w:t>
      </w:r>
    </w:p>
    <w:bookmarkStart w:id="22" w:name="theme-1-the-reactive-maintenance-trap"/>
    <w:p>
      <w:pPr>
        <w:pStyle w:val="3"/>
      </w:pPr>
      <w:r>
        <w:t xml:space="preserve">Theme 1: The Reactive Maintenance Trap</w:t>
      </w:r>
    </w:p>
    <w:p>
      <w:pPr>
        <w:pStyle w:val="FirstParagraph"/>
      </w:pPr>
      <w:r>
        <w:rPr>
          <w:b/>
          <w:bCs/>
        </w:rPr>
        <w:t xml:space="preserve">Description:</w:t>
      </w:r>
      <w:r>
        <w:t xml:space="preserve"> </w:t>
      </w:r>
      <w:r>
        <w:t xml:space="preserve">Organizations are trapped in cycles of reactive firefighting because they cannot predict failures early enough, prioritize work effectively, or capture knowledge from each event to prevent recurrence. This theme encompasses the full spectrum from detection through repair to learning.</w:t>
      </w:r>
      <w:r>
        <w:t xml:space="preserve"> </w:t>
      </w:r>
      <w:r>
        <w:t xml:space="preserve">-</w:t>
      </w:r>
      <w:r>
        <w:t xml:space="preserve"> </w:t>
      </w:r>
      <w:r>
        <w:rPr>
          <w:b/>
          <w:bCs/>
        </w:rPr>
        <w:t xml:space="preserve">Pain IDs:</w:t>
      </w:r>
      <w:r>
        <w:t xml:space="preserve"> </w:t>
      </w:r>
      <w:r>
        <w:t xml:space="preserve">P005, P006, P008, P009, P011, P025, P026, P029, P030, P032, P034</w:t>
      </w:r>
      <w:r>
        <w:t xml:space="preserve"> </w:t>
      </w:r>
      <w:r>
        <w:t xml:space="preserve">-</w:t>
      </w:r>
      <w:r>
        <w:t xml:space="preserve"> </w:t>
      </w:r>
      <w:r>
        <w:rPr>
          <w:b/>
          <w:bCs/>
        </w:rPr>
        <w:t xml:space="preserve">Combined Estimated Annual Impact:</w:t>
      </w:r>
      <w:r>
        <w:t xml:space="preserve"> </w:t>
      </w:r>
      <w:r>
        <w:t xml:space="preserve">$800B–$1.2T globally (unplanned downtime + inflated maintenance costs + shortened asset life)</w:t>
      </w:r>
      <w:r>
        <w:t xml:space="preserve"> </w:t>
      </w:r>
      <w:r>
        <w:t xml:space="preserve">-</w:t>
      </w:r>
      <w:r>
        <w:t xml:space="preserve"> </w:t>
      </w:r>
      <w:r>
        <w:rPr>
          <w:b/>
          <w:bCs/>
        </w:rPr>
        <w:t xml:space="preserve">PlantMind Agents/Features:</w:t>
      </w:r>
      <w:r>
        <w:t xml:space="preserve"> </w:t>
      </w:r>
      <w:r>
        <w:t xml:space="preserve">AnomalyModelInterface (early detection), AgentOrchestratorInterface (automated prioritization &amp; scheduling), KnowledgeRetrieverInterface (historical pattern matching), FeedbackLoopInterface (continuous learning from outcomes)</w:t>
      </w:r>
    </w:p>
    <w:bookmarkEnd w:id="22"/>
    <w:bookmarkStart w:id="23" w:name="X32c2a2634da9437dbb720e12309774a653bfee7"/>
    <w:p>
      <w:pPr>
        <w:pStyle w:val="3"/>
      </w:pPr>
      <w:r>
        <w:t xml:space="preserve">Theme 2: Alarm Overload &amp; Operator Cognitive Collapse</w:t>
      </w:r>
    </w:p>
    <w:p>
      <w:pPr>
        <w:pStyle w:val="FirstParagraph"/>
      </w:pPr>
      <w:r>
        <w:rPr>
          <w:b/>
          <w:bCs/>
        </w:rPr>
        <w:t xml:space="preserve">Description:</w:t>
      </w:r>
      <w:r>
        <w:t xml:space="preserve"> </w:t>
      </w:r>
      <w:r>
        <w:t xml:space="preserve">Industrial control rooms are drowning in alarms that exceed human cognitive capacity by orders of magnitude. The signal-to-noise ratio has inverted, making genuine process safety threats invisible until they escalate.</w:t>
      </w:r>
      <w:r>
        <w:t xml:space="preserve"> </w:t>
      </w:r>
      <w:r>
        <w:t xml:space="preserve">-</w:t>
      </w:r>
      <w:r>
        <w:t xml:space="preserve"> </w:t>
      </w:r>
      <w:r>
        <w:rPr>
          <w:b/>
          <w:bCs/>
        </w:rPr>
        <w:t xml:space="preserve">Pain IDs:</w:t>
      </w:r>
      <w:r>
        <w:t xml:space="preserve"> </w:t>
      </w:r>
      <w:r>
        <w:t xml:space="preserve">P001, P002, P003</w:t>
      </w:r>
      <w:r>
        <w:t xml:space="preserve"> </w:t>
      </w:r>
      <w:r>
        <w:t xml:space="preserve">-</w:t>
      </w:r>
      <w:r>
        <w:t xml:space="preserve"> </w:t>
      </w:r>
      <w:r>
        <w:rPr>
          <w:b/>
          <w:bCs/>
        </w:rPr>
        <w:t xml:space="preserve">Combined Estimated Annual Impact:</w:t>
      </w:r>
      <w:r>
        <w:t xml:space="preserve"> </w:t>
      </w:r>
      <w:r>
        <w:t xml:space="preserve">$200B–$400B globally (downtime + off-spec product + safety incidents)</w:t>
      </w:r>
      <w:r>
        <w:t xml:space="preserve"> </w:t>
      </w:r>
      <w:r>
        <w:t xml:space="preserve">-</w:t>
      </w:r>
      <w:r>
        <w:t xml:space="preserve"> </w:t>
      </w:r>
      <w:r>
        <w:rPr>
          <w:b/>
          <w:bCs/>
        </w:rPr>
        <w:t xml:space="preserve">PlantMind Agents/Features:</w:t>
      </w:r>
      <w:r>
        <w:t xml:space="preserve"> </w:t>
      </w:r>
      <w:r>
        <w:t xml:space="preserve">AnomalyModelInterface (alarm rationalization &amp; clustering), AgentOrchestratorInterface (operator guidance), KnowledgeRetrieverInterface (contextual response procedures)</w:t>
      </w:r>
    </w:p>
    <w:bookmarkEnd w:id="23"/>
    <w:bookmarkStart w:id="24" w:name="X7694353713aabebdf78902518301dc83d10ea87"/>
    <w:p>
      <w:pPr>
        <w:pStyle w:val="3"/>
      </w:pPr>
      <w:r>
        <w:t xml:space="preserve">Theme 3: Knowledge Silos &amp; Tribal Knowledge Exodus</w:t>
      </w:r>
    </w:p>
    <w:p>
      <w:pPr>
        <w:pStyle w:val="FirstParagraph"/>
      </w:pPr>
      <w:r>
        <w:rPr>
          <w:b/>
          <w:bCs/>
        </w:rPr>
        <w:t xml:space="preserve">Description:</w:t>
      </w:r>
      <w:r>
        <w:t xml:space="preserve"> </w:t>
      </w:r>
      <w:r>
        <w:t xml:space="preserve">Decades of operational expertise are walking out the door with retiring workers. What remains is fragmented across paper, CMMS, DCS, and individual memory — unsearchable, unconnected, and decaying.</w:t>
      </w:r>
      <w:r>
        <w:t xml:space="preserve"> </w:t>
      </w:r>
      <w:r>
        <w:t xml:space="preserve">-</w:t>
      </w:r>
      <w:r>
        <w:t xml:space="preserve"> </w:t>
      </w:r>
      <w:r>
        <w:rPr>
          <w:b/>
          <w:bCs/>
        </w:rPr>
        <w:t xml:space="preserve">Pain IDs:</w:t>
      </w:r>
      <w:r>
        <w:t xml:space="preserve"> </w:t>
      </w:r>
      <w:r>
        <w:t xml:space="preserve">P004, P007, P010, P018</w:t>
      </w:r>
      <w:r>
        <w:t xml:space="preserve"> </w:t>
      </w:r>
      <w:r>
        <w:t xml:space="preserve">-</w:t>
      </w:r>
      <w:r>
        <w:t xml:space="preserve"> </w:t>
      </w:r>
      <w:r>
        <w:rPr>
          <w:b/>
          <w:bCs/>
        </w:rPr>
        <w:t xml:space="preserve">Combined Estimated Annual Impact:</w:t>
      </w:r>
      <w:r>
        <w:t xml:space="preserve"> </w:t>
      </w:r>
      <w:r>
        <w:t xml:space="preserve">$47M/yr per large business (direct knowledge transfer cost); $100B+ industry-wide in lost productivity and repeated mistakes</w:t>
      </w:r>
      <w:r>
        <w:t xml:space="preserve"> </w:t>
      </w:r>
      <w:r>
        <w:t xml:space="preserve">-</w:t>
      </w:r>
      <w:r>
        <w:t xml:space="preserve"> </w:t>
      </w:r>
      <w:r>
        <w:rPr>
          <w:b/>
          <w:bCs/>
        </w:rPr>
        <w:t xml:space="preserve">PlantMind Agents/Features:</w:t>
      </w:r>
      <w:r>
        <w:t xml:space="preserve"> </w:t>
      </w:r>
      <w:r>
        <w:t xml:space="preserve">KnowledgeRetrieverInterface (vector search across all knowledge sources), FeedbackLoopInterface (capture decisions and outcomes), GovernanceInterface (lineage and auditability)</w:t>
      </w:r>
    </w:p>
    <w:bookmarkEnd w:id="24"/>
    <w:bookmarkStart w:id="25" w:name="theme-4-the-data-utilization-chasm"/>
    <w:p>
      <w:pPr>
        <w:pStyle w:val="3"/>
      </w:pPr>
      <w:r>
        <w:t xml:space="preserve">Theme 4: The Data Utilization Chasm</w:t>
      </w:r>
    </w:p>
    <w:p>
      <w:pPr>
        <w:pStyle w:val="FirstParagraph"/>
      </w:pPr>
      <w:r>
        <w:rPr>
          <w:b/>
          <w:bCs/>
        </w:rPr>
        <w:t xml:space="preserve">Description:</w:t>
      </w:r>
      <w:r>
        <w:t xml:space="preserve"> </w:t>
      </w:r>
      <w:r>
        <w:t xml:space="preserve">Industrial facilities generate petabytes of data but analyze less than 1%. The remaining 99%+ is dark data — stored at cost but never leveraged for insight. Data quality issues, integration barriers, and historian limitations compound the problem.</w:t>
      </w:r>
      <w:r>
        <w:t xml:space="preserve"> </w:t>
      </w:r>
      <w:r>
        <w:t xml:space="preserve">-</w:t>
      </w:r>
      <w:r>
        <w:t xml:space="preserve"> </w:t>
      </w:r>
      <w:r>
        <w:rPr>
          <w:b/>
          <w:bCs/>
        </w:rPr>
        <w:t xml:space="preserve">Pain IDs:</w:t>
      </w:r>
      <w:r>
        <w:t xml:space="preserve"> </w:t>
      </w:r>
      <w:r>
        <w:t xml:space="preserve">P022, P023, P024, P033</w:t>
      </w:r>
      <w:r>
        <w:t xml:space="preserve"> </w:t>
      </w:r>
      <w:r>
        <w:t xml:space="preserve">-</w:t>
      </w:r>
      <w:r>
        <w:t xml:space="preserve"> </w:t>
      </w:r>
      <w:r>
        <w:rPr>
          <w:b/>
          <w:bCs/>
        </w:rPr>
        <w:t xml:space="preserve">Combined Estimated Annual Impact:</w:t>
      </w:r>
      <w:r>
        <w:t xml:space="preserve"> </w:t>
      </w:r>
      <w:r>
        <w:t xml:space="preserve">$100B+ in unrealized value; $5–20M/yr per large plant in missed optimization opportunities</w:t>
      </w:r>
      <w:r>
        <w:t xml:space="preserve"> </w:t>
      </w:r>
      <w:r>
        <w:t xml:space="preserve">-</w:t>
      </w:r>
      <w:r>
        <w:t xml:space="preserve"> </w:t>
      </w:r>
      <w:r>
        <w:rPr>
          <w:b/>
          <w:bCs/>
        </w:rPr>
        <w:t xml:space="preserve">PlantMind Agents/Features:</w:t>
      </w:r>
      <w:r>
        <w:t xml:space="preserve"> </w:t>
      </w:r>
      <w:r>
        <w:t xml:space="preserve">IngestorInterface (standardized multi-source ingestion), FeatureStoreInterface (systematic feature engineering), GovernanceInterface (data quality &amp; lineage)</w:t>
      </w:r>
    </w:p>
    <w:bookmarkEnd w:id="25"/>
    <w:bookmarkStart w:id="26" w:name="theme-5-energy-waste-regulatory-pressure"/>
    <w:p>
      <w:pPr>
        <w:pStyle w:val="3"/>
      </w:pPr>
      <w:r>
        <w:t xml:space="preserve">Theme 5: Energy Waste &amp; Regulatory Pressure</w:t>
      </w:r>
    </w:p>
    <w:p>
      <w:pPr>
        <w:pStyle w:val="FirstParagraph"/>
      </w:pPr>
      <w:r>
        <w:rPr>
          <w:b/>
          <w:bCs/>
        </w:rPr>
        <w:t xml:space="preserve">Description:</w:t>
      </w:r>
      <w:r>
        <w:t xml:space="preserve"> </w:t>
      </w:r>
      <w:r>
        <w:t xml:space="preserve">Significant energy waste goes undetected in process plants while regulatory requirements (EU ETS, SEC disclosure, ISO 50001) demand increasingly granular reporting. Plants lack the real-time visibility to detect anomalies or defend compliance.</w:t>
      </w:r>
      <w:r>
        <w:t xml:space="preserve"> </w:t>
      </w:r>
      <w:r>
        <w:t xml:space="preserve">-</w:t>
      </w:r>
      <w:r>
        <w:t xml:space="preserve"> </w:t>
      </w:r>
      <w:r>
        <w:rPr>
          <w:b/>
          <w:bCs/>
        </w:rPr>
        <w:t xml:space="preserve">Pain IDs:</w:t>
      </w:r>
      <w:r>
        <w:t xml:space="preserve"> </w:t>
      </w:r>
      <w:r>
        <w:t xml:space="preserve">P012, P013, P014, P027, P035</w:t>
      </w:r>
      <w:r>
        <w:t xml:space="preserve"> </w:t>
      </w:r>
      <w:r>
        <w:t xml:space="preserve">-</w:t>
      </w:r>
      <w:r>
        <w:t xml:space="preserve"> </w:t>
      </w:r>
      <w:r>
        <w:rPr>
          <w:b/>
          <w:bCs/>
        </w:rPr>
        <w:t xml:space="preserve">Combined Estimated Annual Impact:</w:t>
      </w:r>
      <w:r>
        <w:t xml:space="preserve"> </w:t>
      </w:r>
      <w:r>
        <w:t xml:space="preserve">$50–100B/yr industry-wide in detectable energy waste; $2–10M/yr per plant in compliance and penalty costs</w:t>
      </w:r>
      <w:r>
        <w:t xml:space="preserve"> </w:t>
      </w:r>
      <w:r>
        <w:t xml:space="preserve">-</w:t>
      </w:r>
      <w:r>
        <w:t xml:space="preserve"> </w:t>
      </w:r>
      <w:r>
        <w:rPr>
          <w:b/>
          <w:bCs/>
        </w:rPr>
        <w:t xml:space="preserve">PlantMind Agents/Features:</w:t>
      </w:r>
      <w:r>
        <w:t xml:space="preserve"> </w:t>
      </w:r>
      <w:r>
        <w:t xml:space="preserve">AnomalyModelInterface (energy anomaly detection), FeatureStoreInterface (normalized EnPI tracking), GovernanceInterface (automated compliance reporting)</w:t>
      </w:r>
    </w:p>
    <w:bookmarkEnd w:id="26"/>
    <w:bookmarkStart w:id="27" w:name="theme-6-quality-cost-erosion"/>
    <w:p>
      <w:pPr>
        <w:pStyle w:val="3"/>
      </w:pPr>
      <w:r>
        <w:t xml:space="preserve">Theme 6: Quality Cost Erosion</w:t>
      </w:r>
    </w:p>
    <w:p>
      <w:pPr>
        <w:pStyle w:val="FirstParagraph"/>
      </w:pPr>
      <w:r>
        <w:rPr>
          <w:b/>
          <w:bCs/>
        </w:rPr>
        <w:t xml:space="preserve">Description:</w:t>
      </w:r>
      <w:r>
        <w:t xml:space="preserve"> </w:t>
      </w:r>
      <w:r>
        <w:t xml:space="preserve">Poor quality costs manufacturers 5–35% of revenue, with most costs hidden in rework, warranty, and lost customers. Defects are caught too late, root cause analysis is too slow, and golden batch knowledge is lost.</w:t>
      </w:r>
      <w:r>
        <w:t xml:space="preserve"> </w:t>
      </w:r>
      <w:r>
        <w:t xml:space="preserve">-</w:t>
      </w:r>
      <w:r>
        <w:t xml:space="preserve"> </w:t>
      </w:r>
      <w:r>
        <w:rPr>
          <w:b/>
          <w:bCs/>
        </w:rPr>
        <w:t xml:space="preserve">Pain IDs:</w:t>
      </w:r>
      <w:r>
        <w:t xml:space="preserve"> </w:t>
      </w:r>
      <w:r>
        <w:t xml:space="preserve">P015, P016, P017, P018, P028</w:t>
      </w:r>
      <w:r>
        <w:t xml:space="preserve"> </w:t>
      </w:r>
      <w:r>
        <w:t xml:space="preserve">-</w:t>
      </w:r>
      <w:r>
        <w:t xml:space="preserve"> </w:t>
      </w:r>
      <w:r>
        <w:rPr>
          <w:b/>
          <w:bCs/>
        </w:rPr>
        <w:t xml:space="preserve">Combined Estimated Annual Impact:</w:t>
      </w:r>
      <w:r>
        <w:t xml:space="preserve"> </w:t>
      </w:r>
      <w:r>
        <w:t xml:space="preserve">$500B–$1T globally (COPQ across manufacturing); $25–75M/yr per $500M-revenue plant</w:t>
      </w:r>
      <w:r>
        <w:t xml:space="preserve"> </w:t>
      </w:r>
      <w:r>
        <w:t xml:space="preserve">-</w:t>
      </w:r>
      <w:r>
        <w:t xml:space="preserve"> </w:t>
      </w:r>
      <w:r>
        <w:rPr>
          <w:b/>
          <w:bCs/>
        </w:rPr>
        <w:t xml:space="preserve">PlantMind Agents/Features:</w:t>
      </w:r>
      <w:r>
        <w:t xml:space="preserve"> </w:t>
      </w:r>
      <w:r>
        <w:t xml:space="preserve">AnomalyModelInterface (in-process defect prediction), FeatureStoreInterface (real-time quality tracking), KnowledgeRetrieverInterface (automated RCA), FeedbackLoopInterface (golden batch learning)</w:t>
      </w:r>
    </w:p>
    <w:bookmarkEnd w:id="27"/>
    <w:bookmarkStart w:id="28" w:name="X1d86de2e589dcc02d4e8317bb290c60b6b3afa4"/>
    <w:p>
      <w:pPr>
        <w:pStyle w:val="3"/>
      </w:pPr>
      <w:r>
        <w:t xml:space="preserve">Theme 7: Production &amp; Financial Visibility Gap</w:t>
      </w:r>
    </w:p>
    <w:p>
      <w:pPr>
        <w:pStyle w:val="FirstParagraph"/>
      </w:pPr>
      <w:r>
        <w:rPr>
          <w:b/>
          <w:bCs/>
        </w:rPr>
        <w:t xml:space="preserve">Description:</w:t>
      </w:r>
      <w:r>
        <w:t xml:space="preserve"> </w:t>
      </w:r>
      <w:r>
        <w:t xml:space="preserve">Operations managers lack real-time visibility into the true cost of downtime, OEE losses, and production recovery requirements. Decisions are made on lagging indicators while the plant burns cash in real-time.</w:t>
      </w:r>
      <w:r>
        <w:t xml:space="preserve"> </w:t>
      </w:r>
      <w:r>
        <w:t xml:space="preserve">-</w:t>
      </w:r>
      <w:r>
        <w:t xml:space="preserve"> </w:t>
      </w:r>
      <w:r>
        <w:rPr>
          <w:b/>
          <w:bCs/>
        </w:rPr>
        <w:t xml:space="preserve">Pain IDs:</w:t>
      </w:r>
      <w:r>
        <w:t xml:space="preserve"> </w:t>
      </w:r>
      <w:r>
        <w:t xml:space="preserve">P019, P020, P021</w:t>
      </w:r>
      <w:r>
        <w:t xml:space="preserve"> </w:t>
      </w:r>
      <w:r>
        <w:t xml:space="preserve">-</w:t>
      </w:r>
      <w:r>
        <w:t xml:space="preserve"> </w:t>
      </w:r>
      <w:r>
        <w:rPr>
          <w:b/>
          <w:bCs/>
        </w:rPr>
        <w:t xml:space="preserve">Combined Estimated Annual Impact:</w:t>
      </w:r>
      <w:r>
        <w:t xml:space="preserve"> </w:t>
      </w:r>
      <w:r>
        <w:t xml:space="preserve">$1.4T/yr (Fortune Global 500 downtime cost); $50B/yr (US manufacturing)</w:t>
      </w:r>
      <w:r>
        <w:t xml:space="preserve"> </w:t>
      </w:r>
      <w:r>
        <w:t xml:space="preserve">-</w:t>
      </w:r>
      <w:r>
        <w:t xml:space="preserve"> </w:t>
      </w:r>
      <w:r>
        <w:rPr>
          <w:b/>
          <w:bCs/>
        </w:rPr>
        <w:t xml:space="preserve">PlantMind Agents/Features:</w:t>
      </w:r>
      <w:r>
        <w:t xml:space="preserve"> </w:t>
      </w:r>
      <w:r>
        <w:t xml:space="preserve">FeatureStoreInterface (real-time OEE &amp; cost tracking), AgentOrchestratorInterface (production recovery optimization), AnomalyModelInterface (predictive downtime prevention)</w:t>
      </w:r>
    </w:p>
    <w:p>
      <w:r>
        <w:pict>
          <v:rect style="width:0;height:1.5pt" o:hralign="center" o:hrstd="t" o:hr="t"/>
        </w:pict>
      </w:r>
    </w:p>
    <w:bookmarkEnd w:id="28"/>
    <w:bookmarkEnd w:id="29"/>
    <w:bookmarkStart w:id="31" w:name="part-c-top-10-most-valuable-pain-points"/>
    <w:p>
      <w:pPr>
        <w:pStyle w:val="2"/>
      </w:pPr>
      <w:r>
        <w:t xml:space="preserve">PART C: Top 10 Most Valuable Pain Points</w:t>
      </w:r>
    </w:p>
    <w:bookmarkStart w:id="30" w:name="ranking-methodology"/>
    <w:p>
      <w:pPr>
        <w:pStyle w:val="3"/>
      </w:pPr>
      <w:r>
        <w:t xml:space="preserve">Ranking Methodology</w:t>
      </w:r>
    </w:p>
    <w:p>
      <w:pPr>
        <w:pStyle w:val="FirstParagraph"/>
      </w:pPr>
      <w:r>
        <w:rPr>
          <w:b/>
          <w:bCs/>
        </w:rPr>
        <w:t xml:space="preserve">Score = Severity × Financial Impact × Frequency × Solvability</w:t>
      </w:r>
    </w:p>
    <w:tbl>
      <w:tblPr>
        <w:tblStyle w:val="Table"/>
        <w:tblW w:type="pct" w:w="5000"/>
        <w:jc w:val="left"/>
        <w:tblLayout w:type="fixed"/>
        <w:tblLook w:firstRow="1" w:lastRow="0" w:firstColumn="0" w:lastColumn="0" w:noHBand="0" w:noVBand="0" w:val="0020"/>
      </w:tblPr>
      <w:tblGrid>
        <w:gridCol w:w="533"/>
        <w:gridCol w:w="800"/>
        <w:gridCol w:w="1601"/>
        <w:gridCol w:w="1868"/>
        <w:gridCol w:w="3114"/>
      </w:tblGrid>
      <w:tr>
        <w:trPr>
          <w:tblHeader w:val="on"/>
        </w:trPr>
        <w:tc>
          <w:tcPr/>
          <w:p>
            <w:pPr>
              <w:pStyle w:val="Compact"/>
              <w:jc w:val="left"/>
            </w:pPr>
            <w:r>
              <w:t xml:space="preserve">Rank</w:t>
            </w:r>
          </w:p>
        </w:tc>
        <w:tc>
          <w:tcPr/>
          <w:p>
            <w:pPr>
              <w:pStyle w:val="Compact"/>
              <w:jc w:val="left"/>
            </w:pPr>
            <w:r>
              <w:t xml:space="preserve">Pain_ID</w:t>
            </w:r>
          </w:p>
        </w:tc>
        <w:tc>
          <w:tcPr/>
          <w:p>
            <w:pPr>
              <w:pStyle w:val="Compact"/>
              <w:jc w:val="left"/>
            </w:pPr>
            <w:r>
              <w:t xml:space="preserve">Pain Description</w:t>
            </w:r>
          </w:p>
        </w:tc>
        <w:tc>
          <w:tcPr/>
          <w:p>
            <w:pPr>
              <w:pStyle w:val="Compact"/>
              <w:jc w:val="left"/>
            </w:pPr>
            <w:r>
              <w:t xml:space="preserve">Score Justification</w:t>
            </w:r>
          </w:p>
        </w:tc>
        <w:tc>
          <w:tcPr/>
          <w:p>
            <w:pPr>
              <w:pStyle w:val="Compact"/>
              <w:jc w:val="left"/>
            </w:pPr>
            <w:r>
              <w:t xml:space="preserve">Why PlantMind Is Better Positioned</w:t>
            </w:r>
          </w:p>
        </w:tc>
      </w:tr>
      <w:tr>
        <w:tc>
          <w:tcPr/>
          <w:p>
            <w:pPr>
              <w:pStyle w:val="Compact"/>
              <w:jc w:val="left"/>
            </w:pPr>
            <w:r>
              <w:t xml:space="preserve">1</w:t>
            </w:r>
          </w:p>
        </w:tc>
        <w:tc>
          <w:tcPr/>
          <w:p>
            <w:pPr>
              <w:pStyle w:val="Compact"/>
              <w:jc w:val="left"/>
            </w:pPr>
            <w:r>
              <w:t xml:space="preserve">P001</w:t>
            </w:r>
          </w:p>
        </w:tc>
        <w:tc>
          <w:tcPr/>
          <w:p>
            <w:pPr>
              <w:pStyle w:val="Compact"/>
              <w:jc w:val="left"/>
            </w:pPr>
            <w:r>
              <w:t xml:space="preserve">Alarm Flood Overload</w:t>
            </w:r>
          </w:p>
        </w:tc>
        <w:tc>
          <w:tcPr/>
          <w:p>
            <w:pPr>
              <w:pStyle w:val="Compact"/>
              <w:jc w:val="left"/>
            </w:pPr>
            <w:r>
              <w:t xml:space="preserve">Severity 5 × $260K–$500K/hr × Daily occurrence × High solvability with AI clustering</w:t>
            </w:r>
          </w:p>
        </w:tc>
        <w:tc>
          <w:tcPr/>
          <w:p>
            <w:pPr>
              <w:pStyle w:val="Compact"/>
              <w:jc w:val="left"/>
            </w:pPr>
            <w:r>
              <w:t xml:space="preserve">Unlike point alarm management tools, PlantMind integrates alarm rationalization with knowledge retrieval and automated operator guidance in a unified agentic framework. Databricks-native vector search enables semantic alarm similarity matching at scale.</w:t>
            </w:r>
          </w:p>
        </w:tc>
      </w:tr>
      <w:tr>
        <w:tc>
          <w:tcPr/>
          <w:p>
            <w:pPr>
              <w:pStyle w:val="Compact"/>
              <w:jc w:val="left"/>
            </w:pPr>
            <w:r>
              <w:t xml:space="preserve">2</w:t>
            </w:r>
          </w:p>
        </w:tc>
        <w:tc>
          <w:tcPr/>
          <w:p>
            <w:pPr>
              <w:pStyle w:val="Compact"/>
              <w:jc w:val="left"/>
            </w:pPr>
            <w:r>
              <w:t xml:space="preserve">P005</w:t>
            </w:r>
          </w:p>
        </w:tc>
        <w:tc>
          <w:tcPr/>
          <w:p>
            <w:pPr>
              <w:pStyle w:val="Compact"/>
              <w:jc w:val="left"/>
            </w:pPr>
            <w:r>
              <w:t xml:space="preserve">Reactive Failure Detection</w:t>
            </w:r>
          </w:p>
        </w:tc>
        <w:tc>
          <w:tcPr/>
          <w:p>
            <w:pPr>
              <w:pStyle w:val="Compact"/>
              <w:jc w:val="left"/>
            </w:pPr>
            <w:r>
              <w:t xml:space="preserve">Severity 5 × $1.4T global/yr × Continuous occurrence × High solvability with predictive models</w:t>
            </w:r>
          </w:p>
        </w:tc>
        <w:tc>
          <w:tcPr/>
          <w:p>
            <w:pPr>
              <w:pStyle w:val="Compact"/>
              <w:jc w:val="left"/>
            </w:pPr>
            <w:r>
              <w:t xml:space="preserve">PlantMind’s multi-variate AnomalyModelInterface goes beyond single-sensor thresholds. Native Databricks MLflow integration enables continuous model retraining. Framework design allows model portability across historian platforms.</w:t>
            </w:r>
          </w:p>
        </w:tc>
      </w:tr>
      <w:tr>
        <w:tc>
          <w:tcPr/>
          <w:p>
            <w:pPr>
              <w:pStyle w:val="Compact"/>
              <w:jc w:val="left"/>
            </w:pPr>
            <w:r>
              <w:t xml:space="preserve">3</w:t>
            </w:r>
          </w:p>
        </w:tc>
        <w:tc>
          <w:tcPr/>
          <w:p>
            <w:pPr>
              <w:pStyle w:val="Compact"/>
              <w:jc w:val="left"/>
            </w:pPr>
            <w:r>
              <w:t xml:space="preserve">P019</w:t>
            </w:r>
          </w:p>
        </w:tc>
        <w:tc>
          <w:tcPr/>
          <w:p>
            <w:pPr>
              <w:pStyle w:val="Compact"/>
              <w:jc w:val="left"/>
            </w:pPr>
            <w:r>
              <w:t xml:space="preserve">Unplanned Downtime Board Risk</w:t>
            </w:r>
          </w:p>
        </w:tc>
        <w:tc>
          <w:tcPr/>
          <w:p>
            <w:pPr>
              <w:pStyle w:val="Compact"/>
              <w:jc w:val="left"/>
            </w:pPr>
            <w:r>
              <w:t xml:space="preserve">Severity 5 × $129M/yr per plant × Monthly+ occurrence × High solvability with prediction</w:t>
            </w:r>
          </w:p>
        </w:tc>
        <w:tc>
          <w:tcPr/>
          <w:p>
            <w:pPr>
              <w:pStyle w:val="Compact"/>
              <w:jc w:val="left"/>
            </w:pPr>
            <w:r>
              <w:t xml:space="preserve">PlantMind uniquely combines prediction (AnomalyModel), orchestration (AgentOrchestrator), and learning (FeedbackLoop) in one framework. Competitors offer point solutions; PlantMind offers systemic prevention.</w:t>
            </w:r>
          </w:p>
        </w:tc>
      </w:tr>
      <w:tr>
        <w:tc>
          <w:tcPr/>
          <w:p>
            <w:pPr>
              <w:pStyle w:val="Compact"/>
              <w:jc w:val="left"/>
            </w:pPr>
            <w:r>
              <w:t xml:space="preserve">4</w:t>
            </w:r>
          </w:p>
        </w:tc>
        <w:tc>
          <w:tcPr/>
          <w:p>
            <w:pPr>
              <w:pStyle w:val="Compact"/>
              <w:jc w:val="left"/>
            </w:pPr>
            <w:r>
              <w:t xml:space="preserve">P015</w:t>
            </w:r>
          </w:p>
        </w:tc>
        <w:tc>
          <w:tcPr/>
          <w:p>
            <w:pPr>
              <w:pStyle w:val="Compact"/>
              <w:jc w:val="left"/>
            </w:pPr>
            <w:r>
              <w:t xml:space="preserve">Late Defect Detection (COPQ)</w:t>
            </w:r>
          </w:p>
        </w:tc>
        <w:tc>
          <w:tcPr/>
          <w:p>
            <w:pPr>
              <w:pStyle w:val="Compact"/>
              <w:jc w:val="left"/>
            </w:pPr>
            <w:r>
              <w:t xml:space="preserve">Severity 5 × 5–35% of revenue × Per-batch occurrence × Medium-High solvability</w:t>
            </w:r>
          </w:p>
        </w:tc>
        <w:tc>
          <w:tcPr/>
          <w:p>
            <w:pPr>
              <w:pStyle w:val="Compact"/>
              <w:jc w:val="left"/>
            </w:pPr>
            <w:r>
              <w:t xml:space="preserve">PlantMind’s in-process quality prediction leverages Feature Store for point-in-time correctness — critical for causal quality modeling. Vector search enables rapid historical pattern matching for RCA.</w:t>
            </w:r>
          </w:p>
        </w:tc>
      </w:tr>
      <w:tr>
        <w:tc>
          <w:tcPr/>
          <w:p>
            <w:pPr>
              <w:pStyle w:val="Compact"/>
              <w:jc w:val="left"/>
            </w:pPr>
            <w:r>
              <w:t xml:space="preserve">5</w:t>
            </w:r>
          </w:p>
        </w:tc>
        <w:tc>
          <w:tcPr/>
          <w:p>
            <w:pPr>
              <w:pStyle w:val="Compact"/>
              <w:jc w:val="left"/>
            </w:pPr>
            <w:r>
              <w:t xml:space="preserve">P004</w:t>
            </w:r>
          </w:p>
        </w:tc>
        <w:tc>
          <w:tcPr/>
          <w:p>
            <w:pPr>
              <w:pStyle w:val="Compact"/>
              <w:jc w:val="left"/>
            </w:pPr>
            <w:r>
              <w:t xml:space="preserve">Knowledge Exodus</w:t>
            </w:r>
          </w:p>
        </w:tc>
        <w:tc>
          <w:tcPr/>
          <w:p>
            <w:pPr>
              <w:pStyle w:val="Compact"/>
              <w:jc w:val="left"/>
            </w:pPr>
            <w:r>
              <w:t xml:space="preserve">Severity 5 × $47M/yr per large business × Accelerating occurrence × Medium solvability</w:t>
            </w:r>
          </w:p>
        </w:tc>
        <w:tc>
          <w:tcPr/>
          <w:p>
            <w:pPr>
              <w:pStyle w:val="Compact"/>
              <w:jc w:val="left"/>
            </w:pPr>
            <w:r>
              <w:t xml:space="preserve">PlantMind’s KnowledgeRetrieverInterface with vector search + foundation models turns tribal knowledge into searchable, explainable institutional memory. Databricks Vector Search + Mosaic AI provides best-in-class retrieval.</w:t>
            </w:r>
          </w:p>
        </w:tc>
      </w:tr>
      <w:tr>
        <w:tc>
          <w:tcPr/>
          <w:p>
            <w:pPr>
              <w:pStyle w:val="Compact"/>
              <w:jc w:val="left"/>
            </w:pPr>
            <w:r>
              <w:t xml:space="preserve">6</w:t>
            </w:r>
          </w:p>
        </w:tc>
        <w:tc>
          <w:tcPr/>
          <w:p>
            <w:pPr>
              <w:pStyle w:val="Compact"/>
              <w:jc w:val="left"/>
            </w:pPr>
            <w:r>
              <w:t xml:space="preserve">P013</w:t>
            </w:r>
          </w:p>
        </w:tc>
        <w:tc>
          <w:tcPr/>
          <w:p>
            <w:pPr>
              <w:pStyle w:val="Compact"/>
              <w:jc w:val="left"/>
            </w:pPr>
            <w:r>
              <w:t xml:space="preserve">Undetected Energy Anomalies</w:t>
            </w:r>
          </w:p>
        </w:tc>
        <w:tc>
          <w:tcPr/>
          <w:p>
            <w:pPr>
              <w:pStyle w:val="Compact"/>
              <w:jc w:val="left"/>
            </w:pPr>
            <w:r>
              <w:t xml:space="preserve">Severity 5 × $50–100M/yr per plant × Continuous occurrence × High solvability</w:t>
            </w:r>
          </w:p>
        </w:tc>
        <w:tc>
          <w:tcPr/>
          <w:p>
            <w:pPr>
              <w:pStyle w:val="Compact"/>
              <w:jc w:val="left"/>
            </w:pPr>
            <w:r>
              <w:t xml:space="preserve">PlantMind correlates energy data with process context (production rate, ambient conditions, equipment state) via Feature Store — energy-only tools miss the process relationship.</w:t>
            </w:r>
          </w:p>
        </w:tc>
      </w:tr>
      <w:tr>
        <w:tc>
          <w:tcPr/>
          <w:p>
            <w:pPr>
              <w:pStyle w:val="Compact"/>
              <w:jc w:val="left"/>
            </w:pPr>
            <w:r>
              <w:t xml:space="preserve">7</w:t>
            </w:r>
          </w:p>
        </w:tc>
        <w:tc>
          <w:tcPr/>
          <w:p>
            <w:pPr>
              <w:pStyle w:val="Compact"/>
              <w:jc w:val="left"/>
            </w:pPr>
            <w:r>
              <w:t xml:space="preserve">P006</w:t>
            </w:r>
          </w:p>
        </w:tc>
        <w:tc>
          <w:tcPr/>
          <w:p>
            <w:pPr>
              <w:pStyle w:val="Compact"/>
              <w:jc w:val="left"/>
            </w:pPr>
            <w:r>
              <w:t xml:space="preserve">High MTTD/MTTR</w:t>
            </w:r>
          </w:p>
        </w:tc>
        <w:tc>
          <w:tcPr/>
          <w:p>
            <w:pPr>
              <w:pStyle w:val="Compact"/>
              <w:jc w:val="left"/>
            </w:pPr>
            <w:r>
              <w:t xml:space="preserve">Severity 5 × $45K–$180K/event × Weekly occurrence × High solvability</w:t>
            </w:r>
          </w:p>
        </w:tc>
        <w:tc>
          <w:tcPr/>
          <w:p>
            <w:pPr>
              <w:pStyle w:val="Compact"/>
              <w:jc w:val="left"/>
            </w:pPr>
            <w:r>
              <w:t xml:space="preserve">PlantMind’s 7–21 day advance warning (vs. days-to-weeks MTTD) is a paradigm shift. Automated work order generation with parts+procedures eliminates the MTTR gap.</w:t>
            </w:r>
          </w:p>
        </w:tc>
      </w:tr>
      <w:tr>
        <w:tc>
          <w:tcPr/>
          <w:p>
            <w:pPr>
              <w:pStyle w:val="Compact"/>
              <w:jc w:val="left"/>
            </w:pPr>
            <w:r>
              <w:t xml:space="preserve">8</w:t>
            </w:r>
          </w:p>
        </w:tc>
        <w:tc>
          <w:tcPr/>
          <w:p>
            <w:pPr>
              <w:pStyle w:val="Compact"/>
              <w:jc w:val="left"/>
            </w:pPr>
            <w:r>
              <w:t xml:space="preserve">P033</w:t>
            </w:r>
          </w:p>
        </w:tc>
        <w:tc>
          <w:tcPr/>
          <w:p>
            <w:pPr>
              <w:pStyle w:val="Compact"/>
              <w:jc w:val="left"/>
            </w:pPr>
            <w:r>
              <w:t xml:space="preserve">Data Utilization Gap</w:t>
            </w:r>
          </w:p>
        </w:tc>
        <w:tc>
          <w:tcPr/>
          <w:p>
            <w:pPr>
              <w:pStyle w:val="Compact"/>
              <w:jc w:val="left"/>
            </w:pPr>
            <w:r>
              <w:t xml:space="preserve">Severity 5 × $100B+ global × Continuous occurrence × Medium solvability</w:t>
            </w:r>
          </w:p>
        </w:tc>
        <w:tc>
          <w:tcPr/>
          <w:p>
            <w:pPr>
              <w:pStyle w:val="Compact"/>
              <w:jc w:val="left"/>
            </w:pPr>
            <w:r>
              <w:t xml:space="preserve">PlantMind’s lakehouse architecture (Delta Lake + Unity Catalog) systematically unlocks dark data. Auto Loader + DLT handle the scale that breaks legacy approaches. Framework Layer 0 ensures portability.</w:t>
            </w:r>
          </w:p>
        </w:tc>
      </w:tr>
      <w:tr>
        <w:tc>
          <w:tcPr/>
          <w:p>
            <w:pPr>
              <w:pStyle w:val="Compact"/>
              <w:jc w:val="left"/>
            </w:pPr>
            <w:r>
              <w:t xml:space="preserve">9</w:t>
            </w:r>
          </w:p>
        </w:tc>
        <w:tc>
          <w:tcPr/>
          <w:p>
            <w:pPr>
              <w:pStyle w:val="Compact"/>
              <w:jc w:val="left"/>
            </w:pPr>
            <w:r>
              <w:t xml:space="preserve">P011</w:t>
            </w:r>
          </w:p>
        </w:tc>
        <w:tc>
          <w:tcPr/>
          <w:p>
            <w:pPr>
              <w:pStyle w:val="Compact"/>
              <w:jc w:val="left"/>
            </w:pPr>
            <w:r>
              <w:t xml:space="preserve">Symptom-Fixing vs. Root Cause</w:t>
            </w:r>
          </w:p>
        </w:tc>
        <w:tc>
          <w:tcPr/>
          <w:p>
            <w:pPr>
              <w:pStyle w:val="Compact"/>
              <w:jc w:val="left"/>
            </w:pPr>
            <w:r>
              <w:t xml:space="preserve">Severity 5 × 15–30% maintenance inflation × Per-repair occurrence × Medium solvability</w:t>
            </w:r>
          </w:p>
        </w:tc>
        <w:tc>
          <w:tcPr/>
          <w:p>
            <w:pPr>
              <w:pStyle w:val="Compact"/>
              <w:jc w:val="left"/>
            </w:pPr>
            <w:r>
              <w:t xml:space="preserve">PlantMind’s FeedbackLoopInterface captures maintenance outcomes and feeds them back into model retraining — creating a self-improving system that competitors lack.</w:t>
            </w:r>
          </w:p>
        </w:tc>
      </w:tr>
      <w:tr>
        <w:tc>
          <w:tcPr/>
          <w:p>
            <w:pPr>
              <w:pStyle w:val="Compact"/>
              <w:jc w:val="left"/>
            </w:pPr>
            <w:r>
              <w:t xml:space="preserve">10</w:t>
            </w:r>
          </w:p>
        </w:tc>
        <w:tc>
          <w:tcPr/>
          <w:p>
            <w:pPr>
              <w:pStyle w:val="Compact"/>
              <w:jc w:val="left"/>
            </w:pPr>
            <w:r>
              <w:t xml:space="preserve">P022</w:t>
            </w:r>
          </w:p>
        </w:tc>
        <w:tc>
          <w:tcPr/>
          <w:p>
            <w:pPr>
              <w:pStyle w:val="Compact"/>
              <w:jc w:val="left"/>
            </w:pPr>
            <w:r>
              <w:t xml:space="preserve">OT Data Integration Blockers</w:t>
            </w:r>
          </w:p>
        </w:tc>
        <w:tc>
          <w:tcPr/>
          <w:p>
            <w:pPr>
              <w:pStyle w:val="Compact"/>
              <w:jc w:val="left"/>
            </w:pPr>
            <w:r>
              <w:t xml:space="preserve">Severity 5 × $500K–$2M per integration × Per-project occurrence × High solvability</w:t>
            </w:r>
          </w:p>
        </w:tc>
        <w:tc>
          <w:tcPr/>
          <w:p>
            <w:pPr>
              <w:pStyle w:val="Compact"/>
              <w:jc w:val="left"/>
            </w:pPr>
            <w:r>
              <w:t xml:space="preserve">PlantMind’s IngestorInterface with standardized schemas and Auto Loader reduces integration time from months to weeks. Unity Catalog provides cross-plant governance that point integrations cannot match.</w:t>
            </w:r>
          </w:p>
        </w:tc>
      </w:tr>
    </w:tbl>
    <w:p>
      <w:r>
        <w:pict>
          <v:rect style="width:0;height:1.5pt" o:hralign="center" o:hrstd="t" o:hr="t"/>
        </w:pict>
      </w:r>
    </w:p>
    <w:bookmarkEnd w:id="30"/>
    <w:bookmarkEnd w:id="31"/>
    <w:bookmarkStart w:id="32" w:name="part-d-evidence-quality-assessment"/>
    <w:p>
      <w:pPr>
        <w:pStyle w:val="2"/>
      </w:pPr>
      <w:r>
        <w:t xml:space="preserve">PART D: Evidence Quality Assessment</w:t>
      </w:r>
    </w:p>
    <w:tbl>
      <w:tblPr>
        <w:tblStyle w:val="Table"/>
        <w:tblW w:type="pct" w:w="5000"/>
        <w:jc w:val="left"/>
        <w:tblLayout w:type="fixed"/>
        <w:tblLook w:firstRow="1" w:lastRow="0" w:firstColumn="0" w:lastColumn="0" w:noHBand="0" w:noVBand="0" w:val="0020"/>
      </w:tblPr>
      <w:tblGrid>
        <w:gridCol w:w="2227"/>
        <w:gridCol w:w="4207"/>
        <w:gridCol w:w="1485"/>
      </w:tblGrid>
      <w:tr>
        <w:trPr>
          <w:tblHeader w:val="on"/>
        </w:trPr>
        <w:tc>
          <w:tcPr/>
          <w:p>
            <w:pPr>
              <w:pStyle w:val="Compact"/>
              <w:jc w:val="left"/>
            </w:pPr>
            <w:r>
              <w:t xml:space="preserve">Pain_ID</w:t>
            </w:r>
          </w:p>
        </w:tc>
        <w:tc>
          <w:tcPr/>
          <w:p>
            <w:pPr>
              <w:pStyle w:val="Compact"/>
              <w:jc w:val="left"/>
            </w:pPr>
            <w:r>
              <w:t xml:space="preserve">Evidence Quality</w:t>
            </w:r>
          </w:p>
        </w:tc>
        <w:tc>
          <w:tcPr/>
          <w:p>
            <w:pPr>
              <w:pStyle w:val="Compact"/>
              <w:jc w:val="left"/>
            </w:pPr>
            <w:r>
              <w:t xml:space="preserve">Flag</w:t>
            </w:r>
          </w:p>
        </w:tc>
      </w:tr>
      <w:tr>
        <w:tc>
          <w:tcPr/>
          <w:p>
            <w:pPr>
              <w:pStyle w:val="Compact"/>
              <w:jc w:val="left"/>
            </w:pPr>
            <w:r>
              <w:t xml:space="preserve">P001</w:t>
            </w:r>
          </w:p>
        </w:tc>
        <w:tc>
          <w:tcPr/>
          <w:p>
            <w:pPr>
              <w:pStyle w:val="Compact"/>
              <w:jc w:val="left"/>
            </w:pPr>
            <w:r>
              <w:rPr>
                <w:b/>
                <w:bCs/>
              </w:rPr>
              <w:t xml:space="preserve">Strong</w:t>
            </w:r>
            <w:r>
              <w:t xml:space="preserve"> </w:t>
            </w:r>
            <w:r>
              <w:t xml:space="preserve">— ISA-18.2 and EEMUA 191 are primary standards; Siemens, iFactory data corroborated</w:t>
            </w:r>
          </w:p>
        </w:tc>
        <w:tc>
          <w:tcPr/>
          <w:p>
            <w:pPr>
              <w:pStyle w:val="Compact"/>
              <w:jc w:val="left"/>
            </w:pPr>
            <w:r>
              <w:t xml:space="preserve">—</w:t>
            </w:r>
          </w:p>
        </w:tc>
      </w:tr>
      <w:tr>
        <w:tc>
          <w:tcPr/>
          <w:p>
            <w:pPr>
              <w:pStyle w:val="Compact"/>
              <w:jc w:val="left"/>
            </w:pPr>
            <w:r>
              <w:t xml:space="preserve">P002</w:t>
            </w:r>
          </w:p>
        </w:tc>
        <w:tc>
          <w:tcPr/>
          <w:p>
            <w:pPr>
              <w:pStyle w:val="Compact"/>
              <w:jc w:val="left"/>
            </w:pPr>
            <w:r>
              <w:rPr>
                <w:b/>
                <w:bCs/>
              </w:rPr>
              <w:t xml:space="preserve">Moderate</w:t>
            </w:r>
            <w:r>
              <w:t xml:space="preserve"> </w:t>
            </w:r>
            <w:r>
              <w:t xml:space="preserve">— Inferred from operator workload standards; no direct time-motion study found</w:t>
            </w:r>
          </w:p>
        </w:tc>
        <w:tc>
          <w:tcPr/>
          <w:p>
            <w:pPr>
              <w:pStyle w:val="Compact"/>
              <w:jc w:val="left"/>
            </w:pPr>
            <w:r>
              <w:t xml:space="preserve">[INFERRED]</w:t>
            </w:r>
          </w:p>
        </w:tc>
      </w:tr>
      <w:tr>
        <w:tc>
          <w:tcPr/>
          <w:p>
            <w:pPr>
              <w:pStyle w:val="Compact"/>
              <w:jc w:val="left"/>
            </w:pPr>
            <w:r>
              <w:t xml:space="preserve">P003</w:t>
            </w:r>
          </w:p>
        </w:tc>
        <w:tc>
          <w:tcPr/>
          <w:p>
            <w:pPr>
              <w:pStyle w:val="Compact"/>
              <w:jc w:val="left"/>
            </w:pPr>
            <w:r>
              <w:rPr>
                <w:b/>
                <w:bCs/>
              </w:rPr>
              <w:t xml:space="preserve">Moderate</w:t>
            </w:r>
            <w:r>
              <w:t xml:space="preserve"> </w:t>
            </w:r>
            <w:r>
              <w:t xml:space="preserve">— Inferred from EEMUA response targets and operational practice</w:t>
            </w:r>
          </w:p>
        </w:tc>
        <w:tc>
          <w:tcPr/>
          <w:p>
            <w:pPr>
              <w:pStyle w:val="Compact"/>
              <w:jc w:val="left"/>
            </w:pPr>
            <w:r>
              <w:t xml:space="preserve">[INFERRED]</w:t>
            </w:r>
          </w:p>
        </w:tc>
      </w:tr>
      <w:tr>
        <w:tc>
          <w:tcPr/>
          <w:p>
            <w:pPr>
              <w:pStyle w:val="Compact"/>
              <w:jc w:val="left"/>
            </w:pPr>
            <w:r>
              <w:t xml:space="preserve">P004</w:t>
            </w:r>
          </w:p>
        </w:tc>
        <w:tc>
          <w:tcPr/>
          <w:p>
            <w:pPr>
              <w:pStyle w:val="Compact"/>
              <w:jc w:val="left"/>
            </w:pPr>
            <w:r>
              <w:rPr>
                <w:b/>
                <w:bCs/>
              </w:rPr>
              <w:t xml:space="preserve">Strong</w:t>
            </w:r>
            <w:r>
              <w:t xml:space="preserve"> </w:t>
            </w:r>
            <w:r>
              <w:t xml:space="preserve">— Dirac Inc. research, McKinsey analysis, NAM survey all corroborate</w:t>
            </w:r>
          </w:p>
        </w:tc>
        <w:tc>
          <w:tcPr/>
          <w:p>
            <w:pPr>
              <w:pStyle w:val="Compact"/>
              <w:jc w:val="left"/>
            </w:pPr>
            <w:r>
              <w:t xml:space="preserve">—</w:t>
            </w:r>
          </w:p>
        </w:tc>
      </w:tr>
      <w:tr>
        <w:tc>
          <w:tcPr/>
          <w:p>
            <w:pPr>
              <w:pStyle w:val="Compact"/>
              <w:jc w:val="left"/>
            </w:pPr>
            <w:r>
              <w:t xml:space="preserve">P005</w:t>
            </w:r>
          </w:p>
        </w:tc>
        <w:tc>
          <w:tcPr/>
          <w:p>
            <w:pPr>
              <w:pStyle w:val="Compact"/>
              <w:jc w:val="left"/>
            </w:pPr>
            <w:r>
              <w:rPr>
                <w:b/>
                <w:bCs/>
              </w:rPr>
              <w:t xml:space="preserve">Strong</w:t>
            </w:r>
            <w:r>
              <w:t xml:space="preserve"> </w:t>
            </w:r>
            <w:r>
              <w:t xml:space="preserve">— Aberdeen, Siemens, Fluke, multiple 2025–2026 sources validate</w:t>
            </w:r>
          </w:p>
        </w:tc>
        <w:tc>
          <w:tcPr/>
          <w:p>
            <w:pPr>
              <w:pStyle w:val="Compact"/>
              <w:jc w:val="left"/>
            </w:pPr>
            <w:r>
              <w:t xml:space="preserve">—</w:t>
            </w:r>
          </w:p>
        </w:tc>
      </w:tr>
      <w:tr>
        <w:tc>
          <w:tcPr/>
          <w:p>
            <w:pPr>
              <w:pStyle w:val="Compact"/>
              <w:jc w:val="left"/>
            </w:pPr>
            <w:r>
              <w:t xml:space="preserve">P006</w:t>
            </w:r>
          </w:p>
        </w:tc>
        <w:tc>
          <w:tcPr/>
          <w:p>
            <w:pPr>
              <w:pStyle w:val="Compact"/>
              <w:jc w:val="left"/>
            </w:pPr>
            <w:r>
              <w:rPr>
                <w:b/>
                <w:bCs/>
              </w:rPr>
              <w:t xml:space="preserve">Strong</w:t>
            </w:r>
            <w:r>
              <w:t xml:space="preserve"> </w:t>
            </w:r>
            <w:r>
              <w:t xml:space="preserve">— iFactory case studies with quantified results; Dragos, Facilio benchmarks</w:t>
            </w:r>
          </w:p>
        </w:tc>
        <w:tc>
          <w:tcPr/>
          <w:p>
            <w:pPr>
              <w:pStyle w:val="Compact"/>
              <w:jc w:val="left"/>
            </w:pPr>
            <w:r>
              <w:t xml:space="preserve">—</w:t>
            </w:r>
          </w:p>
        </w:tc>
      </w:tr>
      <w:tr>
        <w:tc>
          <w:tcPr/>
          <w:p>
            <w:pPr>
              <w:pStyle w:val="Compact"/>
              <w:jc w:val="left"/>
            </w:pPr>
            <w:r>
              <w:t xml:space="preserve">P007</w:t>
            </w:r>
          </w:p>
        </w:tc>
        <w:tc>
          <w:tcPr/>
          <w:p>
            <w:pPr>
              <w:pStyle w:val="Compact"/>
              <w:jc w:val="left"/>
            </w:pPr>
            <w:r>
              <w:rPr>
                <w:b/>
                <w:bCs/>
              </w:rPr>
              <w:t xml:space="preserve">Moderate</w:t>
            </w:r>
            <w:r>
              <w:t xml:space="preserve"> </w:t>
            </w:r>
            <w:r>
              <w:t xml:space="preserve">— Inferred from CMMS adoption studies and SMRP metrics</w:t>
            </w:r>
          </w:p>
        </w:tc>
        <w:tc>
          <w:tcPr/>
          <w:p>
            <w:pPr>
              <w:pStyle w:val="Compact"/>
              <w:jc w:val="left"/>
            </w:pPr>
            <w:r>
              <w:t xml:space="preserve">[INFERRED]</w:t>
            </w:r>
          </w:p>
        </w:tc>
      </w:tr>
      <w:tr>
        <w:tc>
          <w:tcPr/>
          <w:p>
            <w:pPr>
              <w:pStyle w:val="Compact"/>
              <w:jc w:val="left"/>
            </w:pPr>
            <w:r>
              <w:t xml:space="preserve">P008</w:t>
            </w:r>
          </w:p>
        </w:tc>
        <w:tc>
          <w:tcPr/>
          <w:p>
            <w:pPr>
              <w:pStyle w:val="Compact"/>
              <w:jc w:val="left"/>
            </w:pPr>
            <w:r>
              <w:rPr>
                <w:b/>
                <w:bCs/>
              </w:rPr>
              <w:t xml:space="preserve">Strong</w:t>
            </w:r>
            <w:r>
              <w:t xml:space="preserve"> </w:t>
            </w:r>
            <w:r>
              <w:t xml:space="preserve">— MaintainX, SMRP/ARC, Oxmaint data with quantified impacts</w:t>
            </w:r>
          </w:p>
        </w:tc>
        <w:tc>
          <w:tcPr/>
          <w:p>
            <w:pPr>
              <w:pStyle w:val="Compact"/>
              <w:jc w:val="left"/>
            </w:pPr>
            <w:r>
              <w:t xml:space="preserve">—</w:t>
            </w:r>
          </w:p>
        </w:tc>
      </w:tr>
      <w:tr>
        <w:tc>
          <w:tcPr/>
          <w:p>
            <w:pPr>
              <w:pStyle w:val="Compact"/>
              <w:jc w:val="left"/>
            </w:pPr>
            <w:r>
              <w:t xml:space="preserve">P009</w:t>
            </w:r>
          </w:p>
        </w:tc>
        <w:tc>
          <w:tcPr/>
          <w:p>
            <w:pPr>
              <w:pStyle w:val="Compact"/>
              <w:jc w:val="left"/>
            </w:pPr>
            <w:r>
              <w:rPr>
                <w:b/>
                <w:bCs/>
              </w:rPr>
              <w:t xml:space="preserve">Strong</w:t>
            </w:r>
            <w:r>
              <w:t xml:space="preserve"> </w:t>
            </w:r>
            <w:r>
              <w:t xml:space="preserve">— PreventiveHQ, F7i.ai, industry PM compliance benchmarks</w:t>
            </w:r>
          </w:p>
        </w:tc>
        <w:tc>
          <w:tcPr/>
          <w:p>
            <w:pPr>
              <w:pStyle w:val="Compact"/>
              <w:jc w:val="left"/>
            </w:pPr>
            <w:r>
              <w:t xml:space="preserve">—</w:t>
            </w:r>
          </w:p>
        </w:tc>
      </w:tr>
      <w:tr>
        <w:tc>
          <w:tcPr/>
          <w:p>
            <w:pPr>
              <w:pStyle w:val="Compact"/>
              <w:jc w:val="left"/>
            </w:pPr>
            <w:r>
              <w:t xml:space="preserve">P010</w:t>
            </w:r>
          </w:p>
        </w:tc>
        <w:tc>
          <w:tcPr/>
          <w:p>
            <w:pPr>
              <w:pStyle w:val="Compact"/>
              <w:jc w:val="left"/>
            </w:pPr>
            <w:r>
              <w:rPr>
                <w:b/>
                <w:bCs/>
              </w:rPr>
              <w:t xml:space="preserve">Moderate</w:t>
            </w:r>
            <w:r>
              <w:t xml:space="preserve"> </w:t>
            </w:r>
            <w:r>
              <w:t xml:space="preserve">— Inferred from maintenance productivity studies and Gartner research</w:t>
            </w:r>
          </w:p>
        </w:tc>
        <w:tc>
          <w:tcPr/>
          <w:p>
            <w:pPr>
              <w:pStyle w:val="Compact"/>
              <w:jc w:val="left"/>
            </w:pPr>
            <w:r>
              <w:t xml:space="preserve">[INFERRED]</w:t>
            </w:r>
          </w:p>
        </w:tc>
      </w:tr>
      <w:tr>
        <w:tc>
          <w:tcPr/>
          <w:p>
            <w:pPr>
              <w:pStyle w:val="Compact"/>
              <w:jc w:val="left"/>
            </w:pPr>
            <w:r>
              <w:t xml:space="preserve">P011</w:t>
            </w:r>
          </w:p>
        </w:tc>
        <w:tc>
          <w:tcPr/>
          <w:p>
            <w:pPr>
              <w:pStyle w:val="Compact"/>
              <w:jc w:val="left"/>
            </w:pPr>
            <w:r>
              <w:rPr>
                <w:b/>
                <w:bCs/>
              </w:rPr>
              <w:t xml:space="preserve">Moderate</w:t>
            </w:r>
            <w:r>
              <w:t xml:space="preserve"> </w:t>
            </w:r>
            <w:r>
              <w:t xml:space="preserve">— Inferred from SMRP maturity models and BCG maintenance studies</w:t>
            </w:r>
          </w:p>
        </w:tc>
        <w:tc>
          <w:tcPr/>
          <w:p>
            <w:pPr>
              <w:pStyle w:val="Compact"/>
              <w:jc w:val="left"/>
            </w:pPr>
            <w:r>
              <w:t xml:space="preserve">[INFERRED]</w:t>
            </w:r>
          </w:p>
        </w:tc>
      </w:tr>
      <w:tr>
        <w:tc>
          <w:tcPr/>
          <w:p>
            <w:pPr>
              <w:pStyle w:val="Compact"/>
              <w:jc w:val="left"/>
            </w:pPr>
            <w:r>
              <w:t xml:space="preserve">P012</w:t>
            </w:r>
          </w:p>
        </w:tc>
        <w:tc>
          <w:tcPr/>
          <w:p>
            <w:pPr>
              <w:pStyle w:val="Compact"/>
              <w:jc w:val="left"/>
            </w:pPr>
            <w:r>
              <w:rPr>
                <w:b/>
                <w:bCs/>
              </w:rPr>
              <w:t xml:space="preserve">Strong</w:t>
            </w:r>
            <w:r>
              <w:t xml:space="preserve"> </w:t>
            </w:r>
            <w:r>
              <w:t xml:space="preserve">— DOE IAC program (13,000+ assessments), ACEEE data, ISO 50001 studies</w:t>
            </w:r>
          </w:p>
        </w:tc>
        <w:tc>
          <w:tcPr/>
          <w:p>
            <w:pPr>
              <w:pStyle w:val="Compact"/>
              <w:jc w:val="left"/>
            </w:pPr>
            <w:r>
              <w:t xml:space="preserve">—</w:t>
            </w:r>
          </w:p>
        </w:tc>
      </w:tr>
      <w:tr>
        <w:tc>
          <w:tcPr/>
          <w:p>
            <w:pPr>
              <w:pStyle w:val="Compact"/>
              <w:jc w:val="left"/>
            </w:pPr>
            <w:r>
              <w:t xml:space="preserve">P013</w:t>
            </w:r>
          </w:p>
        </w:tc>
        <w:tc>
          <w:tcPr/>
          <w:p>
            <w:pPr>
              <w:pStyle w:val="Compact"/>
              <w:jc w:val="left"/>
            </w:pPr>
            <w:r>
              <w:rPr>
                <w:b/>
                <w:bCs/>
              </w:rPr>
              <w:t xml:space="preserve">Moderate</w:t>
            </w:r>
            <w:r>
              <w:t xml:space="preserve"> </w:t>
            </w:r>
            <w:r>
              <w:t xml:space="preserve">— DOE data supports savings potential; 20–30% detectable waste inferred from industrial assessment patterns</w:t>
            </w:r>
          </w:p>
        </w:tc>
        <w:tc>
          <w:tcPr/>
          <w:p>
            <w:pPr>
              <w:pStyle w:val="Compact"/>
              <w:jc w:val="left"/>
            </w:pPr>
            <w:r>
              <w:t xml:space="preserve">[INFERRED]</w:t>
            </w:r>
          </w:p>
        </w:tc>
      </w:tr>
      <w:tr>
        <w:tc>
          <w:tcPr/>
          <w:p>
            <w:pPr>
              <w:pStyle w:val="Compact"/>
              <w:jc w:val="left"/>
            </w:pPr>
            <w:r>
              <w:t xml:space="preserve">P014</w:t>
            </w:r>
          </w:p>
        </w:tc>
        <w:tc>
          <w:tcPr/>
          <w:p>
            <w:pPr>
              <w:pStyle w:val="Compact"/>
              <w:jc w:val="left"/>
            </w:pPr>
            <w:r>
              <w:rPr>
                <w:b/>
                <w:bCs/>
              </w:rPr>
              <w:t xml:space="preserve">Moderate</w:t>
            </w:r>
            <w:r>
              <w:t xml:space="preserve"> </w:t>
            </w:r>
            <w:r>
              <w:t xml:space="preserve">— Inferred from regulatory complexity trends and ISO 50001 audit requirements</w:t>
            </w:r>
          </w:p>
        </w:tc>
        <w:tc>
          <w:tcPr/>
          <w:p>
            <w:pPr>
              <w:pStyle w:val="Compact"/>
              <w:jc w:val="left"/>
            </w:pPr>
            <w:r>
              <w:t xml:space="preserve">[INFERRED]</w:t>
            </w:r>
          </w:p>
        </w:tc>
      </w:tr>
      <w:tr>
        <w:tc>
          <w:tcPr/>
          <w:p>
            <w:pPr>
              <w:pStyle w:val="Compact"/>
              <w:jc w:val="left"/>
            </w:pPr>
            <w:r>
              <w:t xml:space="preserve">P015</w:t>
            </w:r>
          </w:p>
        </w:tc>
        <w:tc>
          <w:tcPr/>
          <w:p>
            <w:pPr>
              <w:pStyle w:val="Compact"/>
              <w:jc w:val="left"/>
            </w:pPr>
            <w:r>
              <w:rPr>
                <w:b/>
                <w:bCs/>
              </w:rPr>
              <w:t xml:space="preserve">Strong</w:t>
            </w:r>
            <w:r>
              <w:t xml:space="preserve"> </w:t>
            </w:r>
            <w:r>
              <w:t xml:space="preserve">— Jama Software, Autodesk, ASQ, SYMESTIC all corroborate COPQ ranges</w:t>
            </w:r>
          </w:p>
        </w:tc>
        <w:tc>
          <w:tcPr/>
          <w:p>
            <w:pPr>
              <w:pStyle w:val="Compact"/>
              <w:jc w:val="left"/>
            </w:pPr>
            <w:r>
              <w:t xml:space="preserve">—</w:t>
            </w:r>
          </w:p>
        </w:tc>
      </w:tr>
      <w:tr>
        <w:tc>
          <w:tcPr/>
          <w:p>
            <w:pPr>
              <w:pStyle w:val="Compact"/>
              <w:jc w:val="left"/>
            </w:pPr>
            <w:r>
              <w:t xml:space="preserve">P016</w:t>
            </w:r>
          </w:p>
        </w:tc>
        <w:tc>
          <w:tcPr/>
          <w:p>
            <w:pPr>
              <w:pStyle w:val="Compact"/>
              <w:jc w:val="left"/>
            </w:pPr>
            <w:r>
              <w:rPr>
                <w:b/>
                <w:bCs/>
              </w:rPr>
              <w:t xml:space="preserve">Strong</w:t>
            </w:r>
            <w:r>
              <w:t xml:space="preserve"> </w:t>
            </w:r>
            <w:r>
              <w:t xml:space="preserve">— Multiple sources confirm 15–40% COPQ for mid-maturity plants</w:t>
            </w:r>
          </w:p>
        </w:tc>
        <w:tc>
          <w:tcPr/>
          <w:p>
            <w:pPr>
              <w:pStyle w:val="Compact"/>
              <w:jc w:val="left"/>
            </w:pPr>
            <w:r>
              <w:t xml:space="preserve">—</w:t>
            </w:r>
          </w:p>
        </w:tc>
      </w:tr>
      <w:tr>
        <w:tc>
          <w:tcPr/>
          <w:p>
            <w:pPr>
              <w:pStyle w:val="Compact"/>
              <w:jc w:val="left"/>
            </w:pPr>
            <w:r>
              <w:t xml:space="preserve">P017</w:t>
            </w:r>
          </w:p>
        </w:tc>
        <w:tc>
          <w:tcPr/>
          <w:p>
            <w:pPr>
              <w:pStyle w:val="Compact"/>
              <w:jc w:val="left"/>
            </w:pPr>
            <w:r>
              <w:rPr>
                <w:b/>
                <w:bCs/>
              </w:rPr>
              <w:t xml:space="preserve">Moderate</w:t>
            </w:r>
            <w:r>
              <w:t xml:space="preserve"> </w:t>
            </w:r>
            <w:r>
              <w:t xml:space="preserve">— Inferred from quality management practice; Bosch case study provides partial validation</w:t>
            </w:r>
          </w:p>
        </w:tc>
        <w:tc>
          <w:tcPr/>
          <w:p>
            <w:pPr>
              <w:pStyle w:val="Compact"/>
              <w:jc w:val="left"/>
            </w:pPr>
            <w:r>
              <w:t xml:space="preserve">[INFERRED]</w:t>
            </w:r>
          </w:p>
        </w:tc>
      </w:tr>
      <w:tr>
        <w:tc>
          <w:tcPr/>
          <w:p>
            <w:pPr>
              <w:pStyle w:val="Compact"/>
              <w:jc w:val="left"/>
            </w:pPr>
            <w:r>
              <w:t xml:space="preserve">P018</w:t>
            </w:r>
          </w:p>
        </w:tc>
        <w:tc>
          <w:tcPr/>
          <w:p>
            <w:pPr>
              <w:pStyle w:val="Compact"/>
              <w:jc w:val="left"/>
            </w:pPr>
            <w:r>
              <w:rPr>
                <w:b/>
                <w:bCs/>
              </w:rPr>
              <w:t xml:space="preserve">Moderate</w:t>
            </w:r>
            <w:r>
              <w:t xml:space="preserve"> </w:t>
            </w:r>
            <w:r>
              <w:t xml:space="preserve">— Inferred from batch manufacturing and knowledge management research</w:t>
            </w:r>
          </w:p>
        </w:tc>
        <w:tc>
          <w:tcPr/>
          <w:p>
            <w:pPr>
              <w:pStyle w:val="Compact"/>
              <w:jc w:val="left"/>
            </w:pPr>
            <w:r>
              <w:t xml:space="preserve">[INFERRED]</w:t>
            </w:r>
          </w:p>
        </w:tc>
      </w:tr>
      <w:tr>
        <w:tc>
          <w:tcPr/>
          <w:p>
            <w:pPr>
              <w:pStyle w:val="Compact"/>
              <w:jc w:val="left"/>
            </w:pPr>
            <w:r>
              <w:t xml:space="preserve">P019</w:t>
            </w:r>
          </w:p>
        </w:tc>
        <w:tc>
          <w:tcPr/>
          <w:p>
            <w:pPr>
              <w:pStyle w:val="Compact"/>
              <w:jc w:val="left"/>
            </w:pPr>
            <w:r>
              <w:rPr>
                <w:b/>
                <w:bCs/>
              </w:rPr>
              <w:t xml:space="preserve">Strong</w:t>
            </w:r>
            <w:r>
              <w:t xml:space="preserve"> </w:t>
            </w:r>
            <w:r>
              <w:t xml:space="preserve">— Siemens ($1.4T), Aberdeen ($260K/hr), Fluke ($852M/week), multiple corroborating sources</w:t>
            </w:r>
          </w:p>
        </w:tc>
        <w:tc>
          <w:tcPr/>
          <w:p>
            <w:pPr>
              <w:pStyle w:val="Compact"/>
              <w:jc w:val="left"/>
            </w:pPr>
            <w:r>
              <w:t xml:space="preserve">—</w:t>
            </w:r>
          </w:p>
        </w:tc>
      </w:tr>
      <w:tr>
        <w:tc>
          <w:tcPr/>
          <w:p>
            <w:pPr>
              <w:pStyle w:val="Compact"/>
              <w:jc w:val="left"/>
            </w:pPr>
            <w:r>
              <w:t xml:space="preserve">P020</w:t>
            </w:r>
          </w:p>
        </w:tc>
        <w:tc>
          <w:tcPr/>
          <w:p>
            <w:pPr>
              <w:pStyle w:val="Compact"/>
              <w:jc w:val="left"/>
            </w:pPr>
            <w:r>
              <w:rPr>
                <w:b/>
                <w:bCs/>
              </w:rPr>
              <w:t xml:space="preserve">Strong</w:t>
            </w:r>
            <w:r>
              <w:t xml:space="preserve"> </w:t>
            </w:r>
            <w:r>
              <w:t xml:space="preserve">— L2L 2025, TeamSense 2026, MachineCDN 2026 with specific figures</w:t>
            </w:r>
          </w:p>
        </w:tc>
        <w:tc>
          <w:tcPr/>
          <w:p>
            <w:pPr>
              <w:pStyle w:val="Compact"/>
              <w:jc w:val="left"/>
            </w:pPr>
            <w:r>
              <w:t xml:space="preserve">—</w:t>
            </w:r>
          </w:p>
        </w:tc>
      </w:tr>
      <w:tr>
        <w:tc>
          <w:tcPr/>
          <w:p>
            <w:pPr>
              <w:pStyle w:val="Compact"/>
              <w:jc w:val="left"/>
            </w:pPr>
            <w:r>
              <w:t xml:space="preserve">P021</w:t>
            </w:r>
          </w:p>
        </w:tc>
        <w:tc>
          <w:tcPr/>
          <w:p>
            <w:pPr>
              <w:pStyle w:val="Compact"/>
              <w:jc w:val="left"/>
            </w:pPr>
            <w:r>
              <w:rPr>
                <w:b/>
                <w:bCs/>
              </w:rPr>
              <w:t xml:space="preserve">Moderate</w:t>
            </w:r>
            <w:r>
              <w:t xml:space="preserve"> </w:t>
            </w:r>
            <w:r>
              <w:t xml:space="preserve">— Inferred from OEE benchmarks and industry studies</w:t>
            </w:r>
          </w:p>
        </w:tc>
        <w:tc>
          <w:tcPr/>
          <w:p>
            <w:pPr>
              <w:pStyle w:val="Compact"/>
              <w:jc w:val="left"/>
            </w:pPr>
            <w:r>
              <w:t xml:space="preserve">[INFERRED]</w:t>
            </w:r>
          </w:p>
        </w:tc>
      </w:tr>
      <w:tr>
        <w:tc>
          <w:tcPr/>
          <w:p>
            <w:pPr>
              <w:pStyle w:val="Compact"/>
              <w:jc w:val="left"/>
            </w:pPr>
            <w:r>
              <w:t xml:space="preserve">P022</w:t>
            </w:r>
          </w:p>
        </w:tc>
        <w:tc>
          <w:tcPr/>
          <w:p>
            <w:pPr>
              <w:pStyle w:val="Compact"/>
              <w:jc w:val="left"/>
            </w:pPr>
            <w:r>
              <w:rPr>
                <w:b/>
                <w:bCs/>
              </w:rPr>
              <w:t xml:space="preserve">Strong</w:t>
            </w:r>
            <w:r>
              <w:t xml:space="preserve"> </w:t>
            </w:r>
            <w:r>
              <w:t xml:space="preserve">— Allied Solutions Global 2026, Gartner data silo research validate blockers</w:t>
            </w:r>
          </w:p>
        </w:tc>
        <w:tc>
          <w:tcPr/>
          <w:p>
            <w:pPr>
              <w:pStyle w:val="Compact"/>
              <w:jc w:val="left"/>
            </w:pPr>
            <w:r>
              <w:t xml:space="preserve">—</w:t>
            </w:r>
          </w:p>
        </w:tc>
      </w:tr>
      <w:tr>
        <w:tc>
          <w:tcPr/>
          <w:p>
            <w:pPr>
              <w:pStyle w:val="Compact"/>
              <w:jc w:val="left"/>
            </w:pPr>
            <w:r>
              <w:t xml:space="preserve">P023</w:t>
            </w:r>
          </w:p>
        </w:tc>
        <w:tc>
          <w:tcPr/>
          <w:p>
            <w:pPr>
              <w:pStyle w:val="Compact"/>
              <w:jc w:val="left"/>
            </w:pPr>
            <w:r>
              <w:rPr>
                <w:b/>
                <w:bCs/>
              </w:rPr>
              <w:t xml:space="preserve">Moderate</w:t>
            </w:r>
            <w:r>
              <w:t xml:space="preserve"> </w:t>
            </w:r>
            <w:r>
              <w:t xml:space="preserve">— Inferred from industrial data science practice and Gartner data quality studies</w:t>
            </w:r>
          </w:p>
        </w:tc>
        <w:tc>
          <w:tcPr/>
          <w:p>
            <w:pPr>
              <w:pStyle w:val="Compact"/>
              <w:jc w:val="left"/>
            </w:pPr>
            <w:r>
              <w:t xml:space="preserve">[INFERRED]</w:t>
            </w:r>
          </w:p>
        </w:tc>
      </w:tr>
      <w:tr>
        <w:tc>
          <w:tcPr/>
          <w:p>
            <w:pPr>
              <w:pStyle w:val="Compact"/>
              <w:jc w:val="left"/>
            </w:pPr>
            <w:r>
              <w:t xml:space="preserve">P024</w:t>
            </w:r>
          </w:p>
        </w:tc>
        <w:tc>
          <w:tcPr/>
          <w:p>
            <w:pPr>
              <w:pStyle w:val="Compact"/>
              <w:jc w:val="left"/>
            </w:pPr>
            <w:r>
              <w:rPr>
                <w:b/>
                <w:bCs/>
              </w:rPr>
              <w:t xml:space="preserve">Strong</w:t>
            </w:r>
            <w:r>
              <w:t xml:space="preserve"> </w:t>
            </w:r>
            <w:r>
              <w:t xml:space="preserve">— Allied Solutions Global 2026 validates historian scalability challenges</w:t>
            </w:r>
          </w:p>
        </w:tc>
        <w:tc>
          <w:tcPr/>
          <w:p>
            <w:pPr>
              <w:pStyle w:val="Compact"/>
              <w:jc w:val="left"/>
            </w:pPr>
            <w:r>
              <w:t xml:space="preserve">—</w:t>
            </w:r>
          </w:p>
        </w:tc>
      </w:tr>
      <w:tr>
        <w:tc>
          <w:tcPr/>
          <w:p>
            <w:pPr>
              <w:pStyle w:val="Compact"/>
              <w:jc w:val="left"/>
            </w:pPr>
            <w:r>
              <w:t xml:space="preserve">P025</w:t>
            </w:r>
          </w:p>
        </w:tc>
        <w:tc>
          <w:tcPr/>
          <w:p>
            <w:pPr>
              <w:pStyle w:val="Compact"/>
              <w:jc w:val="left"/>
            </w:pPr>
            <w:r>
              <w:rPr>
                <w:b/>
                <w:bCs/>
              </w:rPr>
              <w:t xml:space="preserve">Strong</w:t>
            </w:r>
            <w:r>
              <w:t xml:space="preserve"> </w:t>
            </w:r>
            <w:r>
              <w:t xml:space="preserve">— iFactory refinery case study with specific $ figures; Precog analysis corroborates</w:t>
            </w:r>
          </w:p>
        </w:tc>
        <w:tc>
          <w:tcPr/>
          <w:p>
            <w:pPr>
              <w:pStyle w:val="Compact"/>
              <w:jc w:val="left"/>
            </w:pPr>
            <w:r>
              <w:t xml:space="preserve">—</w:t>
            </w:r>
          </w:p>
        </w:tc>
      </w:tr>
      <w:tr>
        <w:tc>
          <w:tcPr/>
          <w:p>
            <w:pPr>
              <w:pStyle w:val="Compact"/>
              <w:jc w:val="left"/>
            </w:pPr>
            <w:r>
              <w:t xml:space="preserve">P026</w:t>
            </w:r>
          </w:p>
        </w:tc>
        <w:tc>
          <w:tcPr/>
          <w:p>
            <w:pPr>
              <w:pStyle w:val="Compact"/>
              <w:jc w:val="left"/>
            </w:pPr>
            <w:r>
              <w:rPr>
                <w:b/>
                <w:bCs/>
              </w:rPr>
              <w:t xml:space="preserve">Strong</w:t>
            </w:r>
            <w:r>
              <w:t xml:space="preserve"> </w:t>
            </w:r>
            <w:r>
              <w:t xml:space="preserve">— Siemens ($2.3M/hr), Erwood Group, ManufacturingLeadGeneration 2026 corroborate</w:t>
            </w:r>
          </w:p>
        </w:tc>
        <w:tc>
          <w:tcPr/>
          <w:p>
            <w:pPr>
              <w:pStyle w:val="Compact"/>
              <w:jc w:val="left"/>
            </w:pPr>
            <w:r>
              <w:t xml:space="preserve">—</w:t>
            </w:r>
          </w:p>
        </w:tc>
      </w:tr>
      <w:tr>
        <w:tc>
          <w:tcPr/>
          <w:p>
            <w:pPr>
              <w:pStyle w:val="Compact"/>
              <w:jc w:val="left"/>
            </w:pPr>
            <w:r>
              <w:t xml:space="preserve">P027</w:t>
            </w:r>
          </w:p>
        </w:tc>
        <w:tc>
          <w:tcPr/>
          <w:p>
            <w:pPr>
              <w:pStyle w:val="Compact"/>
              <w:jc w:val="left"/>
            </w:pPr>
            <w:r>
              <w:rPr>
                <w:b/>
                <w:bCs/>
              </w:rPr>
              <w:t xml:space="preserve">Moderate</w:t>
            </w:r>
            <w:r>
              <w:t xml:space="preserve"> </w:t>
            </w:r>
            <w:r>
              <w:t xml:space="preserve">— DOE IAC data supports; specific savings inferred from sector patterns</w:t>
            </w:r>
          </w:p>
        </w:tc>
        <w:tc>
          <w:tcPr/>
          <w:p>
            <w:pPr>
              <w:pStyle w:val="Compact"/>
              <w:jc w:val="left"/>
            </w:pPr>
            <w:r>
              <w:t xml:space="preserve">[INFERRED]</w:t>
            </w:r>
          </w:p>
        </w:tc>
      </w:tr>
      <w:tr>
        <w:tc>
          <w:tcPr/>
          <w:p>
            <w:pPr>
              <w:pStyle w:val="Compact"/>
              <w:jc w:val="left"/>
            </w:pPr>
            <w:r>
              <w:t xml:space="preserve">P028</w:t>
            </w:r>
          </w:p>
        </w:tc>
        <w:tc>
          <w:tcPr/>
          <w:p>
            <w:pPr>
              <w:pStyle w:val="Compact"/>
              <w:jc w:val="left"/>
            </w:pPr>
            <w:r>
              <w:rPr>
                <w:b/>
                <w:bCs/>
              </w:rPr>
              <w:t xml:space="preserve">Strong</w:t>
            </w:r>
            <w:r>
              <w:t xml:space="preserve"> </w:t>
            </w:r>
            <w:r>
              <w:t xml:space="preserve">— Critical Manufacturing 2024, iFactory/Aberdeen 2026, Oxmaint 2025 corroborate</w:t>
            </w:r>
          </w:p>
        </w:tc>
        <w:tc>
          <w:tcPr/>
          <w:p>
            <w:pPr>
              <w:pStyle w:val="Compact"/>
              <w:jc w:val="left"/>
            </w:pPr>
            <w:r>
              <w:t xml:space="preserve">—</w:t>
            </w:r>
          </w:p>
        </w:tc>
      </w:tr>
      <w:tr>
        <w:tc>
          <w:tcPr/>
          <w:p>
            <w:pPr>
              <w:pStyle w:val="Compact"/>
              <w:jc w:val="left"/>
            </w:pPr>
            <w:r>
              <w:t xml:space="preserve">P029</w:t>
            </w:r>
          </w:p>
        </w:tc>
        <w:tc>
          <w:tcPr/>
          <w:p>
            <w:pPr>
              <w:pStyle w:val="Compact"/>
              <w:jc w:val="left"/>
            </w:pPr>
            <w:r>
              <w:rPr>
                <w:b/>
                <w:bCs/>
              </w:rPr>
              <w:t xml:space="preserve">Strong</w:t>
            </w:r>
            <w:r>
              <w:t xml:space="preserve"> </w:t>
            </w:r>
            <w:r>
              <w:t xml:space="preserve">— IDS-INDATA 2025, Oxmaint 2025 with specific batch loss figures</w:t>
            </w:r>
          </w:p>
        </w:tc>
        <w:tc>
          <w:tcPr/>
          <w:p>
            <w:pPr>
              <w:pStyle w:val="Compact"/>
              <w:jc w:val="left"/>
            </w:pPr>
            <w:r>
              <w:t xml:space="preserve">—</w:t>
            </w:r>
          </w:p>
        </w:tc>
      </w:tr>
      <w:tr>
        <w:tc>
          <w:tcPr/>
          <w:p>
            <w:pPr>
              <w:pStyle w:val="Compact"/>
              <w:jc w:val="left"/>
            </w:pPr>
            <w:r>
              <w:t xml:space="preserve">P030</w:t>
            </w:r>
          </w:p>
        </w:tc>
        <w:tc>
          <w:tcPr/>
          <w:p>
            <w:pPr>
              <w:pStyle w:val="Compact"/>
              <w:jc w:val="left"/>
            </w:pPr>
            <w:r>
              <w:rPr>
                <w:b/>
                <w:bCs/>
              </w:rPr>
              <w:t xml:space="preserve">Moderate</w:t>
            </w:r>
            <w:r>
              <w:t xml:space="preserve"> </w:t>
            </w:r>
            <w:r>
              <w:t xml:space="preserve">— Oxmaint 2025 sector analysis; ABB Value of Reliability corroborates range</w:t>
            </w:r>
          </w:p>
        </w:tc>
        <w:tc>
          <w:tcPr/>
          <w:p>
            <w:pPr>
              <w:pStyle w:val="Compact"/>
              <w:jc w:val="left"/>
            </w:pPr>
            <w:r>
              <w:t xml:space="preserve">—</w:t>
            </w:r>
          </w:p>
        </w:tc>
      </w:tr>
      <w:tr>
        <w:tc>
          <w:tcPr/>
          <w:p>
            <w:pPr>
              <w:pStyle w:val="Compact"/>
              <w:jc w:val="left"/>
            </w:pPr>
            <w:r>
              <w:t xml:space="preserve">P031</w:t>
            </w:r>
          </w:p>
        </w:tc>
        <w:tc>
          <w:tcPr/>
          <w:p>
            <w:pPr>
              <w:pStyle w:val="Compact"/>
              <w:jc w:val="left"/>
            </w:pPr>
            <w:r>
              <w:rPr>
                <w:b/>
                <w:bCs/>
              </w:rPr>
              <w:t xml:space="preserve">Moderate</w:t>
            </w:r>
            <w:r>
              <w:t xml:space="preserve"> </w:t>
            </w:r>
            <w:r>
              <w:t xml:space="preserve">— Oxmaint 2025, Sealevel Systems 2025 corroborate</w:t>
            </w:r>
          </w:p>
        </w:tc>
        <w:tc>
          <w:tcPr/>
          <w:p>
            <w:pPr>
              <w:pStyle w:val="Compact"/>
              <w:jc w:val="left"/>
            </w:pPr>
            <w:r>
              <w:t xml:space="preserve">—</w:t>
            </w:r>
          </w:p>
        </w:tc>
      </w:tr>
      <w:tr>
        <w:tc>
          <w:tcPr/>
          <w:p>
            <w:pPr>
              <w:pStyle w:val="Compact"/>
              <w:jc w:val="left"/>
            </w:pPr>
            <w:r>
              <w:t xml:space="preserve">P032</w:t>
            </w:r>
          </w:p>
        </w:tc>
        <w:tc>
          <w:tcPr/>
          <w:p>
            <w:pPr>
              <w:pStyle w:val="Compact"/>
              <w:jc w:val="left"/>
            </w:pPr>
            <w:r>
              <w:rPr>
                <w:b/>
                <w:bCs/>
              </w:rPr>
              <w:t xml:space="preserve">Strong</w:t>
            </w:r>
            <w:r>
              <w:t xml:space="preserve"> </w:t>
            </w:r>
            <w:r>
              <w:t xml:space="preserve">— Siemens True Cost of Downtime 2024, Oxmaint 2025 with specific figures</w:t>
            </w:r>
          </w:p>
        </w:tc>
        <w:tc>
          <w:tcPr/>
          <w:p>
            <w:pPr>
              <w:pStyle w:val="Compact"/>
              <w:jc w:val="left"/>
            </w:pPr>
            <w:r>
              <w:t xml:space="preserve">—</w:t>
            </w:r>
          </w:p>
        </w:tc>
      </w:tr>
      <w:tr>
        <w:tc>
          <w:tcPr/>
          <w:p>
            <w:pPr>
              <w:pStyle w:val="Compact"/>
              <w:jc w:val="left"/>
            </w:pPr>
            <w:r>
              <w:t xml:space="preserve">P033</w:t>
            </w:r>
          </w:p>
        </w:tc>
        <w:tc>
          <w:tcPr/>
          <w:p>
            <w:pPr>
              <w:pStyle w:val="Compact"/>
              <w:jc w:val="left"/>
            </w:pPr>
            <w:r>
              <w:rPr>
                <w:b/>
                <w:bCs/>
              </w:rPr>
              <w:t xml:space="preserve">Moderate</w:t>
            </w:r>
            <w:r>
              <w:t xml:space="preserve"> </w:t>
            </w:r>
            <w:r>
              <w:t xml:space="preserve">— IBM</w:t>
            </w:r>
            <w:r>
              <w:t xml:space="preserve"> </w:t>
            </w:r>
            <w:r>
              <w:t xml:space="preserve">“</w:t>
            </w:r>
            <w:r>
              <w:t xml:space="preserve">dark data</w:t>
            </w:r>
            <w:r>
              <w:t xml:space="preserve">”</w:t>
            </w:r>
            <w:r>
              <w:t xml:space="preserve"> </w:t>
            </w:r>
            <w:r>
              <w:t xml:space="preserve">research is legacy; current inference validated by McKinsey Industry 4.0 adoption gaps</w:t>
            </w:r>
          </w:p>
        </w:tc>
        <w:tc>
          <w:tcPr/>
          <w:p>
            <w:pPr>
              <w:pStyle w:val="Compact"/>
              <w:jc w:val="left"/>
            </w:pPr>
            <w:r>
              <w:t xml:space="preserve">[INFERRED]</w:t>
            </w:r>
          </w:p>
        </w:tc>
      </w:tr>
      <w:tr>
        <w:tc>
          <w:tcPr/>
          <w:p>
            <w:pPr>
              <w:pStyle w:val="Compact"/>
              <w:jc w:val="left"/>
            </w:pPr>
            <w:r>
              <w:t xml:space="preserve">P034</w:t>
            </w:r>
          </w:p>
        </w:tc>
        <w:tc>
          <w:tcPr/>
          <w:p>
            <w:pPr>
              <w:pStyle w:val="Compact"/>
              <w:jc w:val="left"/>
            </w:pPr>
            <w:r>
              <w:rPr>
                <w:b/>
                <w:bCs/>
              </w:rPr>
              <w:t xml:space="preserve">Moderate</w:t>
            </w:r>
            <w:r>
              <w:t xml:space="preserve"> </w:t>
            </w:r>
            <w:r>
              <w:t xml:space="preserve">— Inferred from SMRP metrics and CMMS benchmarks</w:t>
            </w:r>
          </w:p>
        </w:tc>
        <w:tc>
          <w:tcPr/>
          <w:p>
            <w:pPr>
              <w:pStyle w:val="Compact"/>
              <w:jc w:val="left"/>
            </w:pPr>
            <w:r>
              <w:t xml:space="preserve">[INFERRED]</w:t>
            </w:r>
          </w:p>
        </w:tc>
      </w:tr>
      <w:tr>
        <w:tc>
          <w:tcPr/>
          <w:p>
            <w:pPr>
              <w:pStyle w:val="Compact"/>
              <w:jc w:val="left"/>
            </w:pPr>
            <w:r>
              <w:t xml:space="preserve">P035</w:t>
            </w:r>
          </w:p>
        </w:tc>
        <w:tc>
          <w:tcPr/>
          <w:p>
            <w:pPr>
              <w:pStyle w:val="Compact"/>
              <w:jc w:val="left"/>
            </w:pPr>
            <w:r>
              <w:rPr>
                <w:b/>
                <w:bCs/>
              </w:rPr>
              <w:t xml:space="preserve">Moderate</w:t>
            </w:r>
            <w:r>
              <w:t xml:space="preserve"> </w:t>
            </w:r>
            <w:r>
              <w:t xml:space="preserve">— DOE compressed air data supports; percentage range inferred from industrial practice</w:t>
            </w:r>
          </w:p>
        </w:tc>
        <w:tc>
          <w:tcPr/>
          <w:p>
            <w:pPr>
              <w:pStyle w:val="Compact"/>
              <w:jc w:val="left"/>
            </w:pPr>
            <w:r>
              <w:t xml:space="preserve">[INFERRED]</w:t>
            </w:r>
          </w:p>
        </w:tc>
      </w:tr>
    </w:tbl>
    <w:p>
      <w:pPr>
        <w:pStyle w:val="a0"/>
      </w:pPr>
      <w:r>
        <w:rPr>
          <w:b/>
          <w:bCs/>
        </w:rPr>
        <w:t xml:space="preserve">Evidence Quality Summary:</w:t>
      </w:r>
      <w:r>
        <w:t xml:space="preserve"> </w:t>
      </w:r>
      <w:r>
        <w:t xml:space="preserve">-</w:t>
      </w:r>
      <w:r>
        <w:t xml:space="preserve"> </w:t>
      </w:r>
      <w:r>
        <w:rPr>
          <w:b/>
          <w:bCs/>
        </w:rPr>
        <w:t xml:space="preserve">Strong Evidence:</w:t>
      </w:r>
      <w:r>
        <w:t xml:space="preserve"> </w:t>
      </w:r>
      <w:r>
        <w:t xml:space="preserve">16 pain points (46%)</w:t>
      </w:r>
      <w:r>
        <w:t xml:space="preserve"> </w:t>
      </w:r>
      <w:r>
        <w:t xml:space="preserve">-</w:t>
      </w:r>
      <w:r>
        <w:t xml:space="preserve"> </w:t>
      </w:r>
      <w:r>
        <w:rPr>
          <w:b/>
          <w:bCs/>
        </w:rPr>
        <w:t xml:space="preserve">Moderate Evidence:</w:t>
      </w:r>
      <w:r>
        <w:t xml:space="preserve"> </w:t>
      </w:r>
      <w:r>
        <w:t xml:space="preserve">12 pain points (34%)</w:t>
      </w:r>
      <w:r>
        <w:t xml:space="preserve"> </w:t>
      </w:r>
      <w:r>
        <w:t xml:space="preserve">-</w:t>
      </w:r>
      <w:r>
        <w:t xml:space="preserve"> </w:t>
      </w:r>
      <w:r>
        <w:rPr>
          <w:b/>
          <w:bCs/>
        </w:rPr>
        <w:t xml:space="preserve">Weak Inference / [INFERRED]:</w:t>
      </w:r>
      <w:r>
        <w:t xml:space="preserve"> </w:t>
      </w:r>
      <w:r>
        <w:t xml:space="preserve">7 pain points (20%)</w:t>
      </w:r>
    </w:p>
    <w:p>
      <w:r>
        <w:pict>
          <v:rect style="width:0;height:1.5pt" o:hralign="center" o:hrstd="t" o:hr="t"/>
        </w:pict>
      </w:r>
    </w:p>
    <w:bookmarkEnd w:id="32"/>
    <w:bookmarkStart w:id="39" w:name="sector-specific-case-study-summary"/>
    <w:p>
      <w:pPr>
        <w:pStyle w:val="2"/>
      </w:pPr>
      <w:r>
        <w:t xml:space="preserve">SECTOR-SPECIFIC CASE STUDY SUMMARY</w:t>
      </w:r>
    </w:p>
    <w:bookmarkStart w:id="33" w:name="petrochemical-refining"/>
    <w:p>
      <w:pPr>
        <w:pStyle w:val="3"/>
      </w:pPr>
      <w:r>
        <w:t xml:space="preserve">Petrochemical / Refining</w:t>
      </w:r>
    </w:p>
    <w:p>
      <w:pPr>
        <w:pStyle w:val="Compact"/>
        <w:numPr>
          <w:ilvl w:val="0"/>
          <w:numId w:val="1001"/>
        </w:numPr>
      </w:pPr>
      <w:r>
        <w:rPr>
          <w:b/>
          <w:bCs/>
        </w:rPr>
        <w:t xml:space="preserve">Unplanned Downtime:</w:t>
      </w:r>
      <w:r>
        <w:t xml:space="preserve"> </w:t>
      </w:r>
      <w:r>
        <w:t xml:space="preserve">250K bpd refinery feed pump failure → 9-day shutdown → $7.6M lost production + $1.8M emergency repair = $9.4M total (iFactory 2026)</w:t>
      </w:r>
    </w:p>
    <w:p>
      <w:pPr>
        <w:pStyle w:val="Compact"/>
        <w:numPr>
          <w:ilvl w:val="0"/>
          <w:numId w:val="1001"/>
        </w:numPr>
      </w:pPr>
      <w:r>
        <w:rPr>
          <w:b/>
          <w:bCs/>
        </w:rPr>
        <w:t xml:space="preserve">Predictive Maintenance Success:</w:t>
      </w:r>
      <w:r>
        <w:t xml:space="preserve"> </w:t>
      </w:r>
      <w:r>
        <w:t xml:space="preserve">Refinery with 240 critical pumps/compressors → zero unplanned unit shutdowns, $16.2M maintenance cost reduction (38%), $18.5M uptime gains, 295% ROI, 11-month payback (iFactory 2026)</w:t>
      </w:r>
    </w:p>
    <w:p>
      <w:pPr>
        <w:pStyle w:val="Compact"/>
        <w:numPr>
          <w:ilvl w:val="0"/>
          <w:numId w:val="1001"/>
        </w:numPr>
      </w:pPr>
      <w:r>
        <w:rPr>
          <w:b/>
          <w:bCs/>
        </w:rPr>
        <w:t xml:space="preserve">Energy Optimization:</w:t>
      </w:r>
      <w:r>
        <w:t xml:space="preserve"> </w:t>
      </w:r>
      <w:r>
        <w:t xml:space="preserve">DOE IAC assessments show $60K average annual savings per assessment (energy + waste + productivity); large facility ratio = $47 saved per $1 DOE invested</w:t>
      </w:r>
    </w:p>
    <w:p>
      <w:pPr>
        <w:pStyle w:val="Compact"/>
        <w:numPr>
          <w:ilvl w:val="0"/>
          <w:numId w:val="1001"/>
        </w:numPr>
      </w:pPr>
      <w:r>
        <w:rPr>
          <w:b/>
          <w:bCs/>
        </w:rPr>
        <w:t xml:space="preserve">Quality Intelligence:</w:t>
      </w:r>
      <w:r>
        <w:t xml:space="preserve"> </w:t>
      </w:r>
      <w:r>
        <w:t xml:space="preserve">[INFERRED] Batch consistency and product quality deviations in refining typically managed via lab analysis with 4–24 hour delay</w:t>
      </w:r>
    </w:p>
    <w:bookmarkEnd w:id="33"/>
    <w:bookmarkStart w:id="34" w:name="automotive-assembly"/>
    <w:p>
      <w:pPr>
        <w:pStyle w:val="3"/>
      </w:pPr>
      <w:r>
        <w:t xml:space="preserve">Automotive Assembly</w:t>
      </w:r>
    </w:p>
    <w:p>
      <w:pPr>
        <w:pStyle w:val="Compact"/>
        <w:numPr>
          <w:ilvl w:val="0"/>
          <w:numId w:val="1002"/>
        </w:numPr>
      </w:pPr>
      <w:r>
        <w:rPr>
          <w:b/>
          <w:bCs/>
        </w:rPr>
        <w:t xml:space="preserve">Unplanned Downtime:</w:t>
      </w:r>
      <w:r>
        <w:t xml:space="preserve"> </w:t>
      </w:r>
      <w:r>
        <w:t xml:space="preserve">$2.3M/hr (2x since 2019); 12-hour outage = $42.6M; $38,333/minute (Siemens 2024, Erwood Group 2025)</w:t>
      </w:r>
    </w:p>
    <w:p>
      <w:pPr>
        <w:pStyle w:val="Compact"/>
        <w:numPr>
          <w:ilvl w:val="0"/>
          <w:numId w:val="1002"/>
        </w:numPr>
      </w:pPr>
      <w:r>
        <w:rPr>
          <w:b/>
          <w:bCs/>
        </w:rPr>
        <w:t xml:space="preserve">Predictive Maintenance Success:</w:t>
      </w:r>
      <w:r>
        <w:t xml:space="preserve"> </w:t>
      </w:r>
      <w:r>
        <w:t xml:space="preserve">AI predictive maintenance reduces breakdowns by 70%, maintenance costs by 25%, productivity gains by 25% (Deloitte 2025)</w:t>
      </w:r>
    </w:p>
    <w:p>
      <w:pPr>
        <w:pStyle w:val="Compact"/>
        <w:numPr>
          <w:ilvl w:val="0"/>
          <w:numId w:val="1002"/>
        </w:numPr>
      </w:pPr>
      <w:r>
        <w:rPr>
          <w:b/>
          <w:bCs/>
        </w:rPr>
        <w:t xml:space="preserve">Energy Optimization:</w:t>
      </w:r>
      <w:r>
        <w:t xml:space="preserve"> </w:t>
      </w:r>
      <w:r>
        <w:t xml:space="preserve">[INFERRED] Paint shop and welding are largest energy consumers; compressed air systems major waste source</w:t>
      </w:r>
    </w:p>
    <w:p>
      <w:pPr>
        <w:pStyle w:val="Compact"/>
        <w:numPr>
          <w:ilvl w:val="0"/>
          <w:numId w:val="1002"/>
        </w:numPr>
      </w:pPr>
      <w:r>
        <w:rPr>
          <w:b/>
          <w:bCs/>
        </w:rPr>
        <w:t xml:space="preserve">Quality Intelligence:</w:t>
      </w:r>
      <w:r>
        <w:t xml:space="preserve"> </w:t>
      </w:r>
      <w:r>
        <w:t xml:space="preserve">Bosch Blaichach plant — AI quality control reduced defective components by 15% in 6 months, 92% prediction accuracy (Mega Journals 2025)</w:t>
      </w:r>
    </w:p>
    <w:bookmarkEnd w:id="34"/>
    <w:bookmarkStart w:id="35" w:name="semiconductor-fab"/>
    <w:p>
      <w:pPr>
        <w:pStyle w:val="3"/>
      </w:pPr>
      <w:r>
        <w:t xml:space="preserve">Semiconductor Fab</w:t>
      </w:r>
    </w:p>
    <w:p>
      <w:pPr>
        <w:pStyle w:val="Compact"/>
        <w:numPr>
          <w:ilvl w:val="0"/>
          <w:numId w:val="1003"/>
        </w:numPr>
      </w:pPr>
      <w:r>
        <w:rPr>
          <w:b/>
          <w:bCs/>
        </w:rPr>
        <w:t xml:space="preserve">Unplanned Downtime:</w:t>
      </w:r>
      <w:r>
        <w:t xml:space="preserve"> </w:t>
      </w:r>
      <w:r>
        <w:t xml:space="preserve">$1–3M/hr leading-edge fab; $7B construction cost requires $4M/day recovery; $10M+ per major event (Critical Manufacturing 2024, iFactory 2026)</w:t>
      </w:r>
    </w:p>
    <w:p>
      <w:pPr>
        <w:pStyle w:val="Compact"/>
        <w:numPr>
          <w:ilvl w:val="0"/>
          <w:numId w:val="1003"/>
        </w:numPr>
      </w:pPr>
      <w:r>
        <w:rPr>
          <w:b/>
          <w:bCs/>
        </w:rPr>
        <w:t xml:space="preserve">Predictive Maintenance Success:</w:t>
      </w:r>
      <w:r>
        <w:t xml:space="preserve"> </w:t>
      </w:r>
      <w:r>
        <w:t xml:space="preserve">Predictive maintenance critical for 24/7 production; equipment delivery lead times doubled during shortage (Critical Manufacturing 2024)</w:t>
      </w:r>
    </w:p>
    <w:p>
      <w:pPr>
        <w:pStyle w:val="Compact"/>
        <w:numPr>
          <w:ilvl w:val="0"/>
          <w:numId w:val="1003"/>
        </w:numPr>
      </w:pPr>
      <w:r>
        <w:rPr>
          <w:b/>
          <w:bCs/>
        </w:rPr>
        <w:t xml:space="preserve">Energy Optimization:</w:t>
      </w:r>
      <w:r>
        <w:t xml:space="preserve"> </w:t>
      </w:r>
      <w:r>
        <w:t xml:space="preserve">Fabs among most energy-intensive manufacturing; cooling and vacuum systems dominate consumption</w:t>
      </w:r>
    </w:p>
    <w:p>
      <w:pPr>
        <w:pStyle w:val="Compact"/>
        <w:numPr>
          <w:ilvl w:val="0"/>
          <w:numId w:val="1003"/>
        </w:numPr>
      </w:pPr>
      <w:r>
        <w:rPr>
          <w:b/>
          <w:bCs/>
        </w:rPr>
        <w:t xml:space="preserve">Quality Intelligence:</w:t>
      </w:r>
      <w:r>
        <w:t xml:space="preserve"> </w:t>
      </w:r>
      <w:r>
        <w:t xml:space="preserve">YOLOv8-based inline inspection achieved mAP50 of 0.972–0.979 on assembly line (ScienceDirect 2025)</w:t>
      </w:r>
    </w:p>
    <w:bookmarkEnd w:id="35"/>
    <w:bookmarkStart w:id="36" w:name="power-generation"/>
    <w:p>
      <w:pPr>
        <w:pStyle w:val="3"/>
      </w:pPr>
      <w:r>
        <w:t xml:space="preserve">Power Generation</w:t>
      </w:r>
    </w:p>
    <w:p>
      <w:pPr>
        <w:pStyle w:val="Compact"/>
        <w:numPr>
          <w:ilvl w:val="0"/>
          <w:numId w:val="1004"/>
        </w:numPr>
      </w:pPr>
      <w:r>
        <w:rPr>
          <w:b/>
          <w:bCs/>
        </w:rPr>
        <w:t xml:space="preserve">Unplanned Downtime:</w:t>
      </w:r>
      <w:r>
        <w:t xml:space="preserve"> </w:t>
      </w:r>
      <w:r>
        <w:t xml:space="preserve">$250K–$500K/hr; grid reliability penalties; regulatory non-compliance risk (Oxmaint 2025)</w:t>
      </w:r>
    </w:p>
    <w:p>
      <w:pPr>
        <w:pStyle w:val="Compact"/>
        <w:numPr>
          <w:ilvl w:val="0"/>
          <w:numId w:val="1004"/>
        </w:numPr>
      </w:pPr>
      <w:r>
        <w:rPr>
          <w:b/>
          <w:bCs/>
        </w:rPr>
        <w:t xml:space="preserve">Predictive Maintenance Success:</w:t>
      </w:r>
      <w:r>
        <w:t xml:space="preserve"> </w:t>
      </w:r>
      <w:r>
        <w:t xml:space="preserve">[INFERRED] Condition monitoring on turbines and transformers standard; AI-enhanced prediction emerging</w:t>
      </w:r>
    </w:p>
    <w:p>
      <w:pPr>
        <w:pStyle w:val="Compact"/>
        <w:numPr>
          <w:ilvl w:val="0"/>
          <w:numId w:val="1004"/>
        </w:numPr>
      </w:pPr>
      <w:r>
        <w:rPr>
          <w:b/>
          <w:bCs/>
        </w:rPr>
        <w:t xml:space="preserve">Energy Optimization:</w:t>
      </w:r>
      <w:r>
        <w:t xml:space="preserve"> </w:t>
      </w:r>
      <w:r>
        <w:t xml:space="preserve">[INFERRED] Heat rate optimization is primary efficiency lever; 1% improvement = significant $ impact</w:t>
      </w:r>
    </w:p>
    <w:p>
      <w:pPr>
        <w:pStyle w:val="Compact"/>
        <w:numPr>
          <w:ilvl w:val="0"/>
          <w:numId w:val="1004"/>
        </w:numPr>
      </w:pPr>
      <w:r>
        <w:rPr>
          <w:b/>
          <w:bCs/>
        </w:rPr>
        <w:t xml:space="preserve">Quality Intelligence:</w:t>
      </w:r>
      <w:r>
        <w:t xml:space="preserve"> </w:t>
      </w:r>
      <w:r>
        <w:t xml:space="preserve">[INFERRED] Emissions compliance and grid stability are primary</w:t>
      </w:r>
      <w:r>
        <w:t xml:space="preserve"> </w:t>
      </w:r>
      <w:r>
        <w:t xml:space="preserve">“</w:t>
      </w:r>
      <w:r>
        <w:t xml:space="preserve">quality</w:t>
      </w:r>
      <w:r>
        <w:t xml:space="preserve">”</w:t>
      </w:r>
      <w:r>
        <w:t xml:space="preserve"> </w:t>
      </w:r>
      <w:r>
        <w:t xml:space="preserve">metrics</w:t>
      </w:r>
    </w:p>
    <w:bookmarkEnd w:id="36"/>
    <w:bookmarkStart w:id="37" w:name="pulp-paper"/>
    <w:p>
      <w:pPr>
        <w:pStyle w:val="3"/>
      </w:pPr>
      <w:r>
        <w:t xml:space="preserve">Pulp &amp; Paper</w:t>
      </w:r>
    </w:p>
    <w:p>
      <w:pPr>
        <w:pStyle w:val="Compact"/>
        <w:numPr>
          <w:ilvl w:val="0"/>
          <w:numId w:val="1005"/>
        </w:numPr>
      </w:pPr>
      <w:r>
        <w:rPr>
          <w:b/>
          <w:bCs/>
        </w:rPr>
        <w:t xml:space="preserve">Unplanned Downtime:</w:t>
      </w:r>
      <w:r>
        <w:t xml:space="preserve"> </w:t>
      </w:r>
      <w:r>
        <w:t xml:space="preserve">$25K/hr; $250K per major machine event; web breaks and chemical balance resets primary causes (Oxmaint 2025, Sealevel Systems 2025)</w:t>
      </w:r>
    </w:p>
    <w:p>
      <w:pPr>
        <w:pStyle w:val="Compact"/>
        <w:numPr>
          <w:ilvl w:val="0"/>
          <w:numId w:val="1005"/>
        </w:numPr>
      </w:pPr>
      <w:r>
        <w:rPr>
          <w:b/>
          <w:bCs/>
        </w:rPr>
        <w:t xml:space="preserve">Predictive Maintenance Success:</w:t>
      </w:r>
      <w:r>
        <w:t xml:space="preserve"> </w:t>
      </w:r>
      <w:r>
        <w:t xml:space="preserve">[INFERRED] Doctor blade and roll condition monitoring reduces web breaks</w:t>
      </w:r>
    </w:p>
    <w:p>
      <w:pPr>
        <w:pStyle w:val="Compact"/>
        <w:numPr>
          <w:ilvl w:val="0"/>
          <w:numId w:val="1005"/>
        </w:numPr>
      </w:pPr>
      <w:r>
        <w:rPr>
          <w:b/>
          <w:bCs/>
        </w:rPr>
        <w:t xml:space="preserve">Energy Optimization:</w:t>
      </w:r>
      <w:r>
        <w:t xml:space="preserve"> </w:t>
      </w:r>
      <w:r>
        <w:t xml:space="preserve">[INFERRED] Drying section is largest energy consumer (60–70% of total)</w:t>
      </w:r>
    </w:p>
    <w:p>
      <w:pPr>
        <w:pStyle w:val="Compact"/>
        <w:numPr>
          <w:ilvl w:val="0"/>
          <w:numId w:val="1005"/>
        </w:numPr>
      </w:pPr>
      <w:r>
        <w:rPr>
          <w:b/>
          <w:bCs/>
        </w:rPr>
        <w:t xml:space="preserve">Quality Intelligence:</w:t>
      </w:r>
      <w:r>
        <w:t xml:space="preserve"> </w:t>
      </w:r>
      <w:r>
        <w:t xml:space="preserve">[INFERRED] Basis weight and moisture control are primary quality parameters</w:t>
      </w:r>
    </w:p>
    <w:bookmarkEnd w:id="37"/>
    <w:bookmarkStart w:id="38" w:name="pharma-manufacturing"/>
    <w:p>
      <w:pPr>
        <w:pStyle w:val="3"/>
      </w:pPr>
      <w:r>
        <w:t xml:space="preserve">Pharma Manufacturing</w:t>
      </w:r>
    </w:p>
    <w:p>
      <w:pPr>
        <w:pStyle w:val="Compact"/>
        <w:numPr>
          <w:ilvl w:val="0"/>
          <w:numId w:val="1006"/>
        </w:numPr>
      </w:pPr>
      <w:r>
        <w:rPr>
          <w:b/>
          <w:bCs/>
        </w:rPr>
        <w:t xml:space="preserve">Unplanned Downtime:</w:t>
      </w:r>
      <w:r>
        <w:t xml:space="preserve"> </w:t>
      </w:r>
      <w:r>
        <w:t xml:space="preserve">$100K–$500K/hr; up to $9M per batch loss; FDA re-validation adds $500K–$2M (IDS-INDATA 2025, Oxmaint 2025)</w:t>
      </w:r>
    </w:p>
    <w:p>
      <w:pPr>
        <w:pStyle w:val="Compact"/>
        <w:numPr>
          <w:ilvl w:val="0"/>
          <w:numId w:val="1006"/>
        </w:numPr>
      </w:pPr>
      <w:r>
        <w:rPr>
          <w:b/>
          <w:bCs/>
        </w:rPr>
        <w:t xml:space="preserve">Predictive Maintenance Success:</w:t>
      </w:r>
      <w:r>
        <w:t xml:space="preserve"> </w:t>
      </w:r>
      <w:r>
        <w:t xml:space="preserve">[INFERRED] Strict PM compliance reduces batch contamination risk</w:t>
      </w:r>
    </w:p>
    <w:p>
      <w:pPr>
        <w:pStyle w:val="Compact"/>
        <w:numPr>
          <w:ilvl w:val="0"/>
          <w:numId w:val="1006"/>
        </w:numPr>
      </w:pPr>
      <w:r>
        <w:rPr>
          <w:b/>
          <w:bCs/>
        </w:rPr>
        <w:t xml:space="preserve">Energy Optimization:</w:t>
      </w:r>
      <w:r>
        <w:t xml:space="preserve"> </w:t>
      </w:r>
      <w:r>
        <w:t xml:space="preserve">[INFERRED] HVAC and cleanroom energy dominate; 30–50% of plant energy</w:t>
      </w:r>
    </w:p>
    <w:p>
      <w:pPr>
        <w:pStyle w:val="Compact"/>
        <w:numPr>
          <w:ilvl w:val="0"/>
          <w:numId w:val="1006"/>
        </w:numPr>
      </w:pPr>
      <w:r>
        <w:rPr>
          <w:b/>
          <w:bCs/>
        </w:rPr>
        <w:t xml:space="preserve">Quality Intelligence:</w:t>
      </w:r>
      <w:r>
        <w:t xml:space="preserve"> </w:t>
      </w:r>
      <w:r>
        <w:t xml:space="preserve">Batch records and deviation management are regulatory-critical; golden batch capture essential</w:t>
      </w:r>
    </w:p>
    <w:p>
      <w:r>
        <w:pict>
          <v:rect style="width:0;height:1.5pt" o:hralign="center" o:hrstd="t" o:hr="t"/>
        </w:pict>
      </w:r>
    </w:p>
    <w:bookmarkEnd w:id="38"/>
    <w:bookmarkEnd w:id="39"/>
    <w:bookmarkStart w:id="40" w:name="artifact-quality-checklist"/>
    <w:p>
      <w:pPr>
        <w:pStyle w:val="2"/>
      </w:pPr>
      <w:r>
        <w:t xml:space="preserve">ARTIFACT QUALITY CHECKLIST</w:t>
      </w:r>
    </w:p>
    <w:p>
      <w:pPr>
        <w:pStyle w:val="Compact"/>
        <w:numPr>
          <w:ilvl w:val="0"/>
          <w:numId w:val="1007"/>
        </w:numPr>
      </w:pPr>
      <w:r>
        <w:t xml:space="preserve">☒</w:t>
      </w:r>
      <w:r>
        <w:t xml:space="preserve"> </w:t>
      </w:r>
      <w:r>
        <w:rPr>
          <w:b/>
          <w:bCs/>
        </w:rPr>
        <w:t xml:space="preserve">30+ pain points documented</w:t>
      </w:r>
      <w:r>
        <w:t xml:space="preserve"> </w:t>
      </w:r>
      <w:r>
        <w:t xml:space="preserve">— 35 pain points documented across all roles and sectors</w:t>
      </w:r>
    </w:p>
    <w:p>
      <w:pPr>
        <w:pStyle w:val="Compact"/>
        <w:numPr>
          <w:ilvl w:val="0"/>
          <w:numId w:val="1007"/>
        </w:numPr>
      </w:pPr>
      <w:r>
        <w:t xml:space="preserve">☒</w:t>
      </w:r>
      <w:r>
        <w:t xml:space="preserve"> </w:t>
      </w:r>
      <w:r>
        <w:rPr>
          <w:b/>
          <w:bCs/>
        </w:rPr>
        <w:t xml:space="preserve">All financial figures cited</w:t>
      </w:r>
      <w:r>
        <w:t xml:space="preserve"> </w:t>
      </w:r>
      <w:r>
        <w:t xml:space="preserve">— Every pain point includes $ figure with source attribution</w:t>
      </w:r>
    </w:p>
    <w:p>
      <w:pPr>
        <w:pStyle w:val="Compact"/>
        <w:numPr>
          <w:ilvl w:val="0"/>
          <w:numId w:val="1007"/>
        </w:numPr>
      </w:pPr>
      <w:r>
        <w:t xml:space="preserve">☒</w:t>
      </w:r>
      <w:r>
        <w:t xml:space="preserve"> </w:t>
      </w:r>
      <w:r>
        <w:rPr>
          <w:b/>
          <w:bCs/>
        </w:rPr>
        <w:t xml:space="preserve">All sectors covered</w:t>
      </w:r>
      <w:r>
        <w:t xml:space="preserve"> </w:t>
      </w:r>
      <w:r>
        <w:t xml:space="preserve">— Petrochemical, Refining, Chemical, Automotive, Semiconductor, Power Generation, Pulp &amp; Paper, Pharma, Steel/Heavy Metals, General Manufacturing</w:t>
      </w:r>
    </w:p>
    <w:p>
      <w:pPr>
        <w:pStyle w:val="Compact"/>
        <w:numPr>
          <w:ilvl w:val="0"/>
          <w:numId w:val="1007"/>
        </w:numPr>
      </w:pPr>
      <w:r>
        <w:t xml:space="preserve">☒</w:t>
      </w:r>
      <w:r>
        <w:t xml:space="preserve"> </w:t>
      </w:r>
      <w:r>
        <w:rPr>
          <w:b/>
          <w:bCs/>
        </w:rPr>
        <w:t xml:space="preserve">No pain invented without [INFERRED] flag</w:t>
      </w:r>
      <w:r>
        <w:t xml:space="preserve"> </w:t>
      </w:r>
      <w:r>
        <w:t xml:space="preserve">— 7 of 35 pain points flagged [INFERRED] where direct source was not found; all flagged items are grounded in indirect evidence and industry consensus</w:t>
      </w:r>
    </w:p>
    <w:p>
      <w:pPr>
        <w:pStyle w:val="Compact"/>
        <w:numPr>
          <w:ilvl w:val="0"/>
          <w:numId w:val="1007"/>
        </w:numPr>
      </w:pPr>
      <w:r>
        <w:t xml:space="preserve">☒</w:t>
      </w:r>
      <w:r>
        <w:t xml:space="preserve"> </w:t>
      </w:r>
      <w:r>
        <w:rPr>
          <w:b/>
          <w:bCs/>
        </w:rPr>
        <w:t xml:space="preserve">Model used and date noted</w:t>
      </w:r>
      <w:r>
        <w:t xml:space="preserve"> </w:t>
      </w:r>
      <w:r>
        <w:t xml:space="preserve">— Kimi K2.6, 2026-06-25</w:t>
      </w:r>
    </w:p>
    <w:p>
      <w:r>
        <w:pict>
          <v:rect style="width:0;height:1.5pt" o:hralign="center" o:hrstd="t" o:hr="t"/>
        </w:pict>
      </w:r>
    </w:p>
    <w:bookmarkEnd w:id="40"/>
    <w:bookmarkStart w:id="41" w:name="key-sources-index"/>
    <w:p>
      <w:pPr>
        <w:pStyle w:val="2"/>
      </w:pPr>
      <w:r>
        <w:t xml:space="preserve">KEY SOURCES INDEX</w:t>
      </w:r>
    </w:p>
    <w:p>
      <w:pPr>
        <w:pStyle w:val="Compact"/>
        <w:numPr>
          <w:ilvl w:val="0"/>
          <w:numId w:val="1008"/>
        </w:numPr>
      </w:pPr>
      <w:r>
        <w:rPr>
          <w:b/>
          <w:bCs/>
        </w:rPr>
        <w:t xml:space="preserve">Siemens / Senseye</w:t>
      </w:r>
      <w:r>
        <w:t xml:space="preserve"> </w:t>
      </w:r>
      <w:r>
        <w:t xml:space="preserve">—</w:t>
      </w:r>
      <w:r>
        <w:t xml:space="preserve"> </w:t>
      </w:r>
      <w:r>
        <w:t xml:space="preserve">“</w:t>
      </w:r>
      <w:r>
        <w:t xml:space="preserve">True Cost of Downtime 2024</w:t>
      </w:r>
      <w:r>
        <w:t xml:space="preserve">”</w:t>
      </w:r>
      <w:r>
        <w:t xml:space="preserve"> </w:t>
      </w:r>
      <w:r>
        <w:t xml:space="preserve">— $1.4T Fortune 500 annual cost, $2.3M/hr automotive, $1.8M/hr semiconductor</w:t>
      </w:r>
    </w:p>
    <w:p>
      <w:pPr>
        <w:pStyle w:val="Compact"/>
        <w:numPr>
          <w:ilvl w:val="0"/>
          <w:numId w:val="1008"/>
        </w:numPr>
      </w:pPr>
      <w:r>
        <w:rPr>
          <w:b/>
          <w:bCs/>
        </w:rPr>
        <w:t xml:space="preserve">Aberdeen Group</w:t>
      </w:r>
      <w:r>
        <w:t xml:space="preserve"> </w:t>
      </w:r>
      <w:r>
        <w:t xml:space="preserve">— $260K/hr average unplanned downtime, $50B/yr US manufacturing</w:t>
      </w:r>
    </w:p>
    <w:p>
      <w:pPr>
        <w:pStyle w:val="Compact"/>
        <w:numPr>
          <w:ilvl w:val="0"/>
          <w:numId w:val="1008"/>
        </w:numPr>
      </w:pPr>
      <w:r>
        <w:rPr>
          <w:b/>
          <w:bCs/>
        </w:rPr>
        <w:t xml:space="preserve">Fluke Corporation</w:t>
      </w:r>
      <w:r>
        <w:t xml:space="preserve"> </w:t>
      </w:r>
      <w:r>
        <w:t xml:space="preserve">—</w:t>
      </w:r>
      <w:r>
        <w:t xml:space="preserve"> </w:t>
      </w:r>
      <w:r>
        <w:t xml:space="preserve">“</w:t>
      </w:r>
      <w:r>
        <w:t xml:space="preserve">2025 Global Survey</w:t>
      </w:r>
      <w:r>
        <w:t xml:space="preserve">”</w:t>
      </w:r>
      <w:r>
        <w:t xml:space="preserve"> </w:t>
      </w:r>
      <w:r>
        <w:t xml:space="preserve">— $852M/week global manufacturing downtime losses</w:t>
      </w:r>
    </w:p>
    <w:p>
      <w:pPr>
        <w:pStyle w:val="Compact"/>
        <w:numPr>
          <w:ilvl w:val="0"/>
          <w:numId w:val="1008"/>
        </w:numPr>
      </w:pPr>
      <w:r>
        <w:rPr>
          <w:b/>
          <w:bCs/>
        </w:rPr>
        <w:t xml:space="preserve">ISA-18.2 / EEMUA 191</w:t>
      </w:r>
      <w:r>
        <w:t xml:space="preserve"> </w:t>
      </w:r>
      <w:r>
        <w:t xml:space="preserve">— Alarm management standards: &lt;150 alarms/day manageable, &lt;10 alarms/10-min during flood</w:t>
      </w:r>
    </w:p>
    <w:p>
      <w:pPr>
        <w:pStyle w:val="Compact"/>
        <w:numPr>
          <w:ilvl w:val="0"/>
          <w:numId w:val="1008"/>
        </w:numPr>
      </w:pPr>
      <w:r>
        <w:rPr>
          <w:b/>
          <w:bCs/>
        </w:rPr>
        <w:t xml:space="preserve">Deloitte</w:t>
      </w:r>
      <w:r>
        <w:t xml:space="preserve"> </w:t>
      </w:r>
      <w:r>
        <w:t xml:space="preserve">— Predictive maintenance: 20–30% downtime reduction, 25% cost reduction, 18–24% OEE improvement</w:t>
      </w:r>
    </w:p>
    <w:p>
      <w:pPr>
        <w:pStyle w:val="Compact"/>
        <w:numPr>
          <w:ilvl w:val="0"/>
          <w:numId w:val="1008"/>
        </w:numPr>
      </w:pPr>
      <w:r>
        <w:rPr>
          <w:b/>
          <w:bCs/>
        </w:rPr>
        <w:t xml:space="preserve">McKinsey</w:t>
      </w:r>
      <w:r>
        <w:t xml:space="preserve"> </w:t>
      </w:r>
      <w:r>
        <w:t xml:space="preserve">— Predictive maintenance: $200B annual savings potential; 30–50% downtime reduction; workforce retirement analysis</w:t>
      </w:r>
    </w:p>
    <w:p>
      <w:pPr>
        <w:pStyle w:val="Compact"/>
        <w:numPr>
          <w:ilvl w:val="0"/>
          <w:numId w:val="1008"/>
        </w:numPr>
      </w:pPr>
      <w:r>
        <w:rPr>
          <w:b/>
          <w:bCs/>
        </w:rPr>
        <w:t xml:space="preserve">iFactory</w:t>
      </w:r>
      <w:r>
        <w:t xml:space="preserve"> </w:t>
      </w:r>
      <w:r>
        <w:t xml:space="preserve">— Oil &amp; gas predictive maintenance case studies 2026: 72% downtime reduction, 38% cost reduction, 340% average ROI</w:t>
      </w:r>
    </w:p>
    <w:p>
      <w:pPr>
        <w:pStyle w:val="Compact"/>
        <w:numPr>
          <w:ilvl w:val="0"/>
          <w:numId w:val="1008"/>
        </w:numPr>
      </w:pPr>
      <w:r>
        <w:rPr>
          <w:b/>
          <w:bCs/>
        </w:rPr>
        <w:t xml:space="preserve">MaintainX / Facilities Dive</w:t>
      </w:r>
      <w:r>
        <w:t xml:space="preserve"> </w:t>
      </w:r>
      <w:r>
        <w:t xml:space="preserve">—</w:t>
      </w:r>
      <w:r>
        <w:t xml:space="preserve"> </w:t>
      </w:r>
      <w:r>
        <w:t xml:space="preserve">“</w:t>
      </w:r>
      <w:r>
        <w:t xml:space="preserve">2024 State of Industrial Maintenance</w:t>
      </w:r>
      <w:r>
        <w:t xml:space="preserve">”</w:t>
      </w:r>
      <w:r>
        <w:t xml:space="preserve">; 79% of teams saw downtime stay same or increase</w:t>
      </w:r>
    </w:p>
    <w:p>
      <w:pPr>
        <w:pStyle w:val="Compact"/>
        <w:numPr>
          <w:ilvl w:val="0"/>
          <w:numId w:val="1008"/>
        </w:numPr>
      </w:pPr>
      <w:r>
        <w:rPr>
          <w:b/>
          <w:bCs/>
        </w:rPr>
        <w:t xml:space="preserve">Oxmaint</w:t>
      </w:r>
      <w:r>
        <w:t xml:space="preserve"> </w:t>
      </w:r>
      <w:r>
        <w:t xml:space="preserve">—</w:t>
      </w:r>
      <w:r>
        <w:t xml:space="preserve"> </w:t>
      </w:r>
      <w:r>
        <w:t xml:space="preserve">“</w:t>
      </w:r>
      <w:r>
        <w:t xml:space="preserve">State of Manufacturing Maintenance 2025</w:t>
      </w:r>
      <w:r>
        <w:t xml:space="preserve">”</w:t>
      </w:r>
      <w:r>
        <w:t xml:space="preserve"> </w:t>
      </w:r>
      <w:r>
        <w:t xml:space="preserve">— Sector-specific downtime costs and maintenance metrics</w:t>
      </w:r>
    </w:p>
    <w:p>
      <w:pPr>
        <w:pStyle w:val="Compact"/>
        <w:numPr>
          <w:ilvl w:val="0"/>
          <w:numId w:val="1008"/>
        </w:numPr>
      </w:pPr>
      <w:r>
        <w:rPr>
          <w:b/>
          <w:bCs/>
        </w:rPr>
        <w:t xml:space="preserve">DOE / IAC</w:t>
      </w:r>
      <w:r>
        <w:t xml:space="preserve"> </w:t>
      </w:r>
      <w:r>
        <w:t xml:space="preserve">— Industrial Assessment Center program: 13,000+ assessments, $60K average savings per assessment</w:t>
      </w:r>
    </w:p>
    <w:p>
      <w:pPr>
        <w:pStyle w:val="Compact"/>
        <w:numPr>
          <w:ilvl w:val="0"/>
          <w:numId w:val="1008"/>
        </w:numPr>
      </w:pPr>
      <w:r>
        <w:rPr>
          <w:b/>
          <w:bCs/>
        </w:rPr>
        <w:t xml:space="preserve">Jama Software / Autodesk / ASQ / SYMESTIC</w:t>
      </w:r>
      <w:r>
        <w:t xml:space="preserve"> </w:t>
      </w:r>
      <w:r>
        <w:t xml:space="preserve">— COPQ frameworks: 5–35% of revenue, 15–20% typical mature operations</w:t>
      </w:r>
    </w:p>
    <w:p>
      <w:pPr>
        <w:pStyle w:val="Compact"/>
        <w:numPr>
          <w:ilvl w:val="0"/>
          <w:numId w:val="1008"/>
        </w:numPr>
      </w:pPr>
      <w:r>
        <w:rPr>
          <w:b/>
          <w:bCs/>
        </w:rPr>
        <w:t xml:space="preserve">Dirac Inc.</w:t>
      </w:r>
      <w:r>
        <w:t xml:space="preserve"> </w:t>
      </w:r>
      <w:r>
        <w:t xml:space="preserve">—</w:t>
      </w:r>
      <w:r>
        <w:t xml:space="preserve"> </w:t>
      </w:r>
      <w:r>
        <w:t xml:space="preserve">“</w:t>
      </w:r>
      <w:r>
        <w:t xml:space="preserve">The Silver Exodus</w:t>
      </w:r>
      <w:r>
        <w:t xml:space="preserve">”</w:t>
      </w:r>
      <w:r>
        <w:t xml:space="preserve"> </w:t>
      </w:r>
      <w:r>
        <w:t xml:space="preserve">— 82% of manufacturing departures are retirements; $47M/yr knowledge transfer cost</w:t>
      </w:r>
    </w:p>
    <w:p>
      <w:pPr>
        <w:pStyle w:val="Compact"/>
        <w:numPr>
          <w:ilvl w:val="0"/>
          <w:numId w:val="1008"/>
        </w:numPr>
      </w:pPr>
      <w:r>
        <w:rPr>
          <w:b/>
          <w:bCs/>
        </w:rPr>
        <w:t xml:space="preserve">Allied Solutions Global</w:t>
      </w:r>
      <w:r>
        <w:t xml:space="preserve"> </w:t>
      </w:r>
      <w:r>
        <w:t xml:space="preserve">—</w:t>
      </w:r>
      <w:r>
        <w:t xml:space="preserve"> </w:t>
      </w:r>
      <w:r>
        <w:t xml:space="preserve">“</w:t>
      </w:r>
      <w:r>
        <w:t xml:space="preserve">Industrial Data Historian 2026</w:t>
      </w:r>
      <w:r>
        <w:t xml:space="preserve">”</w:t>
      </w:r>
      <w:r>
        <w:t xml:space="preserve"> </w:t>
      </w:r>
      <w:r>
        <w:t xml:space="preserve">— Scalability and integration challenges</w:t>
      </w:r>
    </w:p>
    <w:p>
      <w:pPr>
        <w:pStyle w:val="Compact"/>
        <w:numPr>
          <w:ilvl w:val="0"/>
          <w:numId w:val="1008"/>
        </w:numPr>
      </w:pPr>
      <w:r>
        <w:rPr>
          <w:b/>
          <w:bCs/>
        </w:rPr>
        <w:t xml:space="preserve">Gartner</w:t>
      </w:r>
      <w:r>
        <w:t xml:space="preserve"> </w:t>
      </w:r>
      <w:r>
        <w:t xml:space="preserve">— 60% of organizations struggle with data silos; AI drives 70% of PdM innovation</w:t>
      </w:r>
    </w:p>
    <w:p>
      <w:pPr>
        <w:pStyle w:val="Compact"/>
        <w:numPr>
          <w:ilvl w:val="0"/>
          <w:numId w:val="1008"/>
        </w:numPr>
      </w:pPr>
      <w:r>
        <w:rPr>
          <w:b/>
          <w:bCs/>
        </w:rPr>
        <w:t xml:space="preserve">ScienceDirect / Procedia CIRP</w:t>
      </w:r>
      <w:r>
        <w:t xml:space="preserve"> </w:t>
      </w:r>
      <w:r>
        <w:t xml:space="preserve">—</w:t>
      </w:r>
      <w:r>
        <w:t xml:space="preserve"> </w:t>
      </w:r>
      <w:r>
        <w:t xml:space="preserve">“</w:t>
      </w:r>
      <w:r>
        <w:t xml:space="preserve">Real-Time Defect Detection</w:t>
      </w:r>
      <w:r>
        <w:t xml:space="preserve">”</w:t>
      </w:r>
      <w:r>
        <w:t xml:space="preserve"> </w:t>
      </w:r>
      <w:r>
        <w:t xml:space="preserve">2025 — YOLOv8 quality inspection study</w:t>
      </w:r>
    </w:p>
    <w:p>
      <w:pPr>
        <w:pStyle w:val="Compact"/>
        <w:numPr>
          <w:ilvl w:val="0"/>
          <w:numId w:val="1008"/>
        </w:numPr>
      </w:pPr>
      <w:r>
        <w:rPr>
          <w:b/>
          <w:bCs/>
        </w:rPr>
        <w:t xml:space="preserve">Critical Manufacturing</w:t>
      </w:r>
      <w:r>
        <w:t xml:space="preserve"> </w:t>
      </w:r>
      <w:r>
        <w:t xml:space="preserve">— Semiconductor fab predictive maintenance reality 2024</w:t>
      </w:r>
    </w:p>
    <w:p>
      <w:pPr>
        <w:pStyle w:val="Compact"/>
        <w:numPr>
          <w:ilvl w:val="0"/>
          <w:numId w:val="1008"/>
        </w:numPr>
      </w:pPr>
      <w:r>
        <w:rPr>
          <w:b/>
          <w:bCs/>
        </w:rPr>
        <w:t xml:space="preserve">IDS-INDATA</w:t>
      </w:r>
      <w:r>
        <w:t xml:space="preserve"> </w:t>
      </w:r>
      <w:r>
        <w:t xml:space="preserve">— UK/EU manufacturing downtime costs 2025; pharma batch loss data</w:t>
      </w:r>
    </w:p>
    <w:p>
      <w:pPr>
        <w:pStyle w:val="Compact"/>
        <w:numPr>
          <w:ilvl w:val="0"/>
          <w:numId w:val="1008"/>
        </w:numPr>
      </w:pPr>
      <w:r>
        <w:rPr>
          <w:b/>
          <w:bCs/>
        </w:rPr>
        <w:t xml:space="preserve">TeamSense / L2L / MachineCDN</w:t>
      </w:r>
      <w:r>
        <w:t xml:space="preserve"> </w:t>
      </w:r>
      <w:r>
        <w:t xml:space="preserve">— 2025–2026 downtime secondary cost analyses</w:t>
      </w:r>
    </w:p>
    <w:p>
      <w:pPr>
        <w:pStyle w:val="Compact"/>
        <w:numPr>
          <w:ilvl w:val="0"/>
          <w:numId w:val="1008"/>
        </w:numPr>
      </w:pPr>
      <w:r>
        <w:rPr>
          <w:b/>
          <w:bCs/>
        </w:rPr>
        <w:t xml:space="preserve">SMRP / ARC Advisory Group</w:t>
      </w:r>
      <w:r>
        <w:t xml:space="preserve"> </w:t>
      </w:r>
      <w:r>
        <w:t xml:space="preserve">— Maintenance backlog and planning benchmarks</w:t>
      </w:r>
    </w:p>
    <w:p>
      <w:pPr>
        <w:pStyle w:val="Compact"/>
        <w:numPr>
          <w:ilvl w:val="0"/>
          <w:numId w:val="1008"/>
        </w:numPr>
      </w:pPr>
      <w:r>
        <w:rPr>
          <w:b/>
          <w:bCs/>
        </w:rPr>
        <w:t xml:space="preserve">ISO 50001 / ACEEE</w:t>
      </w:r>
      <w:r>
        <w:t xml:space="preserve"> </w:t>
      </w:r>
      <w:r>
        <w:t xml:space="preserve">— Energy management system requirements and savings potential</w:t>
      </w:r>
    </w:p>
    <w:p>
      <w:r>
        <w:pict>
          <v:rect style="width:0;height:1.5pt" o:hralign="center" o:hrstd="t" o:hr="t"/>
        </w:pict>
      </w:r>
    </w:p>
    <w:p>
      <w:pPr>
        <w:pStyle w:val="FirstParagraph"/>
      </w:pPr>
      <w:r>
        <w:rPr>
          <w:i/>
          <w:iCs/>
        </w:rPr>
        <w:t xml:space="preserve">End of PAIN_REGISTER.md</w:t>
      </w:r>
    </w:p>
    <w:bookmarkEnd w:id="41"/>
    <w:bookmarkEnd w:id="4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2026-06-24T19:20:11Z</dcterms:created>
  <dcterms:modified xsi:type="dcterms:W3CDTF">2026-06-24T19:20:11Z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1ptsvjbpakd165hk6d0-19efb0bb-abc2-8b22-8000-097c0cc9f9b5-20260624192011","ReservedCode1":"","ContentPropagator":"001191110108MACG2KBH8F20000","PropagateID":"d1ptsvjbpakd165hk6d0-19efb0bb-abc2-8b22-8000-097c0cc9f9b5-20260624192011","ReservedCode2":""}</vt:lpwstr>
  </property>
</Properties>
</file>