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003366"/>
          <w:sz w:val="36"/>
        </w:rPr>
        <w:t>PlantMind × Götze Engine — Executive Brief (v1)</w:t>
      </w:r>
    </w:p>
    <w:p>
      <w:r>
        <w:rPr>
          <w:i/>
          <w:sz w:val="18"/>
        </w:rPr>
        <w:t>Derived from PROJECT-DNA v1.0 (LOCKED) · 2026-07-01 · for leadership</w:t>
      </w:r>
    </w:p>
    <w:p>
      <w:pPr>
        <w:spacing w:after="120"/>
      </w:pPr>
      <w:r>
        <w:rPr>
          <w:b/>
          <w:color w:val="003366"/>
          <w:sz w:val="26"/>
        </w:rPr>
        <w:t>What it is</w:t>
      </w:r>
    </w:p>
    <w:p>
      <w:r>
        <w:t>A config-driven, physics-informed, agentic decision fabric for asset-intensive industries. It turns existing plant data into trusted, ranked, human-approved, audited engineering actions — without rip-and-replace. It is NOT a digital twin, an alerting tool, or a generic agent builder; it is the governed decision-and-action layer on top of them.</w:t>
      </w:r>
    </w:p>
    <w:p>
      <w:pPr>
        <w:spacing w:after="120"/>
      </w:pPr>
      <w:r>
        <w:rPr>
          <w:b/>
          <w:color w:val="003366"/>
          <w:sz w:val="26"/>
        </w:rPr>
        <w:t>The problem</w:t>
      </w:r>
    </w:p>
    <w:p>
      <w:r>
        <w:t>Plants drown in alerts and tribal knowledge but lack a governed, auditable way to turn data into ranked, feasible actions — and every new plant needs custom integration. Pilots don't scale.</w:t>
      </w:r>
    </w:p>
    <w:p>
      <w:pPr>
        <w:spacing w:after="120"/>
      </w:pPr>
      <w:r>
        <w:rPr>
          <w:b/>
          <w:color w:val="003366"/>
          <w:sz w:val="26"/>
        </w:rPr>
        <w:t>The solution — two pillars</w:t>
      </w:r>
    </w:p>
    <w:p>
      <w:r>
        <w:t>1) Closed decision loop: physics health → Intervention Impact Score → one approved, audited action.</w:t>
        <w:br/>
        <w:t>2) Config-driven modularity: a Plant Config Manifest composes the whole stack; a new plant/asset is a config change, not a code deploy.</w:t>
      </w:r>
    </w:p>
    <w:p>
      <w:pPr>
        <w:spacing w:after="120"/>
      </w:pPr>
      <w:r>
        <w:rPr>
          <w:b/>
          <w:color w:val="003366"/>
          <w:sz w:val="26"/>
        </w:rPr>
        <w:t>Proof &amp; impact</w:t>
      </w:r>
    </w:p>
    <w:p>
      <w:r>
        <w:t>Demo: a 30-asset fleet; inject degradation on hero PUMP-001 → health drops → the Götze panel surfaces the one best action → human approves → work order + immutable audit. Headline: ~$180k downtime saved per prevented pump failure.</w:t>
      </w:r>
    </w:p>
    <w:p>
      <w:pPr>
        <w:spacing w:after="120"/>
      </w:pPr>
      <w:r>
        <w:rPr>
          <w:b/>
          <w:color w:val="003366"/>
          <w:sz w:val="26"/>
        </w:rPr>
        <w:t>Why LTTS wins</w:t>
      </w:r>
    </w:p>
    <w:p>
      <w:r>
        <w:t>A licensable Layer-0 Center-of-Excellence framework; swappable scoring profiles map 1:1 to the five LTTS–Databricks joint areas; accelerates the Databricks go-to-market as the decision-fabric layer.</w:t>
      </w:r>
    </w:p>
    <w:p>
      <w:pPr>
        <w:spacing w:after="120"/>
      </w:pPr>
      <w:r>
        <w:rPr>
          <w:b/>
          <w:color w:val="003366"/>
          <w:sz w:val="26"/>
        </w:rPr>
        <w:t>Status &amp; ask</w:t>
      </w:r>
    </w:p>
    <w:p>
      <w:r>
        <w:t>Product idea LOCKED (PROJECT-DNA v1.0). Readiness 70.3% against an 8-dimension rubric; gaps in demo rehearsal, config-pipeline feasibility, and data-fit. Next blocker: lock the shared contracts. Hackathon: 9 July 2026.</w:t>
      </w:r>
    </w:p>
    <w:p>
      <w:r>
        <w:rPr>
          <w:i/>
          <w:sz w:val="16"/>
        </w:rPr>
        <w:t>Source of truth: PROJECT-DNA.md + LOCKED_STATE.md. This brief is a derived rendering, regenerated when the DNA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