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media/image1.png" ContentType="image/jpeg"/>
  <Override PartName="/word/media/image2.png" ContentType="image/jpeg"/>
  <Override PartName="/word/media/image3.png" ContentType="image/jpeg"/>
  <Override PartName="/word/media/image4.png" ContentType="image/jpeg"/>
  <Override PartName="/word/media/image5.png" ContentType="image/jpeg"/>
  <Override PartName="/word/media/image6.png" ContentType="image/jpeg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200"/>
        <w:jc w:val="center"/>
      </w:pPr>
      <w:r>
        <w:rPr>
          <w:b/>
          <w:sz w:val="52"/>
          <w:rFonts w:eastAsia="黑体"/>
        </w:rPr>
        <w:t>《软件项目设计》</w:t>
      </w:r>
    </w:p>
    <w:p>
      <w:pPr>
        <w:spacing w:before="360"/>
        <w:jc w:val="left"/>
      </w:pPr>
      <w:r>
        <w:rPr>
          <w:b w:val="0"/>
          <w:sz w:val="28"/>
          <w:rFonts w:eastAsia="宋体"/>
        </w:rPr>
        <w:t>题　　目：家庭理财系统的设计与实现</w:t>
      </w:r>
    </w:p>
    <w:p>
      <w:pPr>
        <w:spacing w:before="360"/>
        <w:jc w:val="left"/>
      </w:pPr>
      <w:r>
        <w:rPr>
          <w:b w:val="0"/>
          <w:sz w:val="28"/>
          <w:rFonts w:eastAsia="宋体"/>
        </w:rPr>
        <w:t>专业班级：[专业班级]</w:t>
      </w:r>
    </w:p>
    <w:p>
      <w:pPr>
        <w:spacing w:before="360"/>
        <w:jc w:val="left"/>
      </w:pPr>
      <w:r>
        <w:rPr>
          <w:b w:val="0"/>
          <w:sz w:val="28"/>
          <w:rFonts w:eastAsia="宋体"/>
        </w:rPr>
        <w:t>学　　号：[组员一学号]</w:t>
      </w:r>
    </w:p>
    <w:p>
      <w:pPr>
        <w:spacing w:before="360"/>
        <w:jc w:val="left"/>
      </w:pPr>
      <w:r>
        <w:rPr>
          <w:b w:val="0"/>
          <w:sz w:val="28"/>
          <w:rFonts w:eastAsia="宋体"/>
        </w:rPr>
        <w:t>姓　　名：[组员一姓名]</w:t>
      </w:r>
    </w:p>
    <w:p>
      <w:pPr>
        <w:spacing w:before="360"/>
        <w:jc w:val="left"/>
      </w:pPr>
      <w:r>
        <w:rPr>
          <w:b w:val="0"/>
          <w:sz w:val="28"/>
          <w:rFonts w:eastAsia="宋体"/>
        </w:rPr>
        <w:t>指导教师：[指导教师]</w:t>
      </w:r>
    </w:p>
    <w:p>
      <w:pPr>
        <w:spacing w:before="1600"/>
        <w:jc w:val="center"/>
      </w:pPr>
      <w:r>
        <w:rPr>
          <w:b/>
          <w:sz w:val="32"/>
          <w:rFonts w:eastAsia="宋体"/>
        </w:rPr>
        <w:t>计算机学院</w:t>
      </w:r>
    </w:p>
    <w:p>
      <w:pPr>
        <w:spacing w:before="600"/>
        <w:jc w:val="center"/>
      </w:pPr>
      <w:r>
        <w:rPr>
          <w:b/>
          <w:sz w:val="32"/>
          <w:rFonts w:eastAsia="宋体"/>
        </w:rPr>
        <w:t>2026 年 9 月</w:t>
      </w:r>
    </w:p>
    <w:p>
      <w:pPr>
        <w:pStyle w:val="Heading1"/>
        <w:keepNext/>
        <w:pageBreakBefore/>
        <w:spacing w:before="200" w:after="120"/>
      </w:pPr>
      <w:r>
        <w:rPr>
          <w:rFonts w:ascii="黑体" w:hAnsi="黑体" w:eastAsia="黑体"/>
          <w:b/>
          <w:color w:val="000000"/>
          <w:sz w:val="28"/>
        </w:rPr>
        <w:t>一、进度计划与可行性分析</w:t>
      </w:r>
    </w:p>
    <w:p>
      <w:pPr>
        <w:pStyle w:val="Heading2"/>
        <w:keepNext/>
        <w:pageBreakBefore w:val="0"/>
        <w:spacing w:before="140" w:after="120"/>
      </w:pPr>
      <w:r>
        <w:rPr>
          <w:rFonts w:ascii="黑体" w:hAnsi="黑体" w:eastAsia="黑体"/>
          <w:b/>
          <w:color w:val="000000"/>
          <w:sz w:val="24"/>
        </w:rPr>
        <w:t>1.1 项目进度计划</w:t>
      </w:r>
    </w:p>
    <w:p>
      <w:pPr>
        <w:spacing w:line="360" w:lineRule="auto" w:after="80"/>
        <w:ind w:firstLine="440"/>
        <w:jc w:val="both"/>
      </w:pPr>
      <w:r>
        <w:rPr>
          <w:rFonts w:ascii="宋体" w:hAnsi="宋体" w:eastAsia="宋体"/>
          <w:b w:val="0"/>
          <w:sz w:val="22"/>
        </w:rPr>
        <w:t>项目按需求与架构、工程与数据库、认证与权限、核心业务、统计与前端、测试与报告六个阶段推进。各阶段先明确输入和验收条件，再进行实现与联调，避免在课设范围内引入没有当前需求的复杂设施。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  <w:tblCellMar>
          <w:top w:w="60" w:type="dxa"/>
          <w:bottom w:w="60" w:type="dxa"/>
          <w:left w:w="80" w:type="dxa"/>
          <w:right w:w="80" w:type="dxa"/>
        </w:tblCellMar>
      </w:tblPr>
      <w:tblGrid>
        <w:gridCol w:w="2209"/>
        <w:gridCol w:w="2209"/>
        <w:gridCol w:w="2209"/>
        <w:gridCol w:w="2209"/>
      </w:tblGrid>
      <w:tr>
        <w:trPr>
          <w:tblHeader w:val="true"/>
          <w:cantSplit/>
        </w:trPr>
        <w:tc>
          <w:tcPr>
            <w:tcW w:type="dxa" w:w="1512"/>
            <w:vAlign w:val="center"/>
            <w:shd w:fill="E9EEF9"/>
          </w:tcPr>
          <w:p>
            <w:pPr>
              <w:spacing w:line="276" w:lineRule="auto" w:before="0" w:after="0"/>
              <w:jc w:val="center"/>
              <w:snapToGrid w:val="0"/>
            </w:pPr>
            <w:r>
              <w:rPr>
                <w:rFonts w:ascii="黑体" w:hAnsi="黑体" w:eastAsia="黑体"/>
                <w:b/>
                <w:sz w:val="19"/>
              </w:rPr>
              <w:t>阶段</w:t>
            </w:r>
          </w:p>
        </w:tc>
        <w:tc>
          <w:tcPr>
            <w:tcW w:type="dxa" w:w="2952"/>
            <w:vAlign w:val="center"/>
            <w:shd w:fill="E9EEF9"/>
          </w:tcPr>
          <w:p>
            <w:pPr>
              <w:spacing w:line="276" w:lineRule="auto" w:before="0" w:after="0"/>
              <w:jc w:val="center"/>
              <w:snapToGrid w:val="0"/>
            </w:pPr>
            <w:r>
              <w:rPr>
                <w:rFonts w:ascii="黑体" w:hAnsi="黑体" w:eastAsia="黑体"/>
                <w:b/>
                <w:sz w:val="19"/>
              </w:rPr>
              <w:t>主要工作</w:t>
            </w:r>
          </w:p>
        </w:tc>
        <w:tc>
          <w:tcPr>
            <w:tcW w:type="dxa" w:w="2664"/>
            <w:vAlign w:val="center"/>
            <w:shd w:fill="E9EEF9"/>
          </w:tcPr>
          <w:p>
            <w:pPr>
              <w:spacing w:line="276" w:lineRule="auto" w:before="0" w:after="0"/>
              <w:jc w:val="center"/>
              <w:snapToGrid w:val="0"/>
            </w:pPr>
            <w:r>
              <w:rPr>
                <w:rFonts w:ascii="黑体" w:hAnsi="黑体" w:eastAsia="黑体"/>
                <w:b/>
                <w:sz w:val="19"/>
              </w:rPr>
              <w:t>主要产出</w:t>
            </w:r>
          </w:p>
        </w:tc>
        <w:tc>
          <w:tcPr>
            <w:tcW w:type="dxa" w:w="1296"/>
            <w:vAlign w:val="center"/>
            <w:shd w:fill="E9EEF9"/>
          </w:tcPr>
          <w:p>
            <w:pPr>
              <w:spacing w:line="276" w:lineRule="auto" w:before="0" w:after="0"/>
              <w:jc w:val="center"/>
              <w:snapToGrid w:val="0"/>
            </w:pPr>
            <w:r>
              <w:rPr>
                <w:rFonts w:ascii="黑体" w:hAnsi="黑体" w:eastAsia="黑体"/>
                <w:b/>
                <w:sz w:val="19"/>
              </w:rPr>
              <w:t>状态</w:t>
            </w:r>
          </w:p>
        </w:tc>
      </w:tr>
      <w:tr>
        <w:trPr>
          <w:cantSplit/>
        </w:trPr>
        <w:tc>
          <w:tcPr>
            <w:tcW w:type="dxa" w:w="1512"/>
            <w:vAlign w:val="center"/>
          </w:tcPr>
          <w:p>
            <w:pPr>
              <w:spacing w:after="0" w:line="276" w:lineRule="auto" w:before="0"/>
              <w:snapToGrid w:val="0"/>
            </w:pPr>
            <w:r>
              <w:rPr>
                <w:rFonts w:ascii="宋体" w:hAnsi="宋体" w:eastAsia="宋体"/>
                <w:sz w:val="19"/>
              </w:rPr>
              <w:t>需求与架构</w:t>
            </w:r>
          </w:p>
        </w:tc>
        <w:tc>
          <w:tcPr>
            <w:tcW w:type="dxa" w:w="2952"/>
            <w:vAlign w:val="center"/>
          </w:tcPr>
          <w:p>
            <w:pPr>
              <w:spacing w:after="0" w:line="276" w:lineRule="auto" w:before="0"/>
              <w:snapToGrid w:val="0"/>
            </w:pPr>
            <w:r>
              <w:rPr>
                <w:rFonts w:ascii="宋体" w:hAnsi="宋体" w:eastAsia="宋体"/>
                <w:sz w:val="19"/>
              </w:rPr>
              <w:t>任务书分析、角色与边界、接口和数据模型</w:t>
            </w:r>
          </w:p>
        </w:tc>
        <w:tc>
          <w:tcPr>
            <w:tcW w:type="dxa" w:w="2664"/>
            <w:vAlign w:val="center"/>
          </w:tcPr>
          <w:p>
            <w:pPr>
              <w:spacing w:after="0" w:line="276" w:lineRule="auto" w:before="0"/>
              <w:snapToGrid w:val="0"/>
            </w:pPr>
            <w:r>
              <w:rPr>
                <w:rFonts w:ascii="宋体" w:hAnsi="宋体" w:eastAsia="宋体"/>
                <w:sz w:val="19"/>
              </w:rPr>
              <w:t>PRD、架构设计、实施计划</w:t>
            </w:r>
          </w:p>
        </w:tc>
        <w:tc>
          <w:tcPr>
            <w:tcW w:type="dxa" w:w="1296"/>
            <w:vAlign w:val="center"/>
          </w:tcPr>
          <w:p>
            <w:pPr>
              <w:spacing w:after="0" w:line="276" w:lineRule="auto" w:before="0"/>
              <w:snapToGrid w:val="0"/>
            </w:pPr>
            <w:r>
              <w:rPr>
                <w:rFonts w:ascii="宋体" w:hAnsi="宋体" w:eastAsia="宋体"/>
                <w:sz w:val="19"/>
              </w:rPr>
              <w:t>完成</w:t>
            </w:r>
          </w:p>
        </w:tc>
      </w:tr>
      <w:tr>
        <w:trPr>
          <w:cantSplit/>
        </w:trPr>
        <w:tc>
          <w:tcPr>
            <w:tcW w:type="dxa" w:w="1512"/>
            <w:vAlign w:val="center"/>
          </w:tcPr>
          <w:p>
            <w:pPr>
              <w:spacing w:after="0" w:line="276" w:lineRule="auto" w:before="0"/>
              <w:snapToGrid w:val="0"/>
            </w:pPr>
            <w:r>
              <w:rPr>
                <w:rFonts w:ascii="宋体" w:hAnsi="宋体" w:eastAsia="宋体"/>
                <w:sz w:val="19"/>
              </w:rPr>
              <w:t>工程与数据库</w:t>
            </w:r>
          </w:p>
        </w:tc>
        <w:tc>
          <w:tcPr>
            <w:tcW w:type="dxa" w:w="2952"/>
            <w:vAlign w:val="center"/>
          </w:tcPr>
          <w:p>
            <w:pPr>
              <w:spacing w:after="0" w:line="276" w:lineRule="auto" w:before="0"/>
              <w:snapToGrid w:val="0"/>
            </w:pPr>
            <w:r>
              <w:rPr>
                <w:rFonts w:ascii="宋体" w:hAnsi="宋体" w:eastAsia="宋体"/>
                <w:sz w:val="19"/>
              </w:rPr>
              <w:t>前后端骨架、八表迁移、配置样例</w:t>
            </w:r>
          </w:p>
        </w:tc>
        <w:tc>
          <w:tcPr>
            <w:tcW w:type="dxa" w:w="2664"/>
            <w:vAlign w:val="center"/>
          </w:tcPr>
          <w:p>
            <w:pPr>
              <w:spacing w:after="0" w:line="276" w:lineRule="auto" w:before="0"/>
              <w:snapToGrid w:val="0"/>
            </w:pPr>
            <w:r>
              <w:rPr>
                <w:rFonts w:ascii="宋体" w:hAnsi="宋体" w:eastAsia="宋体"/>
                <w:sz w:val="19"/>
              </w:rPr>
              <w:t>V1/V2 Flyway SQL</w:t>
            </w:r>
          </w:p>
        </w:tc>
        <w:tc>
          <w:tcPr>
            <w:tcW w:type="dxa" w:w="1296"/>
            <w:vAlign w:val="center"/>
          </w:tcPr>
          <w:p>
            <w:pPr>
              <w:spacing w:after="0" w:line="276" w:lineRule="auto" w:before="0"/>
              <w:snapToGrid w:val="0"/>
            </w:pPr>
            <w:r>
              <w:rPr>
                <w:rFonts w:ascii="宋体" w:hAnsi="宋体" w:eastAsia="宋体"/>
                <w:sz w:val="19"/>
              </w:rPr>
              <w:t>完成</w:t>
            </w:r>
          </w:p>
        </w:tc>
      </w:tr>
      <w:tr>
        <w:trPr>
          <w:cantSplit/>
        </w:trPr>
        <w:tc>
          <w:tcPr>
            <w:tcW w:type="dxa" w:w="1512"/>
            <w:vAlign w:val="center"/>
          </w:tcPr>
          <w:p>
            <w:pPr>
              <w:spacing w:after="0" w:line="276" w:lineRule="auto" w:before="0"/>
              <w:snapToGrid w:val="0"/>
            </w:pPr>
            <w:r>
              <w:rPr>
                <w:rFonts w:ascii="宋体" w:hAnsi="宋体" w:eastAsia="宋体"/>
                <w:sz w:val="19"/>
              </w:rPr>
              <w:t>认证与权限</w:t>
            </w:r>
          </w:p>
        </w:tc>
        <w:tc>
          <w:tcPr>
            <w:tcW w:type="dxa" w:w="2952"/>
            <w:vAlign w:val="center"/>
          </w:tcPr>
          <w:p>
            <w:pPr>
              <w:spacing w:after="0" w:line="276" w:lineRule="auto" w:before="0"/>
              <w:snapToGrid w:val="0"/>
            </w:pPr>
            <w:r>
              <w:rPr>
                <w:rFonts w:ascii="宋体" w:hAnsi="宋体" w:eastAsia="宋体"/>
                <w:sz w:val="19"/>
              </w:rPr>
              <w:t>Session、CSRF、家庭入户、角色边界</w:t>
            </w:r>
          </w:p>
        </w:tc>
        <w:tc>
          <w:tcPr>
            <w:tcW w:type="dxa" w:w="2664"/>
            <w:vAlign w:val="center"/>
          </w:tcPr>
          <w:p>
            <w:pPr>
              <w:spacing w:after="0" w:line="276" w:lineRule="auto" w:before="0"/>
              <w:snapToGrid w:val="0"/>
            </w:pPr>
            <w:r>
              <w:rPr>
                <w:rFonts w:ascii="宋体" w:hAnsi="宋体" w:eastAsia="宋体"/>
                <w:sz w:val="19"/>
              </w:rPr>
              <w:t>认证与家庭闭环</w:t>
            </w:r>
          </w:p>
        </w:tc>
        <w:tc>
          <w:tcPr>
            <w:tcW w:type="dxa" w:w="1296"/>
            <w:vAlign w:val="center"/>
          </w:tcPr>
          <w:p>
            <w:pPr>
              <w:spacing w:after="0" w:line="276" w:lineRule="auto" w:before="0"/>
              <w:snapToGrid w:val="0"/>
            </w:pPr>
            <w:r>
              <w:rPr>
                <w:rFonts w:ascii="宋体" w:hAnsi="宋体" w:eastAsia="宋体"/>
                <w:sz w:val="19"/>
              </w:rPr>
              <w:t>完成</w:t>
            </w:r>
          </w:p>
        </w:tc>
      </w:tr>
      <w:tr>
        <w:trPr>
          <w:cantSplit/>
        </w:trPr>
        <w:tc>
          <w:tcPr>
            <w:tcW w:type="dxa" w:w="1512"/>
            <w:vAlign w:val="center"/>
          </w:tcPr>
          <w:p>
            <w:pPr>
              <w:spacing w:after="0" w:line="276" w:lineRule="auto" w:before="0"/>
              <w:snapToGrid w:val="0"/>
            </w:pPr>
            <w:r>
              <w:rPr>
                <w:rFonts w:ascii="宋体" w:hAnsi="宋体" w:eastAsia="宋体"/>
                <w:sz w:val="19"/>
              </w:rPr>
              <w:t>核心业务</w:t>
            </w:r>
          </w:p>
        </w:tc>
        <w:tc>
          <w:tcPr>
            <w:tcW w:type="dxa" w:w="2952"/>
            <w:vAlign w:val="center"/>
          </w:tcPr>
          <w:p>
            <w:pPr>
              <w:spacing w:after="0" w:line="276" w:lineRule="auto" w:before="0"/>
              <w:snapToGrid w:val="0"/>
            </w:pPr>
            <w:r>
              <w:rPr>
                <w:rFonts w:ascii="宋体" w:hAnsi="宋体" w:eastAsia="宋体"/>
                <w:sz w:val="19"/>
              </w:rPr>
              <w:t>成员、分类、流水和资料</w:t>
            </w:r>
          </w:p>
        </w:tc>
        <w:tc>
          <w:tcPr>
            <w:tcW w:type="dxa" w:w="2664"/>
            <w:vAlign w:val="center"/>
          </w:tcPr>
          <w:p>
            <w:pPr>
              <w:spacing w:after="0" w:line="276" w:lineRule="auto" w:before="0"/>
              <w:snapToGrid w:val="0"/>
            </w:pPr>
            <w:r>
              <w:rPr>
                <w:rFonts w:ascii="宋体" w:hAnsi="宋体" w:eastAsia="宋体"/>
                <w:sz w:val="19"/>
              </w:rPr>
              <w:t>业务 CRUD 与校验</w:t>
            </w:r>
          </w:p>
        </w:tc>
        <w:tc>
          <w:tcPr>
            <w:tcW w:type="dxa" w:w="1296"/>
            <w:vAlign w:val="center"/>
          </w:tcPr>
          <w:p>
            <w:pPr>
              <w:spacing w:after="0" w:line="276" w:lineRule="auto" w:before="0"/>
              <w:snapToGrid w:val="0"/>
            </w:pPr>
            <w:r>
              <w:rPr>
                <w:rFonts w:ascii="宋体" w:hAnsi="宋体" w:eastAsia="宋体"/>
                <w:sz w:val="19"/>
              </w:rPr>
              <w:t>完成</w:t>
            </w:r>
          </w:p>
        </w:tc>
      </w:tr>
      <w:tr>
        <w:trPr>
          <w:cantSplit/>
        </w:trPr>
        <w:tc>
          <w:tcPr>
            <w:tcW w:type="dxa" w:w="1512"/>
            <w:vAlign w:val="center"/>
          </w:tcPr>
          <w:p>
            <w:pPr>
              <w:spacing w:after="0" w:line="276" w:lineRule="auto" w:before="0"/>
              <w:snapToGrid w:val="0"/>
            </w:pPr>
            <w:r>
              <w:rPr>
                <w:rFonts w:ascii="宋体" w:hAnsi="宋体" w:eastAsia="宋体"/>
                <w:sz w:val="19"/>
              </w:rPr>
              <w:t>统计与前端</w:t>
            </w:r>
          </w:p>
        </w:tc>
        <w:tc>
          <w:tcPr>
            <w:tcW w:type="dxa" w:w="2952"/>
            <w:vAlign w:val="center"/>
          </w:tcPr>
          <w:p>
            <w:pPr>
              <w:spacing w:after="0" w:line="276" w:lineRule="auto" w:before="0"/>
              <w:snapToGrid w:val="0"/>
            </w:pPr>
            <w:r>
              <w:rPr>
                <w:rFonts w:ascii="宋体" w:hAnsi="宋体" w:eastAsia="宋体"/>
                <w:sz w:val="19"/>
              </w:rPr>
              <w:t>仪表盘、页面壳、响应式和状态页</w:t>
            </w:r>
          </w:p>
        </w:tc>
        <w:tc>
          <w:tcPr>
            <w:tcW w:type="dxa" w:w="2664"/>
            <w:vAlign w:val="center"/>
          </w:tcPr>
          <w:p>
            <w:pPr>
              <w:spacing w:after="0" w:line="276" w:lineRule="auto" w:before="0"/>
              <w:snapToGrid w:val="0"/>
            </w:pPr>
            <w:r>
              <w:rPr>
                <w:rFonts w:ascii="宋体" w:hAnsi="宋体" w:eastAsia="宋体"/>
                <w:sz w:val="19"/>
              </w:rPr>
              <w:t>可演示 Web 系统</w:t>
            </w:r>
          </w:p>
        </w:tc>
        <w:tc>
          <w:tcPr>
            <w:tcW w:type="dxa" w:w="1296"/>
            <w:vAlign w:val="center"/>
          </w:tcPr>
          <w:p>
            <w:pPr>
              <w:spacing w:after="0" w:line="276" w:lineRule="auto" w:before="0"/>
              <w:snapToGrid w:val="0"/>
            </w:pPr>
            <w:r>
              <w:rPr>
                <w:rFonts w:ascii="宋体" w:hAnsi="宋体" w:eastAsia="宋体"/>
                <w:sz w:val="19"/>
              </w:rPr>
              <w:t>完成</w:t>
            </w:r>
          </w:p>
        </w:tc>
      </w:tr>
      <w:tr>
        <w:trPr>
          <w:cantSplit/>
        </w:trPr>
        <w:tc>
          <w:tcPr>
            <w:tcW w:type="dxa" w:w="1512"/>
            <w:vAlign w:val="center"/>
          </w:tcPr>
          <w:p>
            <w:pPr>
              <w:spacing w:after="0" w:line="276" w:lineRule="auto" w:before="0"/>
              <w:snapToGrid w:val="0"/>
            </w:pPr>
            <w:r>
              <w:rPr>
                <w:rFonts w:ascii="宋体" w:hAnsi="宋体" w:eastAsia="宋体"/>
                <w:sz w:val="19"/>
              </w:rPr>
              <w:t>理财扩展</w:t>
            </w:r>
          </w:p>
        </w:tc>
        <w:tc>
          <w:tcPr>
            <w:tcW w:type="dxa" w:w="2952"/>
            <w:vAlign w:val="center"/>
          </w:tcPr>
          <w:p>
            <w:pPr>
              <w:spacing w:after="0" w:line="276" w:lineRule="auto" w:before="0"/>
              <w:snapToGrid w:val="0"/>
            </w:pPr>
            <w:r>
              <w:rPr>
                <w:rFonts w:ascii="宋体" w:hAnsi="宋体" w:eastAsia="宋体"/>
                <w:sz w:val="19"/>
              </w:rPr>
              <w:t>预算、周期记账、CSV、审计</w:t>
            </w:r>
          </w:p>
        </w:tc>
        <w:tc>
          <w:tcPr>
            <w:tcW w:type="dxa" w:w="2664"/>
            <w:vAlign w:val="center"/>
          </w:tcPr>
          <w:p>
            <w:pPr>
              <w:spacing w:after="0" w:line="276" w:lineRule="auto" w:before="0"/>
              <w:snapToGrid w:val="0"/>
            </w:pPr>
            <w:r>
              <w:rPr>
                <w:rFonts w:ascii="宋体" w:hAnsi="宋体" w:eastAsia="宋体"/>
                <w:sz w:val="19"/>
              </w:rPr>
              <w:t>新增服务和业务页面</w:t>
            </w:r>
          </w:p>
        </w:tc>
        <w:tc>
          <w:tcPr>
            <w:tcW w:type="dxa" w:w="1296"/>
            <w:vAlign w:val="center"/>
          </w:tcPr>
          <w:p>
            <w:pPr>
              <w:spacing w:after="0" w:line="276" w:lineRule="auto" w:before="0"/>
              <w:snapToGrid w:val="0"/>
            </w:pPr>
            <w:r>
              <w:rPr>
                <w:rFonts w:ascii="宋体" w:hAnsi="宋体" w:eastAsia="宋体"/>
                <w:sz w:val="19"/>
              </w:rPr>
              <w:t>完成</w:t>
            </w:r>
          </w:p>
        </w:tc>
      </w:tr>
      <w:tr>
        <w:trPr>
          <w:cantSplit/>
        </w:trPr>
        <w:tc>
          <w:tcPr>
            <w:tcW w:type="dxa" w:w="1512"/>
            <w:vAlign w:val="center"/>
          </w:tcPr>
          <w:p>
            <w:pPr>
              <w:spacing w:after="0" w:line="276" w:lineRule="auto" w:before="0"/>
              <w:snapToGrid w:val="0"/>
            </w:pPr>
            <w:r>
              <w:rPr>
                <w:rFonts w:ascii="宋体" w:hAnsi="宋体" w:eastAsia="宋体"/>
                <w:sz w:val="19"/>
              </w:rPr>
              <w:t>测试与报告</w:t>
            </w:r>
          </w:p>
        </w:tc>
        <w:tc>
          <w:tcPr>
            <w:tcW w:type="dxa" w:w="2952"/>
            <w:vAlign w:val="center"/>
          </w:tcPr>
          <w:p>
            <w:pPr>
              <w:spacing w:after="0" w:line="276" w:lineRule="auto" w:before="0"/>
              <w:snapToGrid w:val="0"/>
            </w:pPr>
            <w:r>
              <w:rPr>
                <w:rFonts w:ascii="宋体" w:hAnsi="宋体" w:eastAsia="宋体"/>
                <w:sz w:val="19"/>
              </w:rPr>
              <w:t>门禁证据、真实截图、报告同步</w:t>
            </w:r>
          </w:p>
        </w:tc>
        <w:tc>
          <w:tcPr>
            <w:tcW w:type="dxa" w:w="2664"/>
            <w:vAlign w:val="center"/>
          </w:tcPr>
          <w:p>
            <w:pPr>
              <w:spacing w:after="0" w:line="276" w:lineRule="auto" w:before="0"/>
              <w:snapToGrid w:val="0"/>
            </w:pPr>
            <w:r>
              <w:rPr>
                <w:rFonts w:ascii="宋体" w:hAnsi="宋体" w:eastAsia="宋体"/>
                <w:sz w:val="19"/>
              </w:rPr>
              <w:t>当前版本报告材料</w:t>
            </w:r>
          </w:p>
        </w:tc>
        <w:tc>
          <w:tcPr>
            <w:tcW w:type="dxa" w:w="1296"/>
            <w:vAlign w:val="center"/>
          </w:tcPr>
          <w:p>
            <w:pPr>
              <w:spacing w:after="0" w:line="276" w:lineRule="auto" w:before="0"/>
              <w:snapToGrid w:val="0"/>
            </w:pPr>
            <w:r>
              <w:rPr>
                <w:rFonts w:ascii="宋体" w:hAnsi="宋体" w:eastAsia="宋体"/>
                <w:sz w:val="19"/>
              </w:rPr>
              <w:t>待个人确认</w:t>
            </w:r>
          </w:p>
        </w:tc>
      </w:tr>
    </w:tbl>
    <w:p>
      <w:pPr>
        <w:spacing w:after="0"/>
      </w:pPr>
    </w:p>
    <w:p>
      <w:pPr>
        <w:pStyle w:val="Heading2"/>
        <w:keepNext/>
        <w:pageBreakBefore w:val="0"/>
        <w:spacing w:before="140" w:after="120"/>
      </w:pPr>
      <w:r>
        <w:rPr>
          <w:rFonts w:ascii="黑体" w:hAnsi="黑体" w:eastAsia="黑体"/>
          <w:b/>
          <w:color w:val="000000"/>
          <w:sz w:val="24"/>
        </w:rPr>
        <w:t>1.2 模块责任范围</w:t>
      </w:r>
    </w:p>
    <w:p>
      <w:pPr>
        <w:spacing w:line="360" w:lineRule="auto" w:after="80"/>
        <w:ind w:firstLine="440"/>
        <w:jc w:val="both"/>
      </w:pPr>
      <w:r>
        <w:rPr>
          <w:rFonts w:ascii="宋体" w:hAnsi="宋体" w:eastAsia="宋体"/>
          <w:b w:val="0"/>
          <w:sz w:val="22"/>
        </w:rPr>
        <w:t>组员一报告的模块范围为成员、分类、收支、预算、周期记账、统计与审计后端。下表为责任划分，提交前应根据实际参与记录确认个人贡献。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  <w:tblCellMar>
          <w:top w:w="60" w:type="dxa"/>
          <w:bottom w:w="60" w:type="dxa"/>
          <w:left w:w="80" w:type="dxa"/>
          <w:right w:w="80" w:type="dxa"/>
        </w:tblCellMar>
      </w:tblPr>
      <w:tblGrid>
        <w:gridCol w:w="4419"/>
        <w:gridCol w:w="4419"/>
      </w:tblGrid>
      <w:tr>
        <w:trPr>
          <w:tblHeader w:val="true"/>
          <w:cantSplit/>
        </w:trPr>
        <w:tc>
          <w:tcPr>
            <w:tcW w:type="dxa" w:w="1944"/>
            <w:vAlign w:val="center"/>
            <w:shd w:fill="E9EEF9"/>
          </w:tcPr>
          <w:p>
            <w:pPr>
              <w:spacing w:line="276" w:lineRule="auto" w:before="0" w:after="0"/>
              <w:jc w:val="center"/>
              <w:snapToGrid w:val="0"/>
            </w:pPr>
            <w:r>
              <w:rPr>
                <w:rFonts w:ascii="黑体" w:hAnsi="黑体" w:eastAsia="黑体"/>
                <w:b/>
                <w:sz w:val="19"/>
              </w:rPr>
              <w:t>任务</w:t>
            </w:r>
          </w:p>
        </w:tc>
        <w:tc>
          <w:tcPr>
            <w:tcW w:type="dxa" w:w="6552"/>
            <w:vAlign w:val="center"/>
            <w:shd w:fill="E9EEF9"/>
          </w:tcPr>
          <w:p>
            <w:pPr>
              <w:spacing w:line="276" w:lineRule="auto" w:before="0" w:after="0"/>
              <w:jc w:val="center"/>
              <w:snapToGrid w:val="0"/>
            </w:pPr>
            <w:r>
              <w:rPr>
                <w:rFonts w:ascii="黑体" w:hAnsi="黑体" w:eastAsia="黑体"/>
                <w:b/>
                <w:sz w:val="19"/>
              </w:rPr>
              <w:t>工作内容</w:t>
            </w:r>
          </w:p>
        </w:tc>
      </w:tr>
      <w:tr>
        <w:trPr>
          <w:cantSplit/>
        </w:trPr>
        <w:tc>
          <w:tcPr>
            <w:tcW w:type="dxa" w:w="1944"/>
            <w:vAlign w:val="center"/>
          </w:tcPr>
          <w:p>
            <w:pPr>
              <w:spacing w:after="0" w:line="276" w:lineRule="auto" w:before="0"/>
              <w:snapToGrid w:val="0"/>
            </w:pPr>
            <w:r>
              <w:rPr>
                <w:rFonts w:ascii="宋体" w:hAnsi="宋体" w:eastAsia="宋体"/>
                <w:sz w:val="19"/>
              </w:rPr>
              <w:t>成员管理</w:t>
            </w:r>
          </w:p>
        </w:tc>
        <w:tc>
          <w:tcPr>
            <w:tcW w:type="dxa" w:w="6552"/>
            <w:vAlign w:val="center"/>
          </w:tcPr>
          <w:p>
            <w:pPr>
              <w:spacing w:after="0" w:line="276" w:lineRule="auto" w:before="0"/>
              <w:snapToGrid w:val="0"/>
            </w:pPr>
            <w:r>
              <w:rPr>
                <w:rFonts w:ascii="宋体" w:hAnsi="宋体" w:eastAsia="宋体"/>
                <w:sz w:val="19"/>
              </w:rPr>
              <w:t>成员列表、编号/姓名/角色/状态维护和最后家长保护</w:t>
            </w:r>
          </w:p>
        </w:tc>
      </w:tr>
      <w:tr>
        <w:trPr>
          <w:cantSplit/>
        </w:trPr>
        <w:tc>
          <w:tcPr>
            <w:tcW w:type="dxa" w:w="1944"/>
            <w:vAlign w:val="center"/>
          </w:tcPr>
          <w:p>
            <w:pPr>
              <w:spacing w:after="0" w:line="276" w:lineRule="auto" w:before="0"/>
              <w:snapToGrid w:val="0"/>
            </w:pPr>
            <w:r>
              <w:rPr>
                <w:rFonts w:ascii="宋体" w:hAnsi="宋体" w:eastAsia="宋体"/>
                <w:sz w:val="19"/>
              </w:rPr>
              <w:t>分类管理</w:t>
            </w:r>
          </w:p>
        </w:tc>
        <w:tc>
          <w:tcPr>
            <w:tcW w:type="dxa" w:w="6552"/>
            <w:vAlign w:val="center"/>
          </w:tcPr>
          <w:p>
            <w:pPr>
              <w:spacing w:after="0" w:line="276" w:lineRule="auto" w:before="0"/>
              <w:snapToGrid w:val="0"/>
            </w:pPr>
            <w:r>
              <w:rPr>
                <w:rFonts w:ascii="宋体" w:hAnsi="宋体" w:eastAsia="宋体"/>
                <w:sz w:val="19"/>
              </w:rPr>
              <w:t>系统分类只读、家庭分类新增/改名/停用/恢复</w:t>
            </w:r>
          </w:p>
        </w:tc>
      </w:tr>
      <w:tr>
        <w:trPr>
          <w:cantSplit/>
        </w:trPr>
        <w:tc>
          <w:tcPr>
            <w:tcW w:type="dxa" w:w="1944"/>
            <w:vAlign w:val="center"/>
          </w:tcPr>
          <w:p>
            <w:pPr>
              <w:spacing w:after="0" w:line="276" w:lineRule="auto" w:before="0"/>
              <w:snapToGrid w:val="0"/>
            </w:pPr>
            <w:r>
              <w:rPr>
                <w:rFonts w:ascii="宋体" w:hAnsi="宋体" w:eastAsia="宋体"/>
                <w:sz w:val="19"/>
              </w:rPr>
              <w:t>收支管理</w:t>
            </w:r>
          </w:p>
        </w:tc>
        <w:tc>
          <w:tcPr>
            <w:tcW w:type="dxa" w:w="6552"/>
            <w:vAlign w:val="center"/>
          </w:tcPr>
          <w:p>
            <w:pPr>
              <w:spacing w:after="0" w:line="276" w:lineRule="auto" w:before="0"/>
              <w:snapToGrid w:val="0"/>
            </w:pPr>
            <w:r>
              <w:rPr>
                <w:rFonts w:ascii="宋体" w:hAnsi="宋体" w:eastAsia="宋体"/>
                <w:sz w:val="19"/>
              </w:rPr>
              <w:t>分页筛选、增改删、普通成员本人范围和逻辑删除</w:t>
            </w:r>
          </w:p>
        </w:tc>
      </w:tr>
      <w:tr>
        <w:trPr>
          <w:cantSplit/>
        </w:trPr>
        <w:tc>
          <w:tcPr>
            <w:tcW w:type="dxa" w:w="1944"/>
            <w:vAlign w:val="center"/>
          </w:tcPr>
          <w:p>
            <w:pPr>
              <w:spacing w:after="0" w:line="276" w:lineRule="auto" w:before="0"/>
              <w:snapToGrid w:val="0"/>
            </w:pPr>
            <w:r>
              <w:rPr>
                <w:rFonts w:ascii="宋体" w:hAnsi="宋体" w:eastAsia="宋体"/>
                <w:sz w:val="19"/>
              </w:rPr>
              <w:t>统计服务</w:t>
            </w:r>
          </w:p>
        </w:tc>
        <w:tc>
          <w:tcPr>
            <w:tcW w:type="dxa" w:w="6552"/>
            <w:vAlign w:val="center"/>
          </w:tcPr>
          <w:p>
            <w:pPr>
              <w:spacing w:after="0" w:line="276" w:lineRule="auto" w:before="0"/>
              <w:snapToGrid w:val="0"/>
            </w:pPr>
            <w:r>
              <w:rPr>
                <w:rFonts w:ascii="宋体" w:hAnsi="宋体" w:eastAsia="宋体"/>
                <w:sz w:val="19"/>
              </w:rPr>
              <w:t>收入、支出、结余、趋势、构成、成员对比和最近流水</w:t>
            </w:r>
          </w:p>
        </w:tc>
      </w:tr>
      <w:tr>
        <w:trPr>
          <w:cantSplit/>
        </w:trPr>
        <w:tc>
          <w:tcPr>
            <w:tcW w:type="dxa" w:w="1944"/>
            <w:vAlign w:val="center"/>
          </w:tcPr>
          <w:p>
            <w:pPr>
              <w:spacing w:after="0" w:line="276" w:lineRule="auto" w:before="0"/>
              <w:snapToGrid w:val="0"/>
            </w:pPr>
            <w:r>
              <w:rPr>
                <w:rFonts w:ascii="宋体" w:hAnsi="宋体" w:eastAsia="宋体"/>
                <w:sz w:val="19"/>
              </w:rPr>
              <w:t>扩展业务</w:t>
            </w:r>
          </w:p>
        </w:tc>
        <w:tc>
          <w:tcPr>
            <w:tcW w:type="dxa" w:w="6552"/>
            <w:vAlign w:val="center"/>
          </w:tcPr>
          <w:p>
            <w:pPr>
              <w:spacing w:after="0" w:line="276" w:lineRule="auto" w:before="0"/>
              <w:snapToGrid w:val="0"/>
            </w:pPr>
            <w:r>
              <w:rPr>
                <w:rFonts w:ascii="宋体" w:hAnsi="宋体" w:eastAsia="宋体"/>
                <w:sz w:val="19"/>
              </w:rPr>
              <w:t>预算、周期模板与去重生成、CSV 预览导入、统计增强和审计</w:t>
            </w:r>
          </w:p>
        </w:tc>
      </w:tr>
      <w:tr>
        <w:trPr>
          <w:cantSplit/>
        </w:trPr>
        <w:tc>
          <w:tcPr>
            <w:tcW w:type="dxa" w:w="1944"/>
            <w:vAlign w:val="center"/>
          </w:tcPr>
          <w:p>
            <w:pPr>
              <w:spacing w:after="0" w:line="276" w:lineRule="auto" w:before="0"/>
              <w:snapToGrid w:val="0"/>
            </w:pPr>
            <w:r>
              <w:rPr>
                <w:rFonts w:ascii="宋体" w:hAnsi="宋体" w:eastAsia="宋体"/>
                <w:sz w:val="19"/>
              </w:rPr>
              <w:t>后端测试</w:t>
            </w:r>
          </w:p>
        </w:tc>
        <w:tc>
          <w:tcPr>
            <w:tcW w:type="dxa" w:w="6552"/>
            <w:vAlign w:val="center"/>
          </w:tcPr>
          <w:p>
            <w:pPr>
              <w:spacing w:after="0" w:line="276" w:lineRule="auto" w:before="0"/>
              <w:snapToGrid w:val="0"/>
            </w:pPr>
            <w:r>
              <w:rPr>
                <w:rFonts w:ascii="宋体" w:hAnsi="宋体" w:eastAsia="宋体"/>
                <w:sz w:val="19"/>
              </w:rPr>
              <w:t>验证权限、跨家庭隔离、校验规则、删除与统计精度</w:t>
            </w:r>
          </w:p>
        </w:tc>
      </w:tr>
    </w:tbl>
    <w:p>
      <w:pPr>
        <w:spacing w:after="0"/>
      </w:pPr>
    </w:p>
    <w:p>
      <w:pPr>
        <w:pStyle w:val="Heading2"/>
        <w:keepNext/>
        <w:pageBreakBefore w:val="0"/>
        <w:spacing w:before="140" w:after="120"/>
      </w:pPr>
      <w:r>
        <w:rPr>
          <w:rFonts w:ascii="黑体" w:hAnsi="黑体" w:eastAsia="黑体"/>
          <w:b/>
          <w:color w:val="000000"/>
          <w:sz w:val="24"/>
        </w:rPr>
        <w:t>1.3 可行性分析</w:t>
      </w:r>
    </w:p>
    <w:p>
      <w:pPr>
        <w:spacing w:line="360" w:lineRule="auto" w:after="80"/>
        <w:ind w:firstLine="440"/>
        <w:jc w:val="both"/>
      </w:pPr>
      <w:r>
        <w:rPr>
          <w:rFonts w:ascii="宋体" w:hAnsi="宋体" w:eastAsia="宋体"/>
          <w:b w:val="0"/>
          <w:sz w:val="22"/>
        </w:rPr>
        <w:t>技术可行性：Java 17、Spring Boot、Spring Security、MyBatis-Plus、Vue 3、Element Plus 和 ECharts 均有成熟工具链，前后端通过 JSON 接口解耦，适合课程设计规模。</w:t>
      </w:r>
    </w:p>
    <w:p>
      <w:pPr>
        <w:spacing w:line="360" w:lineRule="auto" w:after="80"/>
        <w:ind w:firstLine="440"/>
        <w:jc w:val="both"/>
      </w:pPr>
      <w:r>
        <w:rPr>
          <w:rFonts w:ascii="宋体" w:hAnsi="宋体" w:eastAsia="宋体"/>
          <w:b w:val="0"/>
          <w:sz w:val="22"/>
        </w:rPr>
        <w:t>经济可行性：项目使用开源框架和本机 MySQL，不需要云服务、域名、短信、支付或第三方付费接口，主要成本为小组开发和测试时间。</w:t>
      </w:r>
    </w:p>
    <w:p>
      <w:pPr>
        <w:spacing w:line="360" w:lineRule="auto" w:after="80"/>
        <w:ind w:firstLine="440"/>
        <w:jc w:val="both"/>
      </w:pPr>
      <w:r>
        <w:rPr>
          <w:rFonts w:ascii="宋体" w:hAnsi="宋体" w:eastAsia="宋体"/>
          <w:b w:val="0"/>
          <w:sz w:val="22"/>
        </w:rPr>
        <w:t>运行可行性：系统采用浏览器访问，用户只需完成登录、创建或加入家庭即可使用；README 提供精确启动命令和演示账号。</w:t>
      </w:r>
    </w:p>
    <w:p>
      <w:pPr>
        <w:spacing w:line="360" w:lineRule="auto" w:after="80"/>
        <w:ind w:firstLine="440"/>
        <w:jc w:val="both"/>
      </w:pPr>
      <w:r>
        <w:rPr>
          <w:rFonts w:ascii="宋体" w:hAnsi="宋体" w:eastAsia="宋体"/>
          <w:b w:val="0"/>
          <w:sz w:val="22"/>
        </w:rPr>
        <w:t>进度可行性：模块按接口边界分配，后端业务和前端页面可在统一契约下并行；最终由组长执行一次集成门禁和浏览器验收。</w:t>
      </w:r>
    </w:p>
    <w:p>
      <w:pPr>
        <w:pStyle w:val="Heading2"/>
        <w:keepNext/>
        <w:pageBreakBefore w:val="0"/>
        <w:spacing w:before="140" w:after="120"/>
      </w:pPr>
      <w:r>
        <w:rPr>
          <w:rFonts w:ascii="黑体" w:hAnsi="黑体" w:eastAsia="黑体"/>
          <w:b/>
          <w:color w:val="000000"/>
          <w:sz w:val="24"/>
        </w:rPr>
        <w:t>1.4 技术取舍</w:t>
      </w:r>
    </w:p>
    <w:p>
      <w:pPr>
        <w:spacing w:line="360" w:lineRule="auto" w:after="80"/>
        <w:ind w:firstLine="440"/>
        <w:jc w:val="both"/>
      </w:pPr>
      <w:r>
        <w:rPr>
          <w:rFonts w:ascii="宋体" w:hAnsi="宋体" w:eastAsia="宋体"/>
          <w:b w:val="0"/>
          <w:sz w:val="22"/>
        </w:rPr>
        <w:t>本项目选择前后端分离、组件化界面、服务端鉴权和自动化构建。核心功能覆盖家庭协作、权限隔离、流水与统计，扩展功能补充预算计划、批量数据交换和重复记账。仍采用单体后端与关系数据库，不接入真实金融账户，不引入没有当前需求的微服务和消息队列。</w:t>
      </w:r>
    </w:p>
    <w:p>
      <w:pPr>
        <w:pStyle w:val="Heading1"/>
        <w:keepNext/>
        <w:pageBreakBefore w:val="0"/>
        <w:spacing w:before="200" w:after="120"/>
      </w:pPr>
      <w:r>
        <w:rPr>
          <w:rFonts w:ascii="黑体" w:hAnsi="黑体" w:eastAsia="黑体"/>
          <w:b/>
          <w:color w:val="000000"/>
          <w:sz w:val="28"/>
        </w:rPr>
        <w:t>二、需求分析</w:t>
      </w:r>
    </w:p>
    <w:p>
      <w:pPr>
        <w:pStyle w:val="Heading2"/>
        <w:keepNext/>
        <w:pageBreakBefore w:val="0"/>
        <w:spacing w:before="140" w:after="120"/>
      </w:pPr>
      <w:r>
        <w:rPr>
          <w:rFonts w:ascii="黑体" w:hAnsi="黑体" w:eastAsia="黑体"/>
          <w:b/>
          <w:color w:val="000000"/>
          <w:sz w:val="24"/>
        </w:rPr>
        <w:t>2.1 用户角色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  <w:tblCellMar>
          <w:top w:w="60" w:type="dxa"/>
          <w:bottom w:w="60" w:type="dxa"/>
          <w:left w:w="80" w:type="dxa"/>
          <w:right w:w="80" w:type="dxa"/>
        </w:tblCellMar>
      </w:tblPr>
      <w:tblGrid>
        <w:gridCol w:w="2946"/>
        <w:gridCol w:w="2946"/>
        <w:gridCol w:w="2946"/>
      </w:tblGrid>
      <w:tr>
        <w:trPr>
          <w:tblHeader w:val="true"/>
          <w:cantSplit/>
        </w:trPr>
        <w:tc>
          <w:tcPr>
            <w:tcW w:type="dxa" w:w="1656"/>
            <w:vAlign w:val="center"/>
            <w:shd w:fill="E9EEF9"/>
          </w:tcPr>
          <w:p>
            <w:pPr>
              <w:spacing w:line="276" w:lineRule="auto" w:before="0" w:after="0"/>
              <w:jc w:val="center"/>
              <w:snapToGrid w:val="0"/>
            </w:pPr>
            <w:r>
              <w:rPr>
                <w:rFonts w:ascii="黑体" w:hAnsi="黑体" w:eastAsia="黑体"/>
                <w:b/>
                <w:sz w:val="19"/>
              </w:rPr>
              <w:t>角色</w:t>
            </w:r>
          </w:p>
        </w:tc>
        <w:tc>
          <w:tcPr>
            <w:tcW w:type="dxa" w:w="2880"/>
            <w:vAlign w:val="center"/>
            <w:shd w:fill="E9EEF9"/>
          </w:tcPr>
          <w:p>
            <w:pPr>
              <w:spacing w:line="276" w:lineRule="auto" w:before="0" w:after="0"/>
              <w:jc w:val="center"/>
              <w:snapToGrid w:val="0"/>
            </w:pPr>
            <w:r>
              <w:rPr>
                <w:rFonts w:ascii="黑体" w:hAnsi="黑体" w:eastAsia="黑体"/>
                <w:b/>
                <w:sz w:val="19"/>
              </w:rPr>
              <w:t>主要目标</w:t>
            </w:r>
          </w:p>
        </w:tc>
        <w:tc>
          <w:tcPr>
            <w:tcW w:type="dxa" w:w="3960"/>
            <w:vAlign w:val="center"/>
            <w:shd w:fill="E9EEF9"/>
          </w:tcPr>
          <w:p>
            <w:pPr>
              <w:spacing w:line="276" w:lineRule="auto" w:before="0" w:after="0"/>
              <w:jc w:val="center"/>
              <w:snapToGrid w:val="0"/>
            </w:pPr>
            <w:r>
              <w:rPr>
                <w:rFonts w:ascii="黑体" w:hAnsi="黑体" w:eastAsia="黑体"/>
                <w:b/>
                <w:sz w:val="19"/>
              </w:rPr>
              <w:t>权限摘要</w:t>
            </w:r>
          </w:p>
        </w:tc>
      </w:tr>
      <w:tr>
        <w:trPr>
          <w:cantSplit/>
        </w:trPr>
        <w:tc>
          <w:tcPr>
            <w:tcW w:type="dxa" w:w="1656"/>
            <w:vAlign w:val="center"/>
          </w:tcPr>
          <w:p>
            <w:pPr>
              <w:spacing w:after="0" w:line="276" w:lineRule="auto" w:before="0"/>
              <w:snapToGrid w:val="0"/>
            </w:pPr>
            <w:r>
              <w:rPr>
                <w:rFonts w:ascii="宋体" w:hAnsi="宋体" w:eastAsia="宋体"/>
                <w:sz w:val="19"/>
              </w:rPr>
              <w:t>未入户用户</w:t>
            </w:r>
          </w:p>
        </w:tc>
        <w:tc>
          <w:tcPr>
            <w:tcW w:type="dxa" w:w="2880"/>
            <w:vAlign w:val="center"/>
          </w:tcPr>
          <w:p>
            <w:pPr>
              <w:spacing w:after="0" w:line="276" w:lineRule="auto" w:before="0"/>
              <w:snapToGrid w:val="0"/>
            </w:pPr>
            <w:r>
              <w:rPr>
                <w:rFonts w:ascii="宋体" w:hAnsi="宋体" w:eastAsia="宋体"/>
                <w:sz w:val="19"/>
              </w:rPr>
              <w:t>完成家庭归属</w:t>
            </w:r>
          </w:p>
        </w:tc>
        <w:tc>
          <w:tcPr>
            <w:tcW w:type="dxa" w:w="3960"/>
            <w:vAlign w:val="center"/>
          </w:tcPr>
          <w:p>
            <w:pPr>
              <w:spacing w:after="0" w:line="276" w:lineRule="auto" w:before="0"/>
              <w:snapToGrid w:val="0"/>
            </w:pPr>
            <w:r>
              <w:rPr>
                <w:rFonts w:ascii="宋体" w:hAnsi="宋体" w:eastAsia="宋体"/>
                <w:sz w:val="19"/>
              </w:rPr>
              <w:t>注册登录后创建家庭或输入邀请码加入</w:t>
            </w:r>
          </w:p>
        </w:tc>
      </w:tr>
      <w:tr>
        <w:trPr>
          <w:cantSplit/>
        </w:trPr>
        <w:tc>
          <w:tcPr>
            <w:tcW w:type="dxa" w:w="1656"/>
            <w:vAlign w:val="center"/>
          </w:tcPr>
          <w:p>
            <w:pPr>
              <w:spacing w:after="0" w:line="276" w:lineRule="auto" w:before="0"/>
              <w:snapToGrid w:val="0"/>
            </w:pPr>
            <w:r>
              <w:rPr>
                <w:rFonts w:ascii="宋体" w:hAnsi="宋体" w:eastAsia="宋体"/>
                <w:sz w:val="19"/>
              </w:rPr>
              <w:t>普通成员</w:t>
            </w:r>
          </w:p>
        </w:tc>
        <w:tc>
          <w:tcPr>
            <w:tcW w:type="dxa" w:w="2880"/>
            <w:vAlign w:val="center"/>
          </w:tcPr>
          <w:p>
            <w:pPr>
              <w:spacing w:after="0" w:line="276" w:lineRule="auto" w:before="0"/>
              <w:snapToGrid w:val="0"/>
            </w:pPr>
            <w:r>
              <w:rPr>
                <w:rFonts w:ascii="宋体" w:hAnsi="宋体" w:eastAsia="宋体"/>
                <w:sz w:val="19"/>
              </w:rPr>
              <w:t>维护个人收支并查看家庭整体</w:t>
            </w:r>
          </w:p>
        </w:tc>
        <w:tc>
          <w:tcPr>
            <w:tcW w:type="dxa" w:w="3960"/>
            <w:vAlign w:val="center"/>
          </w:tcPr>
          <w:p>
            <w:pPr>
              <w:spacing w:after="0" w:line="276" w:lineRule="auto" w:before="0"/>
              <w:snapToGrid w:val="0"/>
            </w:pPr>
            <w:r>
              <w:rPr>
                <w:rFonts w:ascii="宋体" w:hAnsi="宋体" w:eastAsia="宋体"/>
                <w:sz w:val="19"/>
              </w:rPr>
              <w:t>只能维护本人流水，可查看成员名单和家庭聚合统计</w:t>
            </w:r>
          </w:p>
        </w:tc>
      </w:tr>
      <w:tr>
        <w:trPr>
          <w:cantSplit/>
        </w:trPr>
        <w:tc>
          <w:tcPr>
            <w:tcW w:type="dxa" w:w="1656"/>
            <w:vAlign w:val="center"/>
          </w:tcPr>
          <w:p>
            <w:pPr>
              <w:spacing w:after="0" w:line="276" w:lineRule="auto" w:before="0"/>
              <w:snapToGrid w:val="0"/>
            </w:pPr>
            <w:r>
              <w:rPr>
                <w:rFonts w:ascii="宋体" w:hAnsi="宋体" w:eastAsia="宋体"/>
                <w:sz w:val="19"/>
              </w:rPr>
              <w:t>家长</w:t>
            </w:r>
          </w:p>
        </w:tc>
        <w:tc>
          <w:tcPr>
            <w:tcW w:type="dxa" w:w="2880"/>
            <w:vAlign w:val="center"/>
          </w:tcPr>
          <w:p>
            <w:pPr>
              <w:spacing w:after="0" w:line="276" w:lineRule="auto" w:before="0"/>
              <w:snapToGrid w:val="0"/>
            </w:pPr>
            <w:r>
              <w:rPr>
                <w:rFonts w:ascii="宋体" w:hAnsi="宋体" w:eastAsia="宋体"/>
                <w:sz w:val="19"/>
              </w:rPr>
              <w:t>管理家庭和全家收支</w:t>
            </w:r>
          </w:p>
        </w:tc>
        <w:tc>
          <w:tcPr>
            <w:tcW w:type="dxa" w:w="3960"/>
            <w:vAlign w:val="center"/>
          </w:tcPr>
          <w:p>
            <w:pPr>
              <w:spacing w:after="0" w:line="276" w:lineRule="auto" w:before="0"/>
              <w:snapToGrid w:val="0"/>
            </w:pPr>
            <w:r>
              <w:rPr>
                <w:rFonts w:ascii="宋体" w:hAnsi="宋体" w:eastAsia="宋体"/>
                <w:sz w:val="19"/>
              </w:rPr>
              <w:t>维护成员、分类、全家流水与预算，查看审计日志</w:t>
            </w:r>
          </w:p>
        </w:tc>
      </w:tr>
    </w:tbl>
    <w:p>
      <w:pPr>
        <w:spacing w:after="0"/>
      </w:pPr>
    </w:p>
    <w:p>
      <w:pPr>
        <w:pStyle w:val="Heading2"/>
        <w:keepNext/>
        <w:pageBreakBefore w:val="0"/>
        <w:spacing w:before="140" w:after="120"/>
      </w:pPr>
      <w:r>
        <w:rPr>
          <w:rFonts w:ascii="黑体" w:hAnsi="黑体" w:eastAsia="黑体"/>
          <w:b/>
          <w:color w:val="000000"/>
          <w:sz w:val="24"/>
        </w:rPr>
        <w:t>2.2 功能需求</w:t>
      </w:r>
    </w:p>
    <w:p>
      <w:pPr>
        <w:spacing w:line="360" w:lineRule="auto" w:after="60"/>
        <w:ind w:left="440" w:hanging="220"/>
      </w:pPr>
      <w:r>
        <w:rPr>
          <w:rFonts w:ascii="宋体" w:hAnsi="宋体" w:eastAsia="宋体"/>
          <w:sz w:val="22"/>
        </w:rPr>
        <w:t>• 认证：注册、登录、退出、刷新恢复、修改姓名与密码。</w:t>
      </w:r>
    </w:p>
    <w:p>
      <w:pPr>
        <w:spacing w:line="360" w:lineRule="auto" w:after="60"/>
        <w:ind w:left="440" w:hanging="220"/>
      </w:pPr>
      <w:r>
        <w:rPr>
          <w:rFonts w:ascii="宋体" w:hAnsi="宋体" w:eastAsia="宋体"/>
          <w:sz w:val="22"/>
        </w:rPr>
        <w:t>• 家庭：创建家庭、邀请码加入、查看家庭信息和重置邀请码。</w:t>
      </w:r>
    </w:p>
    <w:p>
      <w:pPr>
        <w:spacing w:line="360" w:lineRule="auto" w:after="60"/>
        <w:ind w:left="440" w:hanging="220"/>
      </w:pPr>
      <w:r>
        <w:rPr>
          <w:rFonts w:ascii="宋体" w:hAnsi="宋体" w:eastAsia="宋体"/>
          <w:sz w:val="22"/>
        </w:rPr>
        <w:t>• 成员：查看成员；家长修改成员编号、姓名、角色与状态。</w:t>
      </w:r>
    </w:p>
    <w:p>
      <w:pPr>
        <w:spacing w:line="360" w:lineRule="auto" w:after="60"/>
        <w:ind w:left="440" w:hanging="220"/>
      </w:pPr>
      <w:r>
        <w:rPr>
          <w:rFonts w:ascii="宋体" w:hAnsi="宋体" w:eastAsia="宋体"/>
          <w:sz w:val="22"/>
        </w:rPr>
        <w:t>• 分类：查看系统/家庭分类；家长维护自定义分类。</w:t>
      </w:r>
    </w:p>
    <w:p>
      <w:pPr>
        <w:spacing w:line="360" w:lineRule="auto" w:after="60"/>
        <w:ind w:left="440" w:hanging="220"/>
      </w:pPr>
      <w:r>
        <w:rPr>
          <w:rFonts w:ascii="宋体" w:hAnsi="宋体" w:eastAsia="宋体"/>
          <w:sz w:val="22"/>
        </w:rPr>
        <w:t>• 收支：按日期、类型、分类、成员分页筛选，新增、修改和逻辑删除。</w:t>
      </w:r>
    </w:p>
    <w:p>
      <w:pPr>
        <w:spacing w:line="360" w:lineRule="auto" w:after="60"/>
        <w:ind w:left="440" w:hanging="220"/>
      </w:pPr>
      <w:r>
        <w:rPr>
          <w:rFonts w:ascii="宋体" w:hAnsi="宋体" w:eastAsia="宋体"/>
          <w:sz w:val="22"/>
        </w:rPr>
        <w:t>• 统计：总收入、总支出、结余、近 12 月趋势、类别构成、成员对比和最近流水。</w:t>
      </w:r>
    </w:p>
    <w:p>
      <w:pPr>
        <w:spacing w:line="360" w:lineRule="auto" w:after="60"/>
        <w:ind w:left="440" w:hanging="220"/>
      </w:pPr>
      <w:r>
        <w:rPr>
          <w:rFonts w:ascii="宋体" w:hAnsi="宋体" w:eastAsia="宋体"/>
          <w:sz w:val="22"/>
        </w:rPr>
        <w:t>• 预算：月度总预算与分类预算，展示已用、剩余、使用率和超支状态。</w:t>
      </w:r>
    </w:p>
    <w:p>
      <w:pPr>
        <w:spacing w:line="360" w:lineRule="auto" w:after="60"/>
        <w:ind w:left="440" w:hanging="220"/>
      </w:pPr>
      <w:r>
        <w:rPr>
          <w:rFonts w:ascii="宋体" w:hAnsi="宋体" w:eastAsia="宋体"/>
          <w:sz w:val="22"/>
        </w:rPr>
        <w:t>• 数据交换：按权限导出 CSV；导入先预览字段和逐行错误，通过后整批提交。</w:t>
      </w:r>
    </w:p>
    <w:p>
      <w:pPr>
        <w:spacing w:line="360" w:lineRule="auto" w:after="60"/>
        <w:ind w:left="440" w:hanging="220"/>
      </w:pPr>
      <w:r>
        <w:rPr>
          <w:rFonts w:ascii="宋体" w:hAnsi="宋体" w:eastAsia="宋体"/>
          <w:sz w:val="22"/>
        </w:rPr>
        <w:t>• 周期记账：维护重复收支模板，手动按月生成到期流水，防止同月重复生成。</w:t>
      </w:r>
    </w:p>
    <w:p>
      <w:pPr>
        <w:spacing w:line="360" w:lineRule="auto" w:after="60"/>
        <w:ind w:left="440" w:hanging="220"/>
      </w:pPr>
      <w:r>
        <w:rPr>
          <w:rFonts w:ascii="宋体" w:hAnsi="宋体" w:eastAsia="宋体"/>
          <w:sz w:val="22"/>
        </w:rPr>
        <w:t>• 统计增强与审计：等长上期环比、储蓄率、异常提示、月度报告；家长查看操作日志。</w:t>
      </w:r>
    </w:p>
    <w:p>
      <w:pPr>
        <w:pStyle w:val="Heading2"/>
        <w:keepNext/>
        <w:pageBreakBefore w:val="0"/>
        <w:spacing w:before="140" w:after="120"/>
      </w:pPr>
      <w:r>
        <w:rPr>
          <w:rFonts w:ascii="黑体" w:hAnsi="黑体" w:eastAsia="黑体"/>
          <w:b/>
          <w:color w:val="000000"/>
          <w:sz w:val="24"/>
        </w:rPr>
        <w:t>2.3 核心业务规则</w:t>
      </w:r>
    </w:p>
    <w:p>
      <w:pPr>
        <w:spacing w:line="360" w:lineRule="auto" w:after="60"/>
        <w:ind w:left="440" w:hanging="220"/>
      </w:pPr>
      <w:r>
        <w:rPr>
          <w:rFonts w:ascii="宋体" w:hAnsi="宋体" w:eastAsia="宋体"/>
          <w:sz w:val="22"/>
        </w:rPr>
        <w:t>• 一个账号只属于一个家庭；创建者为家长，邀请码加入者为普通成员。</w:t>
      </w:r>
    </w:p>
    <w:p>
      <w:pPr>
        <w:spacing w:line="360" w:lineRule="auto" w:after="60"/>
        <w:ind w:left="440" w:hanging="220"/>
      </w:pPr>
      <w:r>
        <w:rPr>
          <w:rFonts w:ascii="宋体" w:hAnsi="宋体" w:eastAsia="宋体"/>
          <w:sz w:val="22"/>
        </w:rPr>
        <w:t>• 所有家庭范围从当前 Session 用户取得，不接受客户端家庭 ID 作为可信来源。</w:t>
      </w:r>
    </w:p>
    <w:p>
      <w:pPr>
        <w:spacing w:line="360" w:lineRule="auto" w:after="60"/>
        <w:ind w:left="440" w:hanging="220"/>
      </w:pPr>
      <w:r>
        <w:rPr>
          <w:rFonts w:ascii="宋体" w:hAnsi="宋体" w:eastAsia="宋体"/>
          <w:sz w:val="22"/>
        </w:rPr>
        <w:t>• 普通成员只能维护本人流水；最后一名活跃家长不能停用或降级。</w:t>
      </w:r>
    </w:p>
    <w:p>
      <w:pPr>
        <w:spacing w:line="360" w:lineRule="auto" w:after="60"/>
        <w:ind w:left="440" w:hanging="220"/>
      </w:pPr>
      <w:r>
        <w:rPr>
          <w:rFonts w:ascii="宋体" w:hAnsi="宋体" w:eastAsia="宋体"/>
          <w:sz w:val="22"/>
        </w:rPr>
        <w:t>• 系统分类不可编辑；停用分类不能用于新流水，但历史数据保留。</w:t>
      </w:r>
    </w:p>
    <w:p>
      <w:pPr>
        <w:spacing w:line="360" w:lineRule="auto" w:after="60"/>
        <w:ind w:left="440" w:hanging="220"/>
      </w:pPr>
      <w:r>
        <w:rPr>
          <w:rFonts w:ascii="宋体" w:hAnsi="宋体" w:eastAsia="宋体"/>
          <w:sz w:val="22"/>
        </w:rPr>
        <w:t>• 金额必须大于零并保留两位小数；类别类型必须与收入/支出类型一致；日期不晚于当天。</w:t>
      </w:r>
    </w:p>
    <w:p>
      <w:pPr>
        <w:spacing w:line="360" w:lineRule="auto" w:after="60"/>
        <w:ind w:left="440" w:hanging="220"/>
      </w:pPr>
      <w:r>
        <w:rPr>
          <w:rFonts w:ascii="宋体" w:hAnsi="宋体" w:eastAsia="宋体"/>
          <w:sz w:val="22"/>
        </w:rPr>
        <w:t>• 流水逻辑删除后立即从列表和统计中排除。</w:t>
      </w:r>
    </w:p>
    <w:p>
      <w:pPr>
        <w:spacing w:line="360" w:lineRule="auto" w:after="60"/>
        <w:ind w:left="440" w:hanging="220"/>
      </w:pPr>
      <w:r>
        <w:rPr>
          <w:rFonts w:ascii="宋体" w:hAnsi="宋体" w:eastAsia="宋体"/>
          <w:sz w:val="22"/>
        </w:rPr>
        <w:t>• 预算只允许家长修改，普通成员可以查看；CSV 和周期模板沿用家长全家、成员本人的数据边界。</w:t>
      </w:r>
    </w:p>
    <w:p>
      <w:pPr>
        <w:spacing w:line="360" w:lineRule="auto" w:after="60"/>
        <w:ind w:left="440" w:hanging="220"/>
      </w:pPr>
      <w:r>
        <w:rPr>
          <w:rFonts w:ascii="宋体" w:hAnsi="宋体" w:eastAsia="宋体"/>
          <w:sz w:val="22"/>
        </w:rPr>
        <w:t>• 周期生成由用户触发，不是后台自动扣款；同一模板同一月份只生成一次。</w:t>
      </w:r>
    </w:p>
    <w:p>
      <w:pPr>
        <w:pStyle w:val="Heading2"/>
        <w:keepNext/>
        <w:pageBreakBefore w:val="0"/>
        <w:spacing w:before="140" w:after="120"/>
      </w:pPr>
      <w:r>
        <w:rPr>
          <w:rFonts w:ascii="黑体" w:hAnsi="黑体" w:eastAsia="黑体"/>
          <w:b/>
          <w:color w:val="000000"/>
          <w:sz w:val="24"/>
        </w:rPr>
        <w:t>2.4 非功能需求</w:t>
      </w:r>
    </w:p>
    <w:p>
      <w:pPr>
        <w:spacing w:line="360" w:lineRule="auto" w:after="80"/>
        <w:ind w:firstLine="440"/>
        <w:jc w:val="both"/>
      </w:pPr>
      <w:r>
        <w:rPr>
          <w:rFonts w:ascii="宋体" w:hAnsi="宋体" w:eastAsia="宋体"/>
          <w:b w:val="0"/>
          <w:sz w:val="22"/>
        </w:rPr>
        <w:t>安全方面使用 BCrypt、服务端 Session、CSRF、统一鉴权和家庭隔离；可靠性方面使用事务、外键、唯一索引和可恢复状态；易用性方面提供加载、空数据、字段错误、403、404 和重试状态；兼容性方面以桌面 Chrome/Edge 为主并适配 390px 手机宽度。</w:t>
      </w:r>
    </w:p>
    <w:p>
      <w:pPr>
        <w:pStyle w:val="Heading2"/>
        <w:keepNext/>
        <w:pageBreakBefore w:val="0"/>
        <w:spacing w:before="140" w:after="120"/>
      </w:pPr>
      <w:r>
        <w:rPr>
          <w:rFonts w:ascii="黑体" w:hAnsi="黑体" w:eastAsia="黑体"/>
          <w:b/>
          <w:color w:val="000000"/>
          <w:sz w:val="24"/>
        </w:rPr>
        <w:t>2.5 模块验收标准</w:t>
      </w:r>
    </w:p>
    <w:p>
      <w:pPr>
        <w:spacing w:line="360" w:lineRule="auto" w:after="80"/>
        <w:ind w:firstLine="440"/>
        <w:jc w:val="both"/>
      </w:pPr>
      <w:r>
        <w:rPr>
          <w:rFonts w:ascii="宋体" w:hAnsi="宋体" w:eastAsia="宋体"/>
          <w:b w:val="0"/>
          <w:sz w:val="22"/>
        </w:rPr>
        <w:t>成员、分类、收支、预算、周期记账、统计与审计后端必须与统一接口契约一致，既能完成正常动线，也应拒绝越权、无效输入和冲突操作。成员删除以停用替代物理删除，保留历史账目；收入与支出构成通过分类和流水共同维护。此业务解释及 Spring Boot 对任务书 JavaEE 技术要求的对应关系应在课程验收时确认。</w:t>
      </w:r>
    </w:p>
    <w:p>
      <w:pPr>
        <w:pStyle w:val="Heading1"/>
        <w:keepNext/>
        <w:pageBreakBefore w:val="0"/>
        <w:spacing w:before="200" w:after="120"/>
      </w:pPr>
      <w:r>
        <w:rPr>
          <w:rFonts w:ascii="黑体" w:hAnsi="黑体" w:eastAsia="黑体"/>
          <w:b/>
          <w:color w:val="000000"/>
          <w:sz w:val="28"/>
        </w:rPr>
        <w:t>三、总体设计</w:t>
      </w:r>
    </w:p>
    <w:p>
      <w:pPr>
        <w:pStyle w:val="Heading2"/>
        <w:keepNext/>
        <w:pageBreakBefore w:val="0"/>
        <w:spacing w:before="140" w:after="120"/>
      </w:pPr>
      <w:r>
        <w:rPr>
          <w:rFonts w:ascii="黑体" w:hAnsi="黑体" w:eastAsia="黑体"/>
          <w:b/>
          <w:color w:val="000000"/>
          <w:sz w:val="24"/>
        </w:rPr>
        <w:t>3.1 开发工具与运行平台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  <w:tblCellMar>
          <w:top w:w="60" w:type="dxa"/>
          <w:bottom w:w="60" w:type="dxa"/>
          <w:left w:w="80" w:type="dxa"/>
          <w:right w:w="80" w:type="dxa"/>
        </w:tblCellMar>
      </w:tblPr>
      <w:tblGrid>
        <w:gridCol w:w="2946"/>
        <w:gridCol w:w="2946"/>
        <w:gridCol w:w="2946"/>
      </w:tblGrid>
      <w:tr>
        <w:trPr>
          <w:tblHeader w:val="true"/>
          <w:cantSplit/>
        </w:trPr>
        <w:tc>
          <w:tcPr>
            <w:tcW w:type="dxa" w:w="1440"/>
            <w:vAlign w:val="center"/>
            <w:shd w:fill="E9EEF9"/>
          </w:tcPr>
          <w:p>
            <w:pPr>
              <w:spacing w:line="276" w:lineRule="auto" w:before="0" w:after="0"/>
              <w:jc w:val="center"/>
              <w:snapToGrid w:val="0"/>
            </w:pPr>
            <w:r>
              <w:rPr>
                <w:rFonts w:ascii="黑体" w:hAnsi="黑体" w:eastAsia="黑体"/>
                <w:b/>
                <w:sz w:val="19"/>
              </w:rPr>
              <w:t>层次</w:t>
            </w:r>
          </w:p>
        </w:tc>
        <w:tc>
          <w:tcPr>
            <w:tcW w:type="dxa" w:w="3024"/>
            <w:vAlign w:val="center"/>
            <w:shd w:fill="E9EEF9"/>
          </w:tcPr>
          <w:p>
            <w:pPr>
              <w:spacing w:line="276" w:lineRule="auto" w:before="0" w:after="0"/>
              <w:jc w:val="center"/>
              <w:snapToGrid w:val="0"/>
            </w:pPr>
            <w:r>
              <w:rPr>
                <w:rFonts w:ascii="黑体" w:hAnsi="黑体" w:eastAsia="黑体"/>
                <w:b/>
                <w:sz w:val="19"/>
              </w:rPr>
              <w:t>技术</w:t>
            </w:r>
          </w:p>
        </w:tc>
        <w:tc>
          <w:tcPr>
            <w:tcW w:type="dxa" w:w="4032"/>
            <w:vAlign w:val="center"/>
            <w:shd w:fill="E9EEF9"/>
          </w:tcPr>
          <w:p>
            <w:pPr>
              <w:spacing w:line="276" w:lineRule="auto" w:before="0" w:after="0"/>
              <w:jc w:val="center"/>
              <w:snapToGrid w:val="0"/>
            </w:pPr>
            <w:r>
              <w:rPr>
                <w:rFonts w:ascii="黑体" w:hAnsi="黑体" w:eastAsia="黑体"/>
                <w:b/>
                <w:sz w:val="19"/>
              </w:rPr>
              <w:t>选择理由</w:t>
            </w:r>
          </w:p>
        </w:tc>
      </w:tr>
      <w:tr>
        <w:trPr>
          <w:cantSplit/>
        </w:trPr>
        <w:tc>
          <w:tcPr>
            <w:tcW w:type="dxa" w:w="1440"/>
            <w:vAlign w:val="center"/>
          </w:tcPr>
          <w:p>
            <w:pPr>
              <w:spacing w:after="0" w:line="276" w:lineRule="auto" w:before="0"/>
              <w:snapToGrid w:val="0"/>
            </w:pPr>
            <w:r>
              <w:rPr>
                <w:rFonts w:ascii="宋体" w:hAnsi="宋体" w:eastAsia="宋体"/>
                <w:sz w:val="19"/>
              </w:rPr>
              <w:t>前端</w:t>
            </w:r>
          </w:p>
        </w:tc>
        <w:tc>
          <w:tcPr>
            <w:tcW w:type="dxa" w:w="3024"/>
            <w:vAlign w:val="center"/>
          </w:tcPr>
          <w:p>
            <w:pPr>
              <w:spacing w:after="0" w:line="276" w:lineRule="auto" w:before="0"/>
              <w:snapToGrid w:val="0"/>
            </w:pPr>
            <w:r>
              <w:rPr>
                <w:rFonts w:ascii="宋体" w:hAnsi="宋体" w:eastAsia="宋体"/>
                <w:sz w:val="19"/>
              </w:rPr>
              <w:t>Vue 3、TypeScript、Vite</w:t>
            </w:r>
          </w:p>
        </w:tc>
        <w:tc>
          <w:tcPr>
            <w:tcW w:type="dxa" w:w="4032"/>
            <w:vAlign w:val="center"/>
          </w:tcPr>
          <w:p>
            <w:pPr>
              <w:spacing w:after="0" w:line="276" w:lineRule="auto" w:before="0"/>
              <w:snapToGrid w:val="0"/>
            </w:pPr>
            <w:r>
              <w:rPr>
                <w:rFonts w:ascii="宋体" w:hAnsi="宋体" w:eastAsia="宋体"/>
                <w:sz w:val="19"/>
              </w:rPr>
              <w:t>组件化、类型约束和快速开发构建</w:t>
            </w:r>
          </w:p>
        </w:tc>
      </w:tr>
      <w:tr>
        <w:trPr>
          <w:cantSplit/>
        </w:trPr>
        <w:tc>
          <w:tcPr>
            <w:tcW w:type="dxa" w:w="1440"/>
            <w:vAlign w:val="center"/>
          </w:tcPr>
          <w:p>
            <w:pPr>
              <w:spacing w:after="0" w:line="276" w:lineRule="auto" w:before="0"/>
              <w:snapToGrid w:val="0"/>
            </w:pPr>
            <w:r>
              <w:rPr>
                <w:rFonts w:ascii="宋体" w:hAnsi="宋体" w:eastAsia="宋体"/>
                <w:sz w:val="19"/>
              </w:rPr>
              <w:t>界面</w:t>
            </w:r>
          </w:p>
        </w:tc>
        <w:tc>
          <w:tcPr>
            <w:tcW w:type="dxa" w:w="3024"/>
            <w:vAlign w:val="center"/>
          </w:tcPr>
          <w:p>
            <w:pPr>
              <w:spacing w:after="0" w:line="276" w:lineRule="auto" w:before="0"/>
              <w:snapToGrid w:val="0"/>
            </w:pPr>
            <w:r>
              <w:rPr>
                <w:rFonts w:ascii="宋体" w:hAnsi="宋体" w:eastAsia="宋体"/>
                <w:sz w:val="19"/>
              </w:rPr>
              <w:t>Element Plus、ECharts、Lucide</w:t>
            </w:r>
          </w:p>
        </w:tc>
        <w:tc>
          <w:tcPr>
            <w:tcW w:type="dxa" w:w="4032"/>
            <w:vAlign w:val="center"/>
          </w:tcPr>
          <w:p>
            <w:pPr>
              <w:spacing w:after="0" w:line="276" w:lineRule="auto" w:before="0"/>
              <w:snapToGrid w:val="0"/>
            </w:pPr>
            <w:r>
              <w:rPr>
                <w:rFonts w:ascii="宋体" w:hAnsi="宋体" w:eastAsia="宋体"/>
                <w:sz w:val="19"/>
              </w:rPr>
              <w:t>表单表格、统计图和统一图标</w:t>
            </w:r>
          </w:p>
        </w:tc>
      </w:tr>
      <w:tr>
        <w:trPr>
          <w:cantSplit/>
        </w:trPr>
        <w:tc>
          <w:tcPr>
            <w:tcW w:type="dxa" w:w="1440"/>
            <w:vAlign w:val="center"/>
          </w:tcPr>
          <w:p>
            <w:pPr>
              <w:spacing w:after="0" w:line="276" w:lineRule="auto" w:before="0"/>
              <w:snapToGrid w:val="0"/>
            </w:pPr>
            <w:r>
              <w:rPr>
                <w:rFonts w:ascii="宋体" w:hAnsi="宋体" w:eastAsia="宋体"/>
                <w:sz w:val="19"/>
              </w:rPr>
              <w:t>后端</w:t>
            </w:r>
          </w:p>
        </w:tc>
        <w:tc>
          <w:tcPr>
            <w:tcW w:type="dxa" w:w="3024"/>
            <w:vAlign w:val="center"/>
          </w:tcPr>
          <w:p>
            <w:pPr>
              <w:spacing w:after="0" w:line="276" w:lineRule="auto" w:before="0"/>
              <w:snapToGrid w:val="0"/>
            </w:pPr>
            <w:r>
              <w:rPr>
                <w:rFonts w:ascii="宋体" w:hAnsi="宋体" w:eastAsia="宋体"/>
                <w:sz w:val="19"/>
              </w:rPr>
              <w:t>Java 17、Spring Boot</w:t>
            </w:r>
          </w:p>
        </w:tc>
        <w:tc>
          <w:tcPr>
            <w:tcW w:type="dxa" w:w="4032"/>
            <w:vAlign w:val="center"/>
          </w:tcPr>
          <w:p>
            <w:pPr>
              <w:spacing w:after="0" w:line="276" w:lineRule="auto" w:before="0"/>
              <w:snapToGrid w:val="0"/>
            </w:pPr>
            <w:r>
              <w:rPr>
                <w:rFonts w:ascii="宋体" w:hAnsi="宋体" w:eastAsia="宋体"/>
                <w:sz w:val="19"/>
              </w:rPr>
              <w:t>成熟的 Web、校验、事务和测试生态</w:t>
            </w:r>
          </w:p>
        </w:tc>
      </w:tr>
      <w:tr>
        <w:trPr>
          <w:cantSplit/>
        </w:trPr>
        <w:tc>
          <w:tcPr>
            <w:tcW w:type="dxa" w:w="1440"/>
            <w:vAlign w:val="center"/>
          </w:tcPr>
          <w:p>
            <w:pPr>
              <w:spacing w:after="0" w:line="276" w:lineRule="auto" w:before="0"/>
              <w:snapToGrid w:val="0"/>
            </w:pPr>
            <w:r>
              <w:rPr>
                <w:rFonts w:ascii="宋体" w:hAnsi="宋体" w:eastAsia="宋体"/>
                <w:sz w:val="19"/>
              </w:rPr>
              <w:t>安全</w:t>
            </w:r>
          </w:p>
        </w:tc>
        <w:tc>
          <w:tcPr>
            <w:tcW w:type="dxa" w:w="3024"/>
            <w:vAlign w:val="center"/>
          </w:tcPr>
          <w:p>
            <w:pPr>
              <w:spacing w:after="0" w:line="276" w:lineRule="auto" w:before="0"/>
              <w:snapToGrid w:val="0"/>
            </w:pPr>
            <w:r>
              <w:rPr>
                <w:rFonts w:ascii="宋体" w:hAnsi="宋体" w:eastAsia="宋体"/>
                <w:sz w:val="19"/>
              </w:rPr>
              <w:t>Spring Security、Session、CSRF</w:t>
            </w:r>
          </w:p>
        </w:tc>
        <w:tc>
          <w:tcPr>
            <w:tcW w:type="dxa" w:w="4032"/>
            <w:vAlign w:val="center"/>
          </w:tcPr>
          <w:p>
            <w:pPr>
              <w:spacing w:after="0" w:line="276" w:lineRule="auto" w:before="0"/>
              <w:snapToGrid w:val="0"/>
            </w:pPr>
            <w:r>
              <w:rPr>
                <w:rFonts w:ascii="宋体" w:hAnsi="宋体" w:eastAsia="宋体"/>
                <w:sz w:val="19"/>
              </w:rPr>
              <w:t>符合本机浏览器会话场景</w:t>
            </w:r>
          </w:p>
        </w:tc>
      </w:tr>
      <w:tr>
        <w:trPr>
          <w:cantSplit/>
        </w:trPr>
        <w:tc>
          <w:tcPr>
            <w:tcW w:type="dxa" w:w="1440"/>
            <w:vAlign w:val="center"/>
          </w:tcPr>
          <w:p>
            <w:pPr>
              <w:spacing w:after="0" w:line="276" w:lineRule="auto" w:before="0"/>
              <w:snapToGrid w:val="0"/>
            </w:pPr>
            <w:r>
              <w:rPr>
                <w:rFonts w:ascii="宋体" w:hAnsi="宋体" w:eastAsia="宋体"/>
                <w:sz w:val="19"/>
              </w:rPr>
              <w:t>持久化</w:t>
            </w:r>
          </w:p>
        </w:tc>
        <w:tc>
          <w:tcPr>
            <w:tcW w:type="dxa" w:w="3024"/>
            <w:vAlign w:val="center"/>
          </w:tcPr>
          <w:p>
            <w:pPr>
              <w:spacing w:after="0" w:line="276" w:lineRule="auto" w:before="0"/>
              <w:snapToGrid w:val="0"/>
            </w:pPr>
            <w:r>
              <w:rPr>
                <w:rFonts w:ascii="宋体" w:hAnsi="宋体" w:eastAsia="宋体"/>
                <w:sz w:val="19"/>
              </w:rPr>
              <w:t>MyBatis-Plus、Flyway</w:t>
            </w:r>
          </w:p>
        </w:tc>
        <w:tc>
          <w:tcPr>
            <w:tcW w:type="dxa" w:w="4032"/>
            <w:vAlign w:val="center"/>
          </w:tcPr>
          <w:p>
            <w:pPr>
              <w:spacing w:after="0" w:line="276" w:lineRule="auto" w:before="0"/>
              <w:snapToGrid w:val="0"/>
            </w:pPr>
            <w:r>
              <w:rPr>
                <w:rFonts w:ascii="宋体" w:hAnsi="宋体" w:eastAsia="宋体"/>
                <w:sz w:val="19"/>
              </w:rPr>
              <w:t>简化 CRUD 并保证数据库可复现</w:t>
            </w:r>
          </w:p>
        </w:tc>
      </w:tr>
      <w:tr>
        <w:trPr>
          <w:cantSplit/>
        </w:trPr>
        <w:tc>
          <w:tcPr>
            <w:tcW w:type="dxa" w:w="1440"/>
            <w:vAlign w:val="center"/>
          </w:tcPr>
          <w:p>
            <w:pPr>
              <w:spacing w:after="0" w:line="276" w:lineRule="auto" w:before="0"/>
              <w:snapToGrid w:val="0"/>
            </w:pPr>
            <w:r>
              <w:rPr>
                <w:rFonts w:ascii="宋体" w:hAnsi="宋体" w:eastAsia="宋体"/>
                <w:sz w:val="19"/>
              </w:rPr>
              <w:t>数据库</w:t>
            </w:r>
          </w:p>
        </w:tc>
        <w:tc>
          <w:tcPr>
            <w:tcW w:type="dxa" w:w="3024"/>
            <w:vAlign w:val="center"/>
          </w:tcPr>
          <w:p>
            <w:pPr>
              <w:spacing w:after="0" w:line="276" w:lineRule="auto" w:before="0"/>
              <w:snapToGrid w:val="0"/>
            </w:pPr>
            <w:r>
              <w:rPr>
                <w:rFonts w:ascii="宋体" w:hAnsi="宋体" w:eastAsia="宋体"/>
                <w:sz w:val="19"/>
              </w:rPr>
              <w:t>MySQL 8</w:t>
            </w:r>
          </w:p>
        </w:tc>
        <w:tc>
          <w:tcPr>
            <w:tcW w:type="dxa" w:w="4032"/>
            <w:vAlign w:val="center"/>
          </w:tcPr>
          <w:p>
            <w:pPr>
              <w:spacing w:after="0" w:line="276" w:lineRule="auto" w:before="0"/>
              <w:snapToGrid w:val="0"/>
            </w:pPr>
            <w:r>
              <w:rPr>
                <w:rFonts w:ascii="宋体" w:hAnsi="宋体" w:eastAsia="宋体"/>
                <w:sz w:val="19"/>
              </w:rPr>
              <w:t>支持事务、外键、索引和精确小数</w:t>
            </w:r>
          </w:p>
        </w:tc>
      </w:tr>
    </w:tbl>
    <w:p>
      <w:pPr>
        <w:spacing w:after="0"/>
      </w:pPr>
    </w:p>
    <w:p>
      <w:pPr>
        <w:pStyle w:val="Heading2"/>
        <w:keepNext/>
        <w:pageBreakBefore w:val="0"/>
        <w:spacing w:before="140" w:after="120"/>
      </w:pPr>
      <w:r>
        <w:rPr>
          <w:rFonts w:ascii="黑体" w:hAnsi="黑体" w:eastAsia="黑体"/>
          <w:b/>
          <w:color w:val="000000"/>
          <w:sz w:val="24"/>
        </w:rPr>
        <w:t>3.2 总体架构</w:t>
      </w:r>
    </w:p>
    <w:p>
      <w:pPr>
        <w:spacing w:line="360" w:lineRule="auto" w:after="80"/>
        <w:ind w:firstLine="440"/>
        <w:jc w:val="both"/>
      </w:pPr>
      <w:r>
        <w:rPr>
          <w:rFonts w:ascii="宋体" w:hAnsi="宋体" w:eastAsia="宋体"/>
          <w:b w:val="0"/>
          <w:sz w:val="22"/>
        </w:rPr>
        <w:t>系统采用单体后端加单页前端的 B/S 架构。浏览器加载 Vue 应用，Axios 通过 Vite 开发代理访问 `/api`；Spring MVC Controller 接收请求，Spring Security 维护 Session 与 CSRF，Service 处理权限和业务，Mapper 访问 MySQL，Flyway 在启动时维护 Schema 版本。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8838"/>
      </w:tblGrid>
      <w:tr>
        <w:tc>
          <w:tcPr>
            <w:tcW w:type="dxa" w:w="8838"/>
            <w:shd w:fill="F5F7FA"/>
          </w:tcPr>
          <w:p>
            <w:pPr>
              <w:spacing w:before="80" w:after="80"/>
            </w:pPr>
            <w:r>
              <w:rPr>
                <w:rFonts w:ascii="Consolas" w:hAnsi="Consolas" w:eastAsia="宋体"/>
                <w:sz w:val="17"/>
              </w:rPr>
              <w:t>浏览器 Vue SPA</w:t>
              <w:br/>
            </w:r>
            <w:r>
              <w:rPr>
                <w:rFonts w:ascii="Consolas" w:hAnsi="Consolas" w:eastAsia="宋体"/>
                <w:sz w:val="17"/>
              </w:rPr>
              <w:t xml:space="preserve">    ↓ HTTP JSON / Session Cookie / CSRF</w:t>
              <w:br/>
            </w:r>
            <w:r>
              <w:rPr>
                <w:rFonts w:ascii="Consolas" w:hAnsi="Consolas" w:eastAsia="宋体"/>
                <w:sz w:val="17"/>
              </w:rPr>
              <w:t>Spring MVC Controller → Spring Security / CurrentUser</w:t>
              <w:br/>
            </w:r>
            <w:r>
              <w:rPr>
                <w:rFonts w:ascii="Consolas" w:hAnsi="Consolas" w:eastAsia="宋体"/>
                <w:sz w:val="17"/>
              </w:rPr>
              <w:t xml:space="preserve">    ↓</w:t>
              <w:br/>
            </w:r>
            <w:r>
              <w:rPr>
                <w:rFonts w:ascii="Consolas" w:hAnsi="Consolas" w:eastAsia="宋体"/>
                <w:sz w:val="17"/>
              </w:rPr>
              <w:t>业务 Service → MyBatis-Plus Mapper → MySQL 8</w:t>
              <w:br/>
            </w:r>
            <w:r>
              <w:rPr>
                <w:rFonts w:ascii="Consolas" w:hAnsi="Consolas" w:eastAsia="宋体"/>
                <w:sz w:val="17"/>
              </w:rPr>
              <w:t xml:space="preserve">                                    ↑</w:t>
              <w:br/>
            </w:r>
            <w:r>
              <w:rPr>
                <w:rFonts w:ascii="Consolas" w:hAnsi="Consolas" w:eastAsia="宋体"/>
                <w:sz w:val="17"/>
              </w:rPr>
              <w:t xml:space="preserve">                                 Flyway</w:t>
            </w:r>
          </w:p>
        </w:tc>
      </w:tr>
    </w:tbl>
    <w:p>
      <w:pPr>
        <w:pStyle w:val="Heading2"/>
        <w:keepNext/>
        <w:pageBreakBefore w:val="0"/>
        <w:spacing w:before="140" w:after="120"/>
      </w:pPr>
      <w:r>
        <w:rPr>
          <w:rFonts w:ascii="黑体" w:hAnsi="黑体" w:eastAsia="黑体"/>
          <w:b/>
          <w:color w:val="000000"/>
          <w:sz w:val="24"/>
        </w:rPr>
        <w:t>3.3 功能模块结构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  <w:tblCellMar>
          <w:top w:w="60" w:type="dxa"/>
          <w:bottom w:w="60" w:type="dxa"/>
          <w:left w:w="80" w:type="dxa"/>
          <w:right w:w="80" w:type="dxa"/>
        </w:tblCellMar>
      </w:tblPr>
      <w:tblGrid>
        <w:gridCol w:w="2946"/>
        <w:gridCol w:w="2946"/>
        <w:gridCol w:w="2946"/>
      </w:tblGrid>
      <w:tr>
        <w:trPr>
          <w:tblHeader w:val="true"/>
          <w:cantSplit/>
        </w:trPr>
        <w:tc>
          <w:tcPr>
            <w:tcW w:type="dxa" w:w="1872"/>
            <w:vAlign w:val="center"/>
            <w:shd w:fill="E9EEF9"/>
          </w:tcPr>
          <w:p>
            <w:pPr>
              <w:spacing w:line="276" w:lineRule="auto" w:before="0" w:after="0"/>
              <w:jc w:val="center"/>
              <w:snapToGrid w:val="0"/>
            </w:pPr>
            <w:r>
              <w:rPr>
                <w:rFonts w:ascii="黑体" w:hAnsi="黑体" w:eastAsia="黑体"/>
                <w:b/>
                <w:sz w:val="19"/>
              </w:rPr>
              <w:t>模块</w:t>
            </w:r>
          </w:p>
        </w:tc>
        <w:tc>
          <w:tcPr>
            <w:tcW w:type="dxa" w:w="3168"/>
            <w:vAlign w:val="center"/>
            <w:shd w:fill="E9EEF9"/>
          </w:tcPr>
          <w:p>
            <w:pPr>
              <w:spacing w:line="276" w:lineRule="auto" w:before="0" w:after="0"/>
              <w:jc w:val="center"/>
              <w:snapToGrid w:val="0"/>
            </w:pPr>
            <w:r>
              <w:rPr>
                <w:rFonts w:ascii="黑体" w:hAnsi="黑体" w:eastAsia="黑体"/>
                <w:b/>
                <w:sz w:val="19"/>
              </w:rPr>
              <w:t>后端包</w:t>
            </w:r>
          </w:p>
        </w:tc>
        <w:tc>
          <w:tcPr>
            <w:tcW w:type="dxa" w:w="3456"/>
            <w:vAlign w:val="center"/>
            <w:shd w:fill="E9EEF9"/>
          </w:tcPr>
          <w:p>
            <w:pPr>
              <w:spacing w:line="276" w:lineRule="auto" w:before="0" w:after="0"/>
              <w:jc w:val="center"/>
              <w:snapToGrid w:val="0"/>
            </w:pPr>
            <w:r>
              <w:rPr>
                <w:rFonts w:ascii="黑体" w:hAnsi="黑体" w:eastAsia="黑体"/>
                <w:b/>
                <w:sz w:val="19"/>
              </w:rPr>
              <w:t>前端页面</w:t>
            </w:r>
          </w:p>
        </w:tc>
      </w:tr>
      <w:tr>
        <w:trPr>
          <w:cantSplit/>
        </w:trPr>
        <w:tc>
          <w:tcPr>
            <w:tcW w:type="dxa" w:w="1872"/>
            <w:vAlign w:val="center"/>
          </w:tcPr>
          <w:p>
            <w:pPr>
              <w:spacing w:after="0" w:line="276" w:lineRule="auto" w:before="0"/>
              <w:snapToGrid w:val="0"/>
            </w:pPr>
            <w:r>
              <w:rPr>
                <w:rFonts w:ascii="宋体" w:hAnsi="宋体" w:eastAsia="宋体"/>
                <w:sz w:val="19"/>
              </w:rPr>
              <w:t>认证与资料</w:t>
            </w:r>
          </w:p>
        </w:tc>
        <w:tc>
          <w:tcPr>
            <w:tcW w:type="dxa" w:w="3168"/>
            <w:vAlign w:val="center"/>
          </w:tcPr>
          <w:p>
            <w:pPr>
              <w:spacing w:after="0" w:line="276" w:lineRule="auto" w:before="0"/>
              <w:snapToGrid w:val="0"/>
            </w:pPr>
            <w:r>
              <w:rPr>
                <w:rFonts w:ascii="宋体" w:hAnsi="宋体" w:eastAsia="宋体"/>
                <w:sz w:val="19"/>
              </w:rPr>
              <w:t>auth、profile、common/security</w:t>
            </w:r>
          </w:p>
        </w:tc>
        <w:tc>
          <w:tcPr>
            <w:tcW w:type="dxa" w:w="3456"/>
            <w:vAlign w:val="center"/>
          </w:tcPr>
          <w:p>
            <w:pPr>
              <w:spacing w:after="0" w:line="276" w:lineRule="auto" w:before="0"/>
              <w:snapToGrid w:val="0"/>
            </w:pPr>
            <w:r>
              <w:rPr>
                <w:rFonts w:ascii="宋体" w:hAnsi="宋体" w:eastAsia="宋体"/>
                <w:sz w:val="19"/>
              </w:rPr>
              <w:t>login、register、profile</w:t>
            </w:r>
          </w:p>
        </w:tc>
      </w:tr>
      <w:tr>
        <w:trPr>
          <w:cantSplit/>
        </w:trPr>
        <w:tc>
          <w:tcPr>
            <w:tcW w:type="dxa" w:w="1872"/>
            <w:vAlign w:val="center"/>
          </w:tcPr>
          <w:p>
            <w:pPr>
              <w:spacing w:after="0" w:line="276" w:lineRule="auto" w:before="0"/>
              <w:snapToGrid w:val="0"/>
            </w:pPr>
            <w:r>
              <w:rPr>
                <w:rFonts w:ascii="宋体" w:hAnsi="宋体" w:eastAsia="宋体"/>
                <w:sz w:val="19"/>
              </w:rPr>
              <w:t>家庭与成员</w:t>
            </w:r>
          </w:p>
        </w:tc>
        <w:tc>
          <w:tcPr>
            <w:tcW w:type="dxa" w:w="3168"/>
            <w:vAlign w:val="center"/>
          </w:tcPr>
          <w:p>
            <w:pPr>
              <w:spacing w:after="0" w:line="276" w:lineRule="auto" w:before="0"/>
              <w:snapToGrid w:val="0"/>
            </w:pPr>
            <w:r>
              <w:rPr>
                <w:rFonts w:ascii="宋体" w:hAnsi="宋体" w:eastAsia="宋体"/>
                <w:sz w:val="19"/>
              </w:rPr>
              <w:t>household</w:t>
            </w:r>
          </w:p>
        </w:tc>
        <w:tc>
          <w:tcPr>
            <w:tcW w:type="dxa" w:w="3456"/>
            <w:vAlign w:val="center"/>
          </w:tcPr>
          <w:p>
            <w:pPr>
              <w:spacing w:after="0" w:line="276" w:lineRule="auto" w:before="0"/>
              <w:snapToGrid w:val="0"/>
            </w:pPr>
            <w:r>
              <w:rPr>
                <w:rFonts w:ascii="宋体" w:hAnsi="宋体" w:eastAsia="宋体"/>
                <w:sz w:val="19"/>
              </w:rPr>
              <w:t>onboarding、members</w:t>
            </w:r>
          </w:p>
        </w:tc>
      </w:tr>
      <w:tr>
        <w:trPr>
          <w:cantSplit/>
        </w:trPr>
        <w:tc>
          <w:tcPr>
            <w:tcW w:type="dxa" w:w="1872"/>
            <w:vAlign w:val="center"/>
          </w:tcPr>
          <w:p>
            <w:pPr>
              <w:spacing w:after="0" w:line="276" w:lineRule="auto" w:before="0"/>
              <w:snapToGrid w:val="0"/>
            </w:pPr>
            <w:r>
              <w:rPr>
                <w:rFonts w:ascii="宋体" w:hAnsi="宋体" w:eastAsia="宋体"/>
                <w:sz w:val="19"/>
              </w:rPr>
              <w:t>收支分类</w:t>
            </w:r>
          </w:p>
        </w:tc>
        <w:tc>
          <w:tcPr>
            <w:tcW w:type="dxa" w:w="3168"/>
            <w:vAlign w:val="center"/>
          </w:tcPr>
          <w:p>
            <w:pPr>
              <w:spacing w:after="0" w:line="276" w:lineRule="auto" w:before="0"/>
              <w:snapToGrid w:val="0"/>
            </w:pPr>
            <w:r>
              <w:rPr>
                <w:rFonts w:ascii="宋体" w:hAnsi="宋体" w:eastAsia="宋体"/>
                <w:sz w:val="19"/>
              </w:rPr>
              <w:t>category</w:t>
            </w:r>
          </w:p>
        </w:tc>
        <w:tc>
          <w:tcPr>
            <w:tcW w:type="dxa" w:w="3456"/>
            <w:vAlign w:val="center"/>
          </w:tcPr>
          <w:p>
            <w:pPr>
              <w:spacing w:after="0" w:line="276" w:lineRule="auto" w:before="0"/>
              <w:snapToGrid w:val="0"/>
            </w:pPr>
            <w:r>
              <w:rPr>
                <w:rFonts w:ascii="宋体" w:hAnsi="宋体" w:eastAsia="宋体"/>
                <w:sz w:val="19"/>
              </w:rPr>
              <w:t>categories</w:t>
            </w:r>
          </w:p>
        </w:tc>
      </w:tr>
      <w:tr>
        <w:trPr>
          <w:cantSplit/>
        </w:trPr>
        <w:tc>
          <w:tcPr>
            <w:tcW w:type="dxa" w:w="1872"/>
            <w:vAlign w:val="center"/>
          </w:tcPr>
          <w:p>
            <w:pPr>
              <w:spacing w:after="0" w:line="276" w:lineRule="auto" w:before="0"/>
              <w:snapToGrid w:val="0"/>
            </w:pPr>
            <w:r>
              <w:rPr>
                <w:rFonts w:ascii="宋体" w:hAnsi="宋体" w:eastAsia="宋体"/>
                <w:sz w:val="19"/>
              </w:rPr>
              <w:t>收支流水</w:t>
            </w:r>
          </w:p>
        </w:tc>
        <w:tc>
          <w:tcPr>
            <w:tcW w:type="dxa" w:w="3168"/>
            <w:vAlign w:val="center"/>
          </w:tcPr>
          <w:p>
            <w:pPr>
              <w:spacing w:after="0" w:line="276" w:lineRule="auto" w:before="0"/>
              <w:snapToGrid w:val="0"/>
            </w:pPr>
            <w:r>
              <w:rPr>
                <w:rFonts w:ascii="宋体" w:hAnsi="宋体" w:eastAsia="宋体"/>
                <w:sz w:val="19"/>
              </w:rPr>
              <w:t>ledger</w:t>
            </w:r>
          </w:p>
        </w:tc>
        <w:tc>
          <w:tcPr>
            <w:tcW w:type="dxa" w:w="3456"/>
            <w:vAlign w:val="center"/>
          </w:tcPr>
          <w:p>
            <w:pPr>
              <w:spacing w:after="0" w:line="276" w:lineRule="auto" w:before="0"/>
              <w:snapToGrid w:val="0"/>
            </w:pPr>
            <w:r>
              <w:rPr>
                <w:rFonts w:ascii="宋体" w:hAnsi="宋体" w:eastAsia="宋体"/>
                <w:sz w:val="19"/>
              </w:rPr>
              <w:t>entries、EntryForm</w:t>
            </w:r>
          </w:p>
        </w:tc>
      </w:tr>
      <w:tr>
        <w:trPr>
          <w:cantSplit/>
        </w:trPr>
        <w:tc>
          <w:tcPr>
            <w:tcW w:type="dxa" w:w="1872"/>
            <w:vAlign w:val="center"/>
          </w:tcPr>
          <w:p>
            <w:pPr>
              <w:spacing w:after="0" w:line="276" w:lineRule="auto" w:before="0"/>
              <w:snapToGrid w:val="0"/>
            </w:pPr>
            <w:r>
              <w:rPr>
                <w:rFonts w:ascii="宋体" w:hAnsi="宋体" w:eastAsia="宋体"/>
                <w:sz w:val="19"/>
              </w:rPr>
              <w:t>统计仪表盘</w:t>
            </w:r>
          </w:p>
        </w:tc>
        <w:tc>
          <w:tcPr>
            <w:tcW w:type="dxa" w:w="3168"/>
            <w:vAlign w:val="center"/>
          </w:tcPr>
          <w:p>
            <w:pPr>
              <w:spacing w:after="0" w:line="276" w:lineRule="auto" w:before="0"/>
              <w:snapToGrid w:val="0"/>
            </w:pPr>
            <w:r>
              <w:rPr>
                <w:rFonts w:ascii="宋体" w:hAnsi="宋体" w:eastAsia="宋体"/>
                <w:sz w:val="19"/>
              </w:rPr>
              <w:t>statistics</w:t>
            </w:r>
          </w:p>
        </w:tc>
        <w:tc>
          <w:tcPr>
            <w:tcW w:type="dxa" w:w="3456"/>
            <w:vAlign w:val="center"/>
          </w:tcPr>
          <w:p>
            <w:pPr>
              <w:spacing w:after="0" w:line="276" w:lineRule="auto" w:before="0"/>
              <w:snapToGrid w:val="0"/>
            </w:pPr>
            <w:r>
              <w:rPr>
                <w:rFonts w:ascii="宋体" w:hAnsi="宋体" w:eastAsia="宋体"/>
                <w:sz w:val="19"/>
              </w:rPr>
              <w:t>dashboard、TrendChart</w:t>
            </w:r>
          </w:p>
        </w:tc>
      </w:tr>
      <w:tr>
        <w:trPr>
          <w:cantSplit/>
        </w:trPr>
        <w:tc>
          <w:tcPr>
            <w:tcW w:type="dxa" w:w="1872"/>
            <w:vAlign w:val="center"/>
          </w:tcPr>
          <w:p>
            <w:pPr>
              <w:spacing w:after="0" w:line="276" w:lineRule="auto" w:before="0"/>
              <w:snapToGrid w:val="0"/>
            </w:pPr>
            <w:r>
              <w:rPr>
                <w:rFonts w:ascii="宋体" w:hAnsi="宋体" w:eastAsia="宋体"/>
                <w:sz w:val="19"/>
              </w:rPr>
              <w:t>预算与周期记账</w:t>
            </w:r>
          </w:p>
        </w:tc>
        <w:tc>
          <w:tcPr>
            <w:tcW w:type="dxa" w:w="3168"/>
            <w:vAlign w:val="center"/>
          </w:tcPr>
          <w:p>
            <w:pPr>
              <w:spacing w:after="0" w:line="276" w:lineRule="auto" w:before="0"/>
              <w:snapToGrid w:val="0"/>
            </w:pPr>
            <w:r>
              <w:rPr>
                <w:rFonts w:ascii="宋体" w:hAnsi="宋体" w:eastAsia="宋体"/>
                <w:sz w:val="19"/>
              </w:rPr>
              <w:t>budget、recurring</w:t>
            </w:r>
          </w:p>
        </w:tc>
        <w:tc>
          <w:tcPr>
            <w:tcW w:type="dxa" w:w="3456"/>
            <w:vAlign w:val="center"/>
          </w:tcPr>
          <w:p>
            <w:pPr>
              <w:spacing w:after="0" w:line="276" w:lineRule="auto" w:before="0"/>
              <w:snapToGrid w:val="0"/>
            </w:pPr>
            <w:r>
              <w:rPr>
                <w:rFonts w:ascii="宋体" w:hAnsi="宋体" w:eastAsia="宋体"/>
                <w:sz w:val="19"/>
              </w:rPr>
              <w:t>budgets、recurring</w:t>
            </w:r>
          </w:p>
        </w:tc>
      </w:tr>
      <w:tr>
        <w:trPr>
          <w:cantSplit/>
        </w:trPr>
        <w:tc>
          <w:tcPr>
            <w:tcW w:type="dxa" w:w="1872"/>
            <w:vAlign w:val="center"/>
          </w:tcPr>
          <w:p>
            <w:pPr>
              <w:spacing w:after="0" w:line="276" w:lineRule="auto" w:before="0"/>
              <w:snapToGrid w:val="0"/>
            </w:pPr>
            <w:r>
              <w:rPr>
                <w:rFonts w:ascii="宋体" w:hAnsi="宋体" w:eastAsia="宋体"/>
                <w:sz w:val="19"/>
              </w:rPr>
              <w:t>CSV 与操作日志</w:t>
            </w:r>
          </w:p>
        </w:tc>
        <w:tc>
          <w:tcPr>
            <w:tcW w:type="dxa" w:w="3168"/>
            <w:vAlign w:val="center"/>
          </w:tcPr>
          <w:p>
            <w:pPr>
              <w:spacing w:after="0" w:line="276" w:lineRule="auto" w:before="0"/>
              <w:snapToGrid w:val="0"/>
            </w:pPr>
            <w:r>
              <w:rPr>
                <w:rFonts w:ascii="宋体" w:hAnsi="宋体" w:eastAsia="宋体"/>
                <w:sz w:val="19"/>
              </w:rPr>
              <w:t>ledger、audit</w:t>
            </w:r>
          </w:p>
        </w:tc>
        <w:tc>
          <w:tcPr>
            <w:tcW w:type="dxa" w:w="3456"/>
            <w:vAlign w:val="center"/>
          </w:tcPr>
          <w:p>
            <w:pPr>
              <w:spacing w:after="0" w:line="276" w:lineRule="auto" w:before="0"/>
              <w:snapToGrid w:val="0"/>
            </w:pPr>
            <w:r>
              <w:rPr>
                <w:rFonts w:ascii="宋体" w:hAnsi="宋体" w:eastAsia="宋体"/>
                <w:sz w:val="19"/>
              </w:rPr>
              <w:t>entries 导入导出、audit-logs</w:t>
            </w:r>
          </w:p>
        </w:tc>
      </w:tr>
      <w:tr>
        <w:trPr>
          <w:cantSplit/>
        </w:trPr>
        <w:tc>
          <w:tcPr>
            <w:tcW w:type="dxa" w:w="1872"/>
            <w:vAlign w:val="center"/>
          </w:tcPr>
          <w:p>
            <w:pPr>
              <w:spacing w:after="0" w:line="276" w:lineRule="auto" w:before="0"/>
              <w:snapToGrid w:val="0"/>
            </w:pPr>
            <w:r>
              <w:rPr>
                <w:rFonts w:ascii="宋体" w:hAnsi="宋体" w:eastAsia="宋体"/>
                <w:sz w:val="19"/>
              </w:rPr>
              <w:t>错误与导航</w:t>
            </w:r>
          </w:p>
        </w:tc>
        <w:tc>
          <w:tcPr>
            <w:tcW w:type="dxa" w:w="3168"/>
            <w:vAlign w:val="center"/>
          </w:tcPr>
          <w:p>
            <w:pPr>
              <w:spacing w:after="0" w:line="276" w:lineRule="auto" w:before="0"/>
              <w:snapToGrid w:val="0"/>
            </w:pPr>
            <w:r>
              <w:rPr>
                <w:rFonts w:ascii="宋体" w:hAnsi="宋体" w:eastAsia="宋体"/>
                <w:sz w:val="19"/>
              </w:rPr>
              <w:t>common/error</w:t>
            </w:r>
          </w:p>
        </w:tc>
        <w:tc>
          <w:tcPr>
            <w:tcW w:type="dxa" w:w="3456"/>
            <w:vAlign w:val="center"/>
          </w:tcPr>
          <w:p>
            <w:pPr>
              <w:spacing w:after="0" w:line="276" w:lineRule="auto" w:before="0"/>
              <w:snapToGrid w:val="0"/>
            </w:pPr>
            <w:r>
              <w:rPr>
                <w:rFonts w:ascii="宋体" w:hAnsi="宋体" w:eastAsia="宋体"/>
                <w:sz w:val="19"/>
              </w:rPr>
              <w:t>router、forbidden、not-found</w:t>
            </w:r>
          </w:p>
        </w:tc>
      </w:tr>
    </w:tbl>
    <w:p>
      <w:pPr>
        <w:spacing w:after="0"/>
      </w:pPr>
    </w:p>
    <w:p>
      <w:pPr>
        <w:pStyle w:val="Heading2"/>
        <w:keepNext/>
        <w:pageBreakBefore w:val="0"/>
        <w:spacing w:before="140" w:after="120"/>
      </w:pPr>
      <w:r>
        <w:rPr>
          <w:rFonts w:ascii="黑体" w:hAnsi="黑体" w:eastAsia="黑体"/>
          <w:b/>
          <w:color w:val="000000"/>
          <w:sz w:val="24"/>
        </w:rPr>
        <w:t>3.4 数据库设计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  <w:tblCellMar>
          <w:top w:w="60" w:type="dxa"/>
          <w:bottom w:w="60" w:type="dxa"/>
          <w:left w:w="80" w:type="dxa"/>
          <w:right w:w="80" w:type="dxa"/>
        </w:tblCellMar>
      </w:tblPr>
      <w:tblGrid>
        <w:gridCol w:w="2946"/>
        <w:gridCol w:w="2946"/>
        <w:gridCol w:w="2946"/>
      </w:tblGrid>
      <w:tr>
        <w:trPr>
          <w:tblHeader w:val="true"/>
          <w:cantSplit/>
        </w:trPr>
        <w:tc>
          <w:tcPr>
            <w:tcW w:type="dxa" w:w="1800"/>
            <w:vAlign w:val="center"/>
            <w:shd w:fill="E9EEF9"/>
          </w:tcPr>
          <w:p>
            <w:pPr>
              <w:spacing w:line="276" w:lineRule="auto" w:before="0" w:after="0"/>
              <w:jc w:val="center"/>
              <w:snapToGrid w:val="0"/>
            </w:pPr>
            <w:r>
              <w:rPr>
                <w:rFonts w:ascii="黑体" w:hAnsi="黑体" w:eastAsia="黑体"/>
                <w:b/>
                <w:sz w:val="19"/>
              </w:rPr>
              <w:t>表</w:t>
            </w:r>
          </w:p>
        </w:tc>
        <w:tc>
          <w:tcPr>
            <w:tcW w:type="dxa" w:w="3888"/>
            <w:vAlign w:val="center"/>
            <w:shd w:fill="E9EEF9"/>
          </w:tcPr>
          <w:p>
            <w:pPr>
              <w:spacing w:line="276" w:lineRule="auto" w:before="0" w:after="0"/>
              <w:jc w:val="center"/>
              <w:snapToGrid w:val="0"/>
            </w:pPr>
            <w:r>
              <w:rPr>
                <w:rFonts w:ascii="黑体" w:hAnsi="黑体" w:eastAsia="黑体"/>
                <w:b/>
                <w:sz w:val="19"/>
              </w:rPr>
              <w:t>主要字段</w:t>
            </w:r>
          </w:p>
        </w:tc>
        <w:tc>
          <w:tcPr>
            <w:tcW w:type="dxa" w:w="2808"/>
            <w:vAlign w:val="center"/>
            <w:shd w:fill="E9EEF9"/>
          </w:tcPr>
          <w:p>
            <w:pPr>
              <w:spacing w:line="276" w:lineRule="auto" w:before="0" w:after="0"/>
              <w:jc w:val="center"/>
              <w:snapToGrid w:val="0"/>
            </w:pPr>
            <w:r>
              <w:rPr>
                <w:rFonts w:ascii="黑体" w:hAnsi="黑体" w:eastAsia="黑体"/>
                <w:b/>
                <w:sz w:val="19"/>
              </w:rPr>
              <w:t>关键约束</w:t>
            </w:r>
          </w:p>
        </w:tc>
      </w:tr>
      <w:tr>
        <w:trPr>
          <w:cantSplit/>
        </w:trPr>
        <w:tc>
          <w:tcPr>
            <w:tcW w:type="dxa" w:w="1800"/>
            <w:vAlign w:val="center"/>
          </w:tcPr>
          <w:p>
            <w:pPr>
              <w:spacing w:after="0" w:line="276" w:lineRule="auto" w:before="0"/>
              <w:snapToGrid w:val="0"/>
            </w:pPr>
            <w:r>
              <w:rPr>
                <w:rFonts w:ascii="宋体" w:hAnsi="宋体" w:eastAsia="宋体"/>
                <w:sz w:val="19"/>
              </w:rPr>
              <w:t>household</w:t>
            </w:r>
          </w:p>
        </w:tc>
        <w:tc>
          <w:tcPr>
            <w:tcW w:type="dxa" w:w="3888"/>
            <w:vAlign w:val="center"/>
          </w:tcPr>
          <w:p>
            <w:pPr>
              <w:spacing w:after="0" w:line="276" w:lineRule="auto" w:before="0"/>
              <w:snapToGrid w:val="0"/>
            </w:pPr>
            <w:r>
              <w:rPr>
                <w:rFonts w:ascii="宋体" w:hAnsi="宋体" w:eastAsia="宋体"/>
                <w:sz w:val="19"/>
              </w:rPr>
              <w:t>id、name、invite_code、created_by</w:t>
            </w:r>
          </w:p>
        </w:tc>
        <w:tc>
          <w:tcPr>
            <w:tcW w:type="dxa" w:w="2808"/>
            <w:vAlign w:val="center"/>
          </w:tcPr>
          <w:p>
            <w:pPr>
              <w:spacing w:after="0" w:line="276" w:lineRule="auto" w:before="0"/>
              <w:snapToGrid w:val="0"/>
            </w:pPr>
            <w:r>
              <w:rPr>
                <w:rFonts w:ascii="宋体" w:hAnsi="宋体" w:eastAsia="宋体"/>
                <w:sz w:val="19"/>
              </w:rPr>
              <w:t>邀请码全局唯一</w:t>
            </w:r>
          </w:p>
        </w:tc>
      </w:tr>
      <w:tr>
        <w:trPr>
          <w:cantSplit/>
        </w:trPr>
        <w:tc>
          <w:tcPr>
            <w:tcW w:type="dxa" w:w="1800"/>
            <w:vAlign w:val="center"/>
          </w:tcPr>
          <w:p>
            <w:pPr>
              <w:spacing w:after="0" w:line="276" w:lineRule="auto" w:before="0"/>
              <w:snapToGrid w:val="0"/>
            </w:pPr>
            <w:r>
              <w:rPr>
                <w:rFonts w:ascii="宋体" w:hAnsi="宋体" w:eastAsia="宋体"/>
                <w:sz w:val="19"/>
              </w:rPr>
              <w:t>app_user</w:t>
            </w:r>
          </w:p>
        </w:tc>
        <w:tc>
          <w:tcPr>
            <w:tcW w:type="dxa" w:w="3888"/>
            <w:vAlign w:val="center"/>
          </w:tcPr>
          <w:p>
            <w:pPr>
              <w:spacing w:after="0" w:line="276" w:lineRule="auto" w:before="0"/>
              <w:snapToGrid w:val="0"/>
            </w:pPr>
            <w:r>
              <w:rPr>
                <w:rFonts w:ascii="宋体" w:hAnsi="宋体" w:eastAsia="宋体"/>
                <w:sz w:val="19"/>
              </w:rPr>
              <w:t>账号、密码摘要、家庭、编号、角色、状态</w:t>
            </w:r>
          </w:p>
        </w:tc>
        <w:tc>
          <w:tcPr>
            <w:tcW w:type="dxa" w:w="2808"/>
            <w:vAlign w:val="center"/>
          </w:tcPr>
          <w:p>
            <w:pPr>
              <w:spacing w:after="0" w:line="276" w:lineRule="auto" w:before="0"/>
              <w:snapToGrid w:val="0"/>
            </w:pPr>
            <w:r>
              <w:rPr>
                <w:rFonts w:ascii="宋体" w:hAnsi="宋体" w:eastAsia="宋体"/>
                <w:sz w:val="19"/>
              </w:rPr>
              <w:t>用户名全局唯一；成员编号家庭内唯一</w:t>
            </w:r>
          </w:p>
        </w:tc>
      </w:tr>
      <w:tr>
        <w:trPr>
          <w:cantSplit/>
        </w:trPr>
        <w:tc>
          <w:tcPr>
            <w:tcW w:type="dxa" w:w="1800"/>
            <w:vAlign w:val="center"/>
          </w:tcPr>
          <w:p>
            <w:pPr>
              <w:spacing w:after="0" w:line="276" w:lineRule="auto" w:before="0"/>
              <w:snapToGrid w:val="0"/>
            </w:pPr>
            <w:r>
              <w:rPr>
                <w:rFonts w:ascii="宋体" w:hAnsi="宋体" w:eastAsia="宋体"/>
                <w:sz w:val="19"/>
              </w:rPr>
              <w:t>finance_category</w:t>
            </w:r>
          </w:p>
        </w:tc>
        <w:tc>
          <w:tcPr>
            <w:tcW w:type="dxa" w:w="3888"/>
            <w:vAlign w:val="center"/>
          </w:tcPr>
          <w:p>
            <w:pPr>
              <w:spacing w:after="0" w:line="276" w:lineRule="auto" w:before="0"/>
              <w:snapToGrid w:val="0"/>
            </w:pPr>
            <w:r>
              <w:rPr>
                <w:rFonts w:ascii="宋体" w:hAnsi="宋体" w:eastAsia="宋体"/>
                <w:sz w:val="19"/>
              </w:rPr>
              <w:t>家庭、范围、类型、名称、状态</w:t>
            </w:r>
          </w:p>
        </w:tc>
        <w:tc>
          <w:tcPr>
            <w:tcW w:type="dxa" w:w="2808"/>
            <w:vAlign w:val="center"/>
          </w:tcPr>
          <w:p>
            <w:pPr>
              <w:spacing w:after="0" w:line="276" w:lineRule="auto" w:before="0"/>
              <w:snapToGrid w:val="0"/>
            </w:pPr>
            <w:r>
              <w:rPr>
                <w:rFonts w:ascii="宋体" w:hAnsi="宋体" w:eastAsia="宋体"/>
                <w:sz w:val="19"/>
              </w:rPr>
              <w:t>系统/家庭范围一致；同类型名称唯一</w:t>
            </w:r>
          </w:p>
        </w:tc>
      </w:tr>
      <w:tr>
        <w:trPr>
          <w:cantSplit/>
        </w:trPr>
        <w:tc>
          <w:tcPr>
            <w:tcW w:type="dxa" w:w="1800"/>
            <w:vAlign w:val="center"/>
          </w:tcPr>
          <w:p>
            <w:pPr>
              <w:spacing w:after="0" w:line="276" w:lineRule="auto" w:before="0"/>
              <w:snapToGrid w:val="0"/>
            </w:pPr>
            <w:r>
              <w:rPr>
                <w:rFonts w:ascii="宋体" w:hAnsi="宋体" w:eastAsia="宋体"/>
                <w:sz w:val="19"/>
              </w:rPr>
              <w:t>ledger_entry</w:t>
            </w:r>
          </w:p>
        </w:tc>
        <w:tc>
          <w:tcPr>
            <w:tcW w:type="dxa" w:w="3888"/>
            <w:vAlign w:val="center"/>
          </w:tcPr>
          <w:p>
            <w:pPr>
              <w:spacing w:after="0" w:line="276" w:lineRule="auto" w:before="0"/>
              <w:snapToGrid w:val="0"/>
            </w:pPr>
            <w:r>
              <w:rPr>
                <w:rFonts w:ascii="宋体" w:hAnsi="宋体" w:eastAsia="宋体"/>
                <w:sz w:val="19"/>
              </w:rPr>
              <w:t>家庭、成员、分类、类型、金额、日期、删除标记</w:t>
            </w:r>
          </w:p>
        </w:tc>
        <w:tc>
          <w:tcPr>
            <w:tcW w:type="dxa" w:w="2808"/>
            <w:vAlign w:val="center"/>
          </w:tcPr>
          <w:p>
            <w:pPr>
              <w:spacing w:after="0" w:line="276" w:lineRule="auto" w:before="0"/>
              <w:snapToGrid w:val="0"/>
            </w:pPr>
            <w:r>
              <w:rPr>
                <w:rFonts w:ascii="宋体" w:hAnsi="宋体" w:eastAsia="宋体"/>
                <w:sz w:val="19"/>
              </w:rPr>
              <w:t>金额大于零；外键；家庭/日期索引</w:t>
            </w:r>
          </w:p>
        </w:tc>
      </w:tr>
      <w:tr>
        <w:trPr>
          <w:cantSplit/>
        </w:trPr>
        <w:tc>
          <w:tcPr>
            <w:tcW w:type="dxa" w:w="1800"/>
            <w:vAlign w:val="center"/>
          </w:tcPr>
          <w:p>
            <w:pPr>
              <w:spacing w:after="0" w:line="276" w:lineRule="auto" w:before="0"/>
              <w:snapToGrid w:val="0"/>
            </w:pPr>
            <w:r>
              <w:rPr>
                <w:rFonts w:ascii="宋体" w:hAnsi="宋体" w:eastAsia="宋体"/>
                <w:sz w:val="19"/>
              </w:rPr>
              <w:t>monthly_budget</w:t>
            </w:r>
          </w:p>
        </w:tc>
        <w:tc>
          <w:tcPr>
            <w:tcW w:type="dxa" w:w="3888"/>
            <w:vAlign w:val="center"/>
          </w:tcPr>
          <w:p>
            <w:pPr>
              <w:spacing w:after="0" w:line="276" w:lineRule="auto" w:before="0"/>
              <w:snapToGrid w:val="0"/>
            </w:pPr>
            <w:r>
              <w:rPr>
                <w:rFonts w:ascii="宋体" w:hAnsi="宋体" w:eastAsia="宋体"/>
                <w:sz w:val="19"/>
              </w:rPr>
              <w:t>家庭、月份、可空分类、金额</w:t>
            </w:r>
          </w:p>
        </w:tc>
        <w:tc>
          <w:tcPr>
            <w:tcW w:type="dxa" w:w="2808"/>
            <w:vAlign w:val="center"/>
          </w:tcPr>
          <w:p>
            <w:pPr>
              <w:spacing w:after="0" w:line="276" w:lineRule="auto" w:before="0"/>
              <w:snapToGrid w:val="0"/>
            </w:pPr>
            <w:r>
              <w:rPr>
                <w:rFonts w:ascii="宋体" w:hAnsi="宋体" w:eastAsia="宋体"/>
                <w:sz w:val="19"/>
              </w:rPr>
              <w:t>家庭/月份/分类唯一；月份为月首</w:t>
            </w:r>
          </w:p>
        </w:tc>
      </w:tr>
      <w:tr>
        <w:trPr>
          <w:cantSplit/>
        </w:trPr>
        <w:tc>
          <w:tcPr>
            <w:tcW w:type="dxa" w:w="1800"/>
            <w:vAlign w:val="center"/>
          </w:tcPr>
          <w:p>
            <w:pPr>
              <w:spacing w:after="0" w:line="276" w:lineRule="auto" w:before="0"/>
              <w:snapToGrid w:val="0"/>
            </w:pPr>
            <w:r>
              <w:rPr>
                <w:rFonts w:ascii="宋体" w:hAnsi="宋体" w:eastAsia="宋体"/>
                <w:sz w:val="19"/>
              </w:rPr>
              <w:t>recurring_template</w:t>
            </w:r>
          </w:p>
        </w:tc>
        <w:tc>
          <w:tcPr>
            <w:tcW w:type="dxa" w:w="3888"/>
            <w:vAlign w:val="center"/>
          </w:tcPr>
          <w:p>
            <w:pPr>
              <w:spacing w:after="0" w:line="276" w:lineRule="auto" w:before="0"/>
              <w:snapToGrid w:val="0"/>
            </w:pPr>
            <w:r>
              <w:rPr>
                <w:rFonts w:ascii="宋体" w:hAnsi="宋体" w:eastAsia="宋体"/>
                <w:sz w:val="19"/>
              </w:rPr>
              <w:t>家庭、成员、分类、金额、每月日期、状态</w:t>
            </w:r>
          </w:p>
        </w:tc>
        <w:tc>
          <w:tcPr>
            <w:tcW w:type="dxa" w:w="2808"/>
            <w:vAlign w:val="center"/>
          </w:tcPr>
          <w:p>
            <w:pPr>
              <w:spacing w:after="0" w:line="276" w:lineRule="auto" w:before="0"/>
              <w:snapToGrid w:val="0"/>
            </w:pPr>
            <w:r>
              <w:rPr>
                <w:rFonts w:ascii="宋体" w:hAnsi="宋体" w:eastAsia="宋体"/>
                <w:sz w:val="19"/>
              </w:rPr>
              <w:t>每月日期 1 至 31；金额大于零</w:t>
            </w:r>
          </w:p>
        </w:tc>
      </w:tr>
      <w:tr>
        <w:trPr>
          <w:cantSplit/>
        </w:trPr>
        <w:tc>
          <w:tcPr>
            <w:tcW w:type="dxa" w:w="1800"/>
            <w:vAlign w:val="center"/>
          </w:tcPr>
          <w:p>
            <w:pPr>
              <w:spacing w:after="0" w:line="276" w:lineRule="auto" w:before="0"/>
              <w:snapToGrid w:val="0"/>
            </w:pPr>
            <w:r>
              <w:rPr>
                <w:rFonts w:ascii="宋体" w:hAnsi="宋体" w:eastAsia="宋体"/>
                <w:sz w:val="19"/>
              </w:rPr>
              <w:t>recurring_generation</w:t>
            </w:r>
          </w:p>
        </w:tc>
        <w:tc>
          <w:tcPr>
            <w:tcW w:type="dxa" w:w="3888"/>
            <w:vAlign w:val="center"/>
          </w:tcPr>
          <w:p>
            <w:pPr>
              <w:spacing w:after="0" w:line="276" w:lineRule="auto" w:before="0"/>
              <w:snapToGrid w:val="0"/>
            </w:pPr>
            <w:r>
              <w:rPr>
                <w:rFonts w:ascii="宋体" w:hAnsi="宋体" w:eastAsia="宋体"/>
                <w:sz w:val="19"/>
              </w:rPr>
              <w:t>模板、生成月份、流水 ID</w:t>
            </w:r>
          </w:p>
        </w:tc>
        <w:tc>
          <w:tcPr>
            <w:tcW w:type="dxa" w:w="2808"/>
            <w:vAlign w:val="center"/>
          </w:tcPr>
          <w:p>
            <w:pPr>
              <w:spacing w:after="0" w:line="276" w:lineRule="auto" w:before="0"/>
              <w:snapToGrid w:val="0"/>
            </w:pPr>
            <w:r>
              <w:rPr>
                <w:rFonts w:ascii="宋体" w:hAnsi="宋体" w:eastAsia="宋体"/>
                <w:sz w:val="19"/>
              </w:rPr>
              <w:t>模板/月份唯一，防止重复生成</w:t>
            </w:r>
          </w:p>
        </w:tc>
      </w:tr>
      <w:tr>
        <w:trPr>
          <w:cantSplit/>
        </w:trPr>
        <w:tc>
          <w:tcPr>
            <w:tcW w:type="dxa" w:w="1800"/>
            <w:vAlign w:val="center"/>
          </w:tcPr>
          <w:p>
            <w:pPr>
              <w:spacing w:after="0" w:line="276" w:lineRule="auto" w:before="0"/>
              <w:snapToGrid w:val="0"/>
            </w:pPr>
            <w:r>
              <w:rPr>
                <w:rFonts w:ascii="宋体" w:hAnsi="宋体" w:eastAsia="宋体"/>
                <w:sz w:val="19"/>
              </w:rPr>
              <w:t>audit_log</w:t>
            </w:r>
          </w:p>
        </w:tc>
        <w:tc>
          <w:tcPr>
            <w:tcW w:type="dxa" w:w="3888"/>
            <w:vAlign w:val="center"/>
          </w:tcPr>
          <w:p>
            <w:pPr>
              <w:spacing w:after="0" w:line="276" w:lineRule="auto" w:before="0"/>
              <w:snapToGrid w:val="0"/>
            </w:pPr>
            <w:r>
              <w:rPr>
                <w:rFonts w:ascii="宋体" w:hAnsi="宋体" w:eastAsia="宋体"/>
                <w:sz w:val="19"/>
              </w:rPr>
              <w:t>家庭、操作者、动作、对象、摘要、时间</w:t>
            </w:r>
          </w:p>
        </w:tc>
        <w:tc>
          <w:tcPr>
            <w:tcW w:type="dxa" w:w="2808"/>
            <w:vAlign w:val="center"/>
          </w:tcPr>
          <w:p>
            <w:pPr>
              <w:spacing w:after="0" w:line="276" w:lineRule="auto" w:before="0"/>
              <w:snapToGrid w:val="0"/>
            </w:pPr>
            <w:r>
              <w:rPr>
                <w:rFonts w:ascii="宋体" w:hAnsi="宋体" w:eastAsia="宋体"/>
                <w:sz w:val="19"/>
              </w:rPr>
              <w:t>按家庭/时间查询；不记录密码</w:t>
            </w:r>
          </w:p>
        </w:tc>
      </w:tr>
    </w:tbl>
    <w:p>
      <w:pPr>
        <w:spacing w:after="0"/>
      </w:pPr>
    </w:p>
    <w:p>
      <w:pPr>
        <w:pStyle w:val="Heading2"/>
        <w:keepNext/>
        <w:pageBreakBefore w:val="0"/>
        <w:spacing w:before="140" w:after="120"/>
      </w:pPr>
      <w:r>
        <w:rPr>
          <w:rFonts w:ascii="黑体" w:hAnsi="黑体" w:eastAsia="黑体"/>
          <w:b/>
          <w:color w:val="000000"/>
          <w:sz w:val="24"/>
        </w:rPr>
        <w:t>3.5 权限、安全与社会责任</w:t>
      </w:r>
    </w:p>
    <w:p>
      <w:pPr>
        <w:spacing w:line="360" w:lineRule="auto" w:after="80"/>
        <w:ind w:firstLine="440"/>
        <w:jc w:val="both"/>
      </w:pPr>
      <w:r>
        <w:rPr>
          <w:rFonts w:ascii="宋体" w:hAnsi="宋体" w:eastAsia="宋体"/>
          <w:b w:val="0"/>
          <w:sz w:val="22"/>
        </w:rPr>
        <w:t>前端操作显隐只负责用户体验，后端服务层才是安全边界。每次访问成员、分类或流水都要验证对象属于当前家庭。密码只保存摘要，错误响应不返回堆栈、数据库密码、Cookie 或 Token。系统不连接银行、支付平台和真实投资账户，避免把课程系统误解为金融建议或真实资金系统。</w:t>
      </w:r>
    </w:p>
    <w:p>
      <w:pPr>
        <w:pStyle w:val="Heading1"/>
        <w:keepNext/>
        <w:pageBreakBefore w:val="0"/>
        <w:spacing w:before="200" w:after="120"/>
      </w:pPr>
      <w:r>
        <w:rPr>
          <w:rFonts w:ascii="黑体" w:hAnsi="黑体" w:eastAsia="黑体"/>
          <w:b/>
          <w:color w:val="000000"/>
          <w:sz w:val="28"/>
        </w:rPr>
        <w:t>四、详细设计</w:t>
      </w:r>
    </w:p>
    <w:p>
      <w:pPr>
        <w:pStyle w:val="Heading2"/>
        <w:keepNext/>
        <w:pageBreakBefore w:val="0"/>
        <w:spacing w:before="140" w:after="120"/>
      </w:pPr>
      <w:r>
        <w:rPr>
          <w:rFonts w:ascii="黑体" w:hAnsi="黑体" w:eastAsia="黑体"/>
          <w:b/>
          <w:color w:val="000000"/>
          <w:sz w:val="24"/>
        </w:rPr>
        <w:t>4.1 代码组织与负责文件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  <w:tblCellMar>
          <w:top w:w="60" w:type="dxa"/>
          <w:bottom w:w="60" w:type="dxa"/>
          <w:left w:w="80" w:type="dxa"/>
          <w:right w:w="80" w:type="dxa"/>
        </w:tblCellMar>
      </w:tblPr>
      <w:tblGrid>
        <w:gridCol w:w="4419"/>
        <w:gridCol w:w="4419"/>
      </w:tblGrid>
      <w:tr>
        <w:trPr>
          <w:tblHeader w:val="true"/>
          <w:cantSplit/>
        </w:trPr>
        <w:tc>
          <w:tcPr>
            <w:tcW w:type="dxa" w:w="1728"/>
            <w:vAlign w:val="center"/>
            <w:shd w:fill="E9EEF9"/>
          </w:tcPr>
          <w:p>
            <w:pPr>
              <w:spacing w:line="276" w:lineRule="auto" w:before="0" w:after="0"/>
              <w:jc w:val="center"/>
              <w:snapToGrid w:val="0"/>
            </w:pPr>
            <w:r>
              <w:rPr>
                <w:rFonts w:ascii="黑体" w:hAnsi="黑体" w:eastAsia="黑体"/>
                <w:b/>
                <w:sz w:val="19"/>
              </w:rPr>
              <w:t>模块</w:t>
            </w:r>
          </w:p>
        </w:tc>
        <w:tc>
          <w:tcPr>
            <w:tcW w:type="dxa" w:w="6768"/>
            <w:vAlign w:val="center"/>
            <w:shd w:fill="E9EEF9"/>
          </w:tcPr>
          <w:p>
            <w:pPr>
              <w:spacing w:line="276" w:lineRule="auto" w:before="0" w:after="0"/>
              <w:jc w:val="center"/>
              <w:snapToGrid w:val="0"/>
            </w:pPr>
            <w:r>
              <w:rPr>
                <w:rFonts w:ascii="黑体" w:hAnsi="黑体" w:eastAsia="黑体"/>
                <w:b/>
                <w:sz w:val="19"/>
              </w:rPr>
              <w:t>Controller / Service / DTO / Test</w:t>
            </w:r>
          </w:p>
        </w:tc>
      </w:tr>
      <w:tr>
        <w:trPr>
          <w:cantSplit/>
        </w:trPr>
        <w:tc>
          <w:tcPr>
            <w:tcW w:type="dxa" w:w="1728"/>
            <w:vAlign w:val="center"/>
          </w:tcPr>
          <w:p>
            <w:pPr>
              <w:spacing w:after="0" w:line="276" w:lineRule="auto" w:before="0"/>
              <w:snapToGrid w:val="0"/>
            </w:pPr>
            <w:r>
              <w:rPr>
                <w:rFonts w:ascii="宋体" w:hAnsi="宋体" w:eastAsia="宋体"/>
                <w:sz w:val="19"/>
              </w:rPr>
              <w:t>成员</w:t>
            </w:r>
          </w:p>
        </w:tc>
        <w:tc>
          <w:tcPr>
            <w:tcW w:type="dxa" w:w="6768"/>
            <w:vAlign w:val="center"/>
          </w:tcPr>
          <w:p>
            <w:pPr>
              <w:spacing w:after="0" w:line="276" w:lineRule="auto" w:before="0"/>
              <w:snapToGrid w:val="0"/>
            </w:pPr>
            <w:r>
              <w:rPr>
                <w:rFonts w:ascii="宋体" w:hAnsi="宋体" w:eastAsia="宋体"/>
                <w:sz w:val="19"/>
              </w:rPr>
              <w:t>MemberController、MemberService、MemberResponse、MemberServiceTest</w:t>
            </w:r>
          </w:p>
        </w:tc>
      </w:tr>
      <w:tr>
        <w:trPr>
          <w:cantSplit/>
        </w:trPr>
        <w:tc>
          <w:tcPr>
            <w:tcW w:type="dxa" w:w="1728"/>
            <w:vAlign w:val="center"/>
          </w:tcPr>
          <w:p>
            <w:pPr>
              <w:spacing w:after="0" w:line="276" w:lineRule="auto" w:before="0"/>
              <w:snapToGrid w:val="0"/>
            </w:pPr>
            <w:r>
              <w:rPr>
                <w:rFonts w:ascii="宋体" w:hAnsi="宋体" w:eastAsia="宋体"/>
                <w:sz w:val="19"/>
              </w:rPr>
              <w:t>分类</w:t>
            </w:r>
          </w:p>
        </w:tc>
        <w:tc>
          <w:tcPr>
            <w:tcW w:type="dxa" w:w="6768"/>
            <w:vAlign w:val="center"/>
          </w:tcPr>
          <w:p>
            <w:pPr>
              <w:spacing w:after="0" w:line="276" w:lineRule="auto" w:before="0"/>
              <w:snapToGrid w:val="0"/>
            </w:pPr>
            <w:r>
              <w:rPr>
                <w:rFonts w:ascii="宋体" w:hAnsi="宋体" w:eastAsia="宋体"/>
                <w:sz w:val="19"/>
              </w:rPr>
              <w:t>CategoryController、CategoryService、CategoryMapper、category/dto</w:t>
            </w:r>
          </w:p>
        </w:tc>
      </w:tr>
      <w:tr>
        <w:trPr>
          <w:cantSplit/>
        </w:trPr>
        <w:tc>
          <w:tcPr>
            <w:tcW w:type="dxa" w:w="1728"/>
            <w:vAlign w:val="center"/>
          </w:tcPr>
          <w:p>
            <w:pPr>
              <w:spacing w:after="0" w:line="276" w:lineRule="auto" w:before="0"/>
              <w:snapToGrid w:val="0"/>
            </w:pPr>
            <w:r>
              <w:rPr>
                <w:rFonts w:ascii="宋体" w:hAnsi="宋体" w:eastAsia="宋体"/>
                <w:sz w:val="19"/>
              </w:rPr>
              <w:t>收支</w:t>
            </w:r>
          </w:p>
        </w:tc>
        <w:tc>
          <w:tcPr>
            <w:tcW w:type="dxa" w:w="6768"/>
            <w:vAlign w:val="center"/>
          </w:tcPr>
          <w:p>
            <w:pPr>
              <w:spacing w:after="0" w:line="276" w:lineRule="auto" w:before="0"/>
              <w:snapToGrid w:val="0"/>
            </w:pPr>
            <w:r>
              <w:rPr>
                <w:rFonts w:ascii="宋体" w:hAnsi="宋体" w:eastAsia="宋体"/>
                <w:sz w:val="19"/>
              </w:rPr>
              <w:t>LedgerController、LedgerService、LedgerEntry、EntryQuery、LedgerServiceTest</w:t>
            </w:r>
          </w:p>
        </w:tc>
      </w:tr>
      <w:tr>
        <w:trPr>
          <w:cantSplit/>
        </w:trPr>
        <w:tc>
          <w:tcPr>
            <w:tcW w:type="dxa" w:w="1728"/>
            <w:vAlign w:val="center"/>
          </w:tcPr>
          <w:p>
            <w:pPr>
              <w:spacing w:after="0" w:line="276" w:lineRule="auto" w:before="0"/>
              <w:snapToGrid w:val="0"/>
            </w:pPr>
            <w:r>
              <w:rPr>
                <w:rFonts w:ascii="宋体" w:hAnsi="宋体" w:eastAsia="宋体"/>
                <w:sz w:val="19"/>
              </w:rPr>
              <w:t>统计</w:t>
            </w:r>
          </w:p>
        </w:tc>
        <w:tc>
          <w:tcPr>
            <w:tcW w:type="dxa" w:w="6768"/>
            <w:vAlign w:val="center"/>
          </w:tcPr>
          <w:p>
            <w:pPr>
              <w:spacing w:after="0" w:line="276" w:lineRule="auto" w:before="0"/>
              <w:snapToGrid w:val="0"/>
            </w:pPr>
            <w:r>
              <w:rPr>
                <w:rFonts w:ascii="宋体" w:hAnsi="宋体" w:eastAsia="宋体"/>
                <w:sz w:val="19"/>
              </w:rPr>
              <w:t>StatisticsController、StatisticsService、DashboardResponse</w:t>
            </w:r>
          </w:p>
        </w:tc>
      </w:tr>
      <w:tr>
        <w:trPr>
          <w:cantSplit/>
        </w:trPr>
        <w:tc>
          <w:tcPr>
            <w:tcW w:type="dxa" w:w="1728"/>
            <w:vAlign w:val="center"/>
          </w:tcPr>
          <w:p>
            <w:pPr>
              <w:spacing w:after="0" w:line="276" w:lineRule="auto" w:before="0"/>
              <w:snapToGrid w:val="0"/>
            </w:pPr>
            <w:r>
              <w:rPr>
                <w:rFonts w:ascii="宋体" w:hAnsi="宋体" w:eastAsia="宋体"/>
                <w:sz w:val="19"/>
              </w:rPr>
              <w:t>扩展</w:t>
            </w:r>
          </w:p>
        </w:tc>
        <w:tc>
          <w:tcPr>
            <w:tcW w:type="dxa" w:w="6768"/>
            <w:vAlign w:val="center"/>
          </w:tcPr>
          <w:p>
            <w:pPr>
              <w:spacing w:after="0" w:line="276" w:lineRule="auto" w:before="0"/>
              <w:snapToGrid w:val="0"/>
            </w:pPr>
            <w:r>
              <w:rPr>
                <w:rFonts w:ascii="宋体" w:hAnsi="宋体" w:eastAsia="宋体"/>
                <w:sz w:val="19"/>
              </w:rPr>
              <w:t>BudgetService、RecurringService、EntryCsvService、AuditLogService</w:t>
            </w:r>
          </w:p>
        </w:tc>
      </w:tr>
    </w:tbl>
    <w:p>
      <w:pPr>
        <w:spacing w:after="0"/>
      </w:pPr>
    </w:p>
    <w:p>
      <w:pPr>
        <w:pStyle w:val="Heading2"/>
        <w:keepNext/>
        <w:pageBreakBefore w:val="0"/>
        <w:spacing w:before="140" w:after="120"/>
      </w:pPr>
      <w:r>
        <w:rPr>
          <w:rFonts w:ascii="黑体" w:hAnsi="黑体" w:eastAsia="黑体"/>
          <w:b/>
          <w:color w:val="000000"/>
          <w:sz w:val="24"/>
        </w:rPr>
        <w:t>4.2 成员管理</w:t>
      </w:r>
    </w:p>
    <w:p>
      <w:pPr>
        <w:spacing w:line="360" w:lineRule="auto" w:after="80"/>
        <w:ind w:firstLine="440"/>
        <w:jc w:val="both"/>
      </w:pPr>
      <w:r>
        <w:rPr>
          <w:rFonts w:ascii="宋体" w:hAnsi="宋体" w:eastAsia="宋体"/>
          <w:b w:val="0"/>
          <w:sz w:val="22"/>
        </w:rPr>
        <w:t>成员列表按当前家庭查询。修改接口要求当前用户为家长，并通过 targetInHousehold 同时检查成员 ID 与家庭 ID。若操作会使活跃家长数量变为零，服务拒绝停用或降级；成员编号变化时检查家庭内唯一。</w:t>
      </w:r>
    </w:p>
    <w:p>
      <w:pPr>
        <w:spacing w:line="360" w:lineRule="auto" w:after="80"/>
        <w:ind w:firstLine="440"/>
        <w:jc w:val="both"/>
      </w:pPr>
      <w:r>
        <w:rPr>
          <w:rFonts w:ascii="宋体" w:hAnsi="宋体" w:eastAsia="宋体"/>
          <w:b w:val="0"/>
          <w:sz w:val="22"/>
        </w:rPr>
        <w:t>最后家长保护同时覆盖降级和停用，不能仅统计界面显示的成员数量。相关实现位于 MemberService，需结合服务事务和数据库锁检查并发行为。</w:t>
      </w:r>
    </w:p>
    <w:p>
      <w:pPr>
        <w:pStyle w:val="Heading2"/>
        <w:keepNext/>
        <w:pageBreakBefore w:val="0"/>
        <w:spacing w:before="140" w:after="120"/>
      </w:pPr>
      <w:r>
        <w:rPr>
          <w:rFonts w:ascii="黑体" w:hAnsi="黑体" w:eastAsia="黑体"/>
          <w:b/>
          <w:color w:val="000000"/>
          <w:sz w:val="24"/>
        </w:rPr>
        <w:t>4.3 分类管理</w:t>
      </w:r>
    </w:p>
    <w:p>
      <w:pPr>
        <w:spacing w:line="360" w:lineRule="auto" w:after="80"/>
        <w:ind w:firstLine="440"/>
        <w:jc w:val="both"/>
      </w:pPr>
      <w:r>
        <w:rPr>
          <w:rFonts w:ascii="宋体" w:hAnsi="宋体" w:eastAsia="宋体"/>
          <w:b w:val="0"/>
          <w:sz w:val="22"/>
        </w:rPr>
        <w:t>分类列表把系统分类与当前家庭分类合并。创建、改名和状态修改仅家长可用；服务拒绝修改 SYSTEM 范围分类，校验分类类型、名称冲突和状态。停用只改变状态，因此历史流水仍能关联并展示原分类。</w:t>
      </w:r>
    </w:p>
    <w:p>
      <w:pPr>
        <w:pStyle w:val="Heading2"/>
        <w:keepNext/>
        <w:pageBreakBefore w:val="0"/>
        <w:spacing w:before="140" w:after="120"/>
      </w:pPr>
      <w:r>
        <w:rPr>
          <w:rFonts w:ascii="黑体" w:hAnsi="黑体" w:eastAsia="黑体"/>
          <w:b/>
          <w:color w:val="000000"/>
          <w:sz w:val="24"/>
        </w:rPr>
        <w:t>4.4 收支管理</w:t>
      </w:r>
    </w:p>
    <w:p>
      <w:pPr>
        <w:spacing w:line="360" w:lineRule="auto" w:after="80"/>
        <w:ind w:firstLine="440"/>
        <w:jc w:val="both"/>
      </w:pPr>
      <w:r>
        <w:rPr>
          <w:rFonts w:ascii="宋体" w:hAnsi="宋体" w:eastAsia="宋体"/>
          <w:b w:val="0"/>
          <w:sz w:val="22"/>
        </w:rPr>
        <w:t>EntryQuery 统一分页参数。普通成员查询时成员条件被强制为本人；家长才允许选择本家庭其他成员。新增/修改依次校验目标成员、分类可见性与启用状态、类型匹配、金额和日期，再保存清理后的备注。删除把 deleted 设为 true。</w:t>
      </w:r>
    </w:p>
    <w:p>
      <w:pPr>
        <w:spacing w:line="360" w:lineRule="auto" w:after="80"/>
        <w:ind w:firstLine="440"/>
        <w:jc w:val="both"/>
      </w:pPr>
      <w:r>
        <w:rPr>
          <w:rFonts w:ascii="宋体" w:hAnsi="宋体" w:eastAsia="宋体"/>
          <w:b w:val="0"/>
          <w:sz w:val="22"/>
        </w:rPr>
        <w:t>CSV 出口按筛选条件与角色范围生成 UTF-8 数据；导入提供预览和逐行错误，正式提交重新校验并在事务中完成。单次成功 Toast 只表示前端发起下载，不能作为浏览器已保存文件的验收证据。</w:t>
      </w:r>
    </w:p>
    <w:p>
      <w:pPr>
        <w:pStyle w:val="Heading2"/>
        <w:keepNext/>
        <w:pageBreakBefore w:val="0"/>
        <w:spacing w:before="140" w:after="120"/>
      </w:pPr>
      <w:r>
        <w:rPr>
          <w:rFonts w:ascii="黑体" w:hAnsi="黑体" w:eastAsia="黑体"/>
          <w:b/>
          <w:color w:val="000000"/>
          <w:sz w:val="24"/>
        </w:rPr>
        <w:t>4.5 统计服务</w:t>
      </w:r>
    </w:p>
    <w:p>
      <w:pPr>
        <w:spacing w:line="360" w:lineRule="auto" w:after="80"/>
        <w:ind w:firstLine="440"/>
        <w:jc w:val="both"/>
      </w:pPr>
      <w:r>
        <w:rPr>
          <w:rFonts w:ascii="宋体" w:hAnsi="宋体" w:eastAsia="宋体"/>
          <w:b w:val="0"/>
          <w:sz w:val="22"/>
        </w:rPr>
        <w:t>StatisticsService 按当前家庭和时间范围读取未删除流水，使用 BigDecimal 汇总收入、支出与结余。12 月趋势先创建完整月份序列，再把实际数据填入；类别构成按类型和分类分组；成员对比为每人分别累计收入、支出和结余；最近流水按统一倒序规则返回。</w:t>
      </w:r>
    </w:p>
    <w:p>
      <w:pPr>
        <w:spacing w:line="360" w:lineRule="auto" w:after="80"/>
        <w:ind w:firstLine="440"/>
        <w:jc w:val="both"/>
      </w:pPr>
      <w:r>
        <w:rPr>
          <w:rFonts w:ascii="宋体" w:hAnsi="宋体" w:eastAsia="宋体"/>
          <w:b w:val="0"/>
          <w:sz w:val="22"/>
        </w:rPr>
        <w:t>扩展统计将当前日期范围与紧邻的等长上期比较，提供储蓄率及支出异常提示；基期为零时不返回增长率。这里的环比不等于去年同期同比。预算按指定月份的支出计算使用率。周期模板只在手动触发生成时创建到期流水，月末日期按当月天数处理，唯一索引防止重复月份入账。</w:t>
      </w:r>
    </w:p>
    <w:p>
      <w:pPr>
        <w:pStyle w:val="Heading2"/>
        <w:keepNext/>
        <w:pageBreakBefore w:val="0"/>
        <w:spacing w:before="140" w:after="120"/>
      </w:pPr>
      <w:r>
        <w:rPr>
          <w:rFonts w:ascii="黑体" w:hAnsi="黑体" w:eastAsia="黑体"/>
          <w:b/>
          <w:color w:val="000000"/>
          <w:sz w:val="24"/>
        </w:rPr>
        <w:t>4.6 测试设计</w:t>
      </w:r>
    </w:p>
    <w:p>
      <w:pPr>
        <w:spacing w:line="360" w:lineRule="auto" w:after="80"/>
        <w:ind w:firstLine="440"/>
        <w:jc w:val="both"/>
      </w:pPr>
      <w:r>
        <w:rPr>
          <w:rFonts w:ascii="宋体" w:hAnsi="宋体" w:eastAsia="宋体"/>
          <w:b w:val="0"/>
          <w:sz w:val="22"/>
        </w:rPr>
        <w:t>定向测试关注对象隔离、角色权限、成员保护、金额精度、统计比较、预算与周期生成等规则。已记录的 API 冒烟包含 CSV 导出、预览、导入及测试数据清理，普通成员导出隔离与预算、审计拒绝访问。完整用例以测试源码和 docs/stages/05 的验收记录为准，不将设计用例等同于已经执行。</w:t>
      </w:r>
    </w:p>
    <w:p>
      <w:pPr>
        <w:pStyle w:val="Heading1"/>
        <w:keepNext/>
        <w:pageBreakBefore w:val="0"/>
        <w:spacing w:before="200" w:after="120"/>
      </w:pPr>
      <w:r>
        <w:rPr>
          <w:rFonts w:ascii="黑体" w:hAnsi="黑体" w:eastAsia="黑体"/>
          <w:b/>
          <w:color w:val="000000"/>
          <w:sz w:val="28"/>
        </w:rPr>
        <w:t>五、设计结果</w:t>
      </w:r>
    </w:p>
    <w:p>
      <w:pPr>
        <w:spacing w:line="360" w:lineRule="auto" w:after="80"/>
        <w:ind w:firstLine="440"/>
        <w:jc w:val="both"/>
      </w:pPr>
      <w:r>
        <w:rPr>
          <w:rFonts w:ascii="宋体" w:hAnsi="宋体" w:eastAsia="宋体"/>
          <w:b w:val="0"/>
          <w:sz w:val="22"/>
        </w:rPr>
        <w:t>以下为 2026 年 9 月 6 日从本地运行系统采集的真实视口截图，长页面仅展示局部。登录截图清空凭据，业务截图中的成员及流水使用演示家庭数据。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394960" cy="3036531"/>
            <wp:docPr id="1" name="Picture 1" descr="图 5-1 收支明细：支持类型、分类、成员和日期筛选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3-entries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394960" cy="303653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宋体" w:hAnsi="宋体" w:eastAsia="宋体"/>
          <w:sz w:val="20"/>
        </w:rPr>
        <w:t>图 5-1 收支明细：支持类型、分类、成员和日期筛选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394960" cy="3036531"/>
            <wp:docPr id="2" name="Picture 2" descr="图 5-2 家庭成员：家长可编辑资料和停用成员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4-members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394960" cy="303653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宋体" w:hAnsi="宋体" w:eastAsia="宋体"/>
          <w:sz w:val="20"/>
        </w:rPr>
        <w:t>图 5-2 家庭成员：家长可编辑资料和停用成员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394960" cy="3036531"/>
            <wp:docPr id="3" name="Picture 3" descr="图 5-3 收支分类：系统分类只读，家庭分类可维护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5-categories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394960" cy="303653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宋体" w:hAnsi="宋体" w:eastAsia="宋体"/>
          <w:sz w:val="20"/>
        </w:rPr>
        <w:t>图 5-3 收支分类：系统分类只读，家庭分类可维护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394960" cy="3036531"/>
            <wp:docPr id="4" name="Picture 4" descr="图 5-4 月报页局部：本期金额与环比摘要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2-dashboard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394960" cy="303653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宋体" w:hAnsi="宋体" w:eastAsia="宋体"/>
          <w:sz w:val="20"/>
        </w:rPr>
        <w:t>图 5-4 月报页局部：本期金额与环比摘要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394960" cy="3036531"/>
            <wp:docPr id="5" name="Picture 5" descr="图 5-5 预算页局部：月份与家庭总预算设置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7-budgets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394960" cy="303653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宋体" w:hAnsi="宋体" w:eastAsia="宋体"/>
          <w:sz w:val="20"/>
        </w:rPr>
        <w:t>图 5-5 预算页局部：月份与家庭总预算设置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394960" cy="3036531"/>
            <wp:docPr id="6" name="Picture 6" descr="图 5-6 周期记账：按月生成并防止重复入账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8-recurring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394960" cy="303653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宋体" w:hAnsi="宋体" w:eastAsia="宋体"/>
          <w:sz w:val="20"/>
        </w:rPr>
        <w:t>图 5-6 周期记账：按月生成并防止重复入账</w:t>
      </w:r>
    </w:p>
    <w:p>
      <w:pPr>
        <w:pStyle w:val="Heading2"/>
        <w:keepNext/>
        <w:pageBreakBefore w:val="0"/>
        <w:spacing w:before="140" w:after="120"/>
      </w:pPr>
      <w:r>
        <w:rPr>
          <w:rFonts w:ascii="黑体" w:hAnsi="黑体" w:eastAsia="黑体"/>
          <w:b/>
          <w:color w:val="000000"/>
          <w:sz w:val="24"/>
        </w:rPr>
        <w:t>5.1 结果说明</w:t>
      </w:r>
    </w:p>
    <w:p>
      <w:pPr>
        <w:spacing w:line="360" w:lineRule="auto" w:after="80"/>
        <w:ind w:firstLine="440"/>
        <w:jc w:val="both"/>
      </w:pPr>
      <w:r>
        <w:rPr>
          <w:rFonts w:ascii="宋体" w:hAnsi="宋体" w:eastAsia="宋体"/>
          <w:b w:val="0"/>
          <w:sz w:val="22"/>
        </w:rPr>
        <w:t>收支、成员、分类、仪表盘、预算和周期页面的数据来自对应后端业务接口。角色操作、历史数据保留、筛选和统计结果依赖服务层权限与规则校验。空状态如实表示演示环境尚未配置该数据，并非模拟成功记录。</w:t>
      </w:r>
    </w:p>
    <w:p>
      <w:pPr>
        <w:pStyle w:val="Heading1"/>
        <w:keepNext/>
        <w:pageBreakBefore w:val="0"/>
        <w:spacing w:before="200" w:after="120"/>
      </w:pPr>
      <w:r>
        <w:rPr>
          <w:rFonts w:ascii="黑体" w:hAnsi="黑体" w:eastAsia="黑体"/>
          <w:b/>
          <w:color w:val="000000"/>
          <w:sz w:val="28"/>
        </w:rPr>
        <w:t>设计总结</w:t>
      </w:r>
    </w:p>
    <w:p>
      <w:pPr>
        <w:spacing w:line="360" w:lineRule="auto" w:after="80"/>
        <w:ind w:firstLine="440"/>
        <w:jc w:val="both"/>
      </w:pPr>
      <w:r>
        <w:rPr>
          <w:rFonts w:ascii="宋体" w:hAnsi="宋体" w:eastAsia="宋体"/>
          <w:b w:val="0"/>
          <w:sz w:val="22"/>
        </w:rPr>
        <w:t>本报告覆盖成员、分类、流水、统计以及新增理财辅助模块。实现中的关键是让每一次对象访问同时满足当前家庭范围、当前角色权限和业务状态约束。流水保存采用 BigDecimal 和数据库 DECIMAL，删除采用逻辑删除，分类停用保留历史引用，统计统一排除已删除记录。CSV 导入先预览校验，再以事务提交；周期生成通过模板与月份唯一约束去重。最后家长保护和跨家庭对象拒绝是重要的失败路径。后续可以增加更细的聚合 SQL 性能对比，但当前数据规模下实时统计更简单、可解释，也更符合课程设计边界。</w:t>
      </w:r>
    </w:p>
    <w:p>
      <w:pPr>
        <w:pStyle w:val="Heading2"/>
        <w:keepNext/>
        <w:pageBreakBefore w:val="0"/>
        <w:spacing w:before="140" w:after="120"/>
      </w:pPr>
      <w:r>
        <w:rPr>
          <w:rFonts w:ascii="黑体" w:hAnsi="黑体" w:eastAsia="黑体"/>
          <w:b/>
          <w:color w:val="000000"/>
          <w:sz w:val="24"/>
        </w:rPr>
        <w:t>存在问题与改进方向</w:t>
      </w:r>
    </w:p>
    <w:p>
      <w:pPr>
        <w:spacing w:line="360" w:lineRule="auto" w:after="80"/>
        <w:ind w:firstLine="440"/>
        <w:jc w:val="both"/>
      </w:pPr>
      <w:r>
        <w:rPr>
          <w:rFonts w:ascii="宋体" w:hAnsi="宋体" w:eastAsia="宋体"/>
          <w:b w:val="0"/>
          <w:sz w:val="22"/>
        </w:rPr>
        <w:t>当前系统已经包含预算、CSV 导入导出、周期记账、统计增强与审计；仍不包含多家庭切换、附件、通知、银行同步和公网部署。浏览器下载文件落盘与内容核对尚缺独立留证，不能仅凭 Toast 声称下载完成。后续优先补足边界回归、不同浏览器兼容性和辅助技术检查，不将课程系统宣传为真实资金管理或投资建议工具。</w:t>
      </w:r>
    </w:p>
    <w:p>
      <w:pPr>
        <w:pStyle w:val="Heading2"/>
        <w:keepNext/>
        <w:pageBreakBefore w:val="0"/>
        <w:spacing w:before="140" w:after="120"/>
      </w:pPr>
      <w:r>
        <w:rPr>
          <w:rFonts w:ascii="黑体" w:hAnsi="黑体" w:eastAsia="黑体"/>
          <w:b/>
          <w:color w:val="000000"/>
          <w:sz w:val="24"/>
        </w:rPr>
        <w:t>版本与验证依据</w:t>
      </w:r>
    </w:p>
    <w:p>
      <w:pPr>
        <w:spacing w:line="360" w:lineRule="auto" w:after="80"/>
        <w:ind w:firstLine="440"/>
        <w:jc w:val="both"/>
      </w:pPr>
      <w:r>
        <w:rPr>
          <w:rFonts w:ascii="宋体" w:hAnsi="宋体" w:eastAsia="宋体"/>
          <w:b w:val="0"/>
          <w:sz w:val="22"/>
        </w:rPr>
        <w:t>材料更新日期：2026 年 9 月 6 日。功能扩展对应提交 6ac2e4b，CSV 前端调整对应 179f4ac，另包含当前工作区登录页视觉更新。此前后端 clean verify 为 18 个测试、0 失败，前端为 25 个测试并通过类型检查与构建；完整命令、历史记录及剩余验收项见 docs/stages/05-测试验收与报告素材.md。上述结果不是本次文档更新重新运行的全量测试。</w:t>
      </w:r>
    </w:p>
    <w:sectPr w:rsidR="00FC693F" w:rsidRPr="0006063C" w:rsidSect="00034616">
      <w:footerReference w:type="default" r:id="rId9"/>
      <w:pgSz w:w="12240" w:h="15840"/>
      <w:pgMar w:top="1417" w:right="1701" w:bottom="1417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宋体" w:hAnsi="宋体" w:eastAsia="宋体"/>
        <w:sz w:val="18"/>
      </w:rPr>
      <w:fldChar w:fldCharType="begin"/>
      <w:instrText xml:space="preserve"> PAGE 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Relationship Id="rId12" Type="http://schemas.openxmlformats.org/officeDocument/2006/relationships/image" Target="media/image3.png"/><Relationship Id="rId13" Type="http://schemas.openxmlformats.org/officeDocument/2006/relationships/image" Target="media/image4.png"/><Relationship Id="rId14" Type="http://schemas.openxmlformats.org/officeDocument/2006/relationships/image" Target="media/image5.png"/><Relationship Id="rId15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家庭理财系统的设计与实现</dc:title>
  <dc:subject>组员一个人软件项目设计报告</dc:subject>
  <dc:creator>[组员一姓名]</dc:creator>
  <cp:keywords>家庭理财系统, Spring Boot, Vue, 课程设计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