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sz w:val="52"/>
          <w:rFonts w:eastAsia="黑体"/>
        </w:rPr>
        <w:t>《软件项目设计》</w:t>
      </w:r>
    </w:p>
    <w:p>
      <w:pPr>
        <w:spacing w:before="360"/>
        <w:jc w:val="left"/>
      </w:pPr>
      <w:r>
        <w:rPr>
          <w:b w:val="0"/>
          <w:sz w:val="28"/>
          <w:rFonts w:eastAsia="宋体"/>
        </w:rPr>
        <w:t>题　　目：家庭理财系统的设计与实现</w:t>
      </w:r>
    </w:p>
    <w:p>
      <w:pPr>
        <w:spacing w:before="360"/>
        <w:jc w:val="left"/>
      </w:pPr>
      <w:r>
        <w:rPr>
          <w:b w:val="0"/>
          <w:sz w:val="28"/>
          <w:rFonts w:eastAsia="宋体"/>
        </w:rPr>
        <w:t>专业班级：[专业班级]</w:t>
      </w:r>
    </w:p>
    <w:p>
      <w:pPr>
        <w:spacing w:before="360"/>
        <w:jc w:val="left"/>
      </w:pPr>
      <w:r>
        <w:rPr>
          <w:b w:val="0"/>
          <w:sz w:val="28"/>
          <w:rFonts w:eastAsia="宋体"/>
        </w:rPr>
        <w:t>学　　号：[组员二学号]</w:t>
      </w:r>
    </w:p>
    <w:p>
      <w:pPr>
        <w:spacing w:before="360"/>
        <w:jc w:val="left"/>
      </w:pPr>
      <w:r>
        <w:rPr>
          <w:b w:val="0"/>
          <w:sz w:val="28"/>
          <w:rFonts w:eastAsia="宋体"/>
        </w:rPr>
        <w:t>姓　　名：[组员二姓名]</w:t>
      </w:r>
    </w:p>
    <w:p>
      <w:pPr>
        <w:spacing w:before="360"/>
        <w:jc w:val="left"/>
      </w:pPr>
      <w:r>
        <w:rPr>
          <w:b w:val="0"/>
          <w:sz w:val="28"/>
          <w:rFonts w:eastAsia="宋体"/>
        </w:rPr>
        <w:t>指导教师：[指导教师]</w:t>
      </w:r>
    </w:p>
    <w:p>
      <w:pPr>
        <w:spacing w:before="1600"/>
        <w:jc w:val="center"/>
      </w:pPr>
      <w:r>
        <w:rPr>
          <w:b/>
          <w:sz w:val="32"/>
          <w:rFonts w:eastAsia="宋体"/>
        </w:rPr>
        <w:t>计算机学院</w:t>
      </w:r>
    </w:p>
    <w:p>
      <w:pPr>
        <w:spacing w:before="600"/>
        <w:jc w:val="center"/>
      </w:pPr>
      <w:r>
        <w:rPr>
          <w:b/>
          <w:sz w:val="32"/>
          <w:rFonts w:eastAsia="宋体"/>
        </w:rPr>
        <w:t>2026 年 9 月</w:t>
      </w:r>
    </w:p>
    <w:p>
      <w:pPr>
        <w:pStyle w:val="Heading1"/>
        <w:keepNext/>
        <w:pageBreakBefore/>
        <w:spacing w:before="200" w:after="120"/>
      </w:pPr>
      <w:r>
        <w:rPr>
          <w:rFonts w:ascii="黑体" w:hAnsi="黑体" w:eastAsia="黑体"/>
          <w:b/>
          <w:color w:val="000000"/>
          <w:sz w:val="28"/>
        </w:rPr>
        <w:t>一、进度计划与可行性分析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1.1 项目进度计划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项目按需求与架构、工程与数据库、认证与权限、核心业务、统计与前端、测试与报告六个阶段推进。各阶段先明确输入和验收条件，再进行实现与联调，避免在课设范围内引入没有当前需求的复杂设施。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209"/>
        <w:gridCol w:w="2209"/>
        <w:gridCol w:w="2209"/>
        <w:gridCol w:w="2209"/>
      </w:tblGrid>
      <w:tr>
        <w:trPr>
          <w:tblHeader w:val="true"/>
          <w:cantSplit/>
        </w:trPr>
        <w:tc>
          <w:tcPr>
            <w:tcW w:type="dxa" w:w="1512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阶段</w:t>
            </w:r>
          </w:p>
        </w:tc>
        <w:tc>
          <w:tcPr>
            <w:tcW w:type="dxa" w:w="2952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主要工作</w:t>
            </w:r>
          </w:p>
        </w:tc>
        <w:tc>
          <w:tcPr>
            <w:tcW w:type="dxa" w:w="2664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主要产出</w:t>
            </w:r>
          </w:p>
        </w:tc>
        <w:tc>
          <w:tcPr>
            <w:tcW w:type="dxa" w:w="1296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需求与架构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任务书分析、角色与边界、接口和数据模型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PRD、架构设计、实施计划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工程与数据库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前后端骨架、八表迁移、配置样例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V1/V2 Flyway SQL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认证与权限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Session、CSRF、家庭入户、角色边界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认证与家庭闭环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核心业务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成员、分类、流水和资料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业务 CRUD 与校验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统计与前端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仪表盘、页面壳、响应式和状态页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可演示 Web 系统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理财扩展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预算、周期记账、CSV、审计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新增服务和业务页面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测试与报告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门禁证据、真实截图、报告同步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当前版本报告材料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待个人确认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1.2 模块责任范围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组员二报告的模块范围为Vue 应用、页面交互、统计图表、响应式与前端测试。下表为责任划分，提交前应根据实际参与记录确认个人贡献。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4419"/>
        <w:gridCol w:w="4419"/>
      </w:tblGrid>
      <w:tr>
        <w:trPr>
          <w:tblHeader w:val="true"/>
          <w:cantSplit/>
        </w:trPr>
        <w:tc>
          <w:tcPr>
            <w:tcW w:type="dxa" w:w="1944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任务</w:t>
            </w:r>
          </w:p>
        </w:tc>
        <w:tc>
          <w:tcPr>
            <w:tcW w:type="dxa" w:w="6552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工作内容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前端基础</w:t>
            </w:r>
          </w:p>
        </w:tc>
        <w:tc>
          <w:tcPr>
            <w:tcW w:type="dxa" w:w="65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Vue、Pinia、Router、Axios、类型模型和视觉 token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认证动线</w:t>
            </w:r>
          </w:p>
        </w:tc>
        <w:tc>
          <w:tcPr>
            <w:tcW w:type="dxa" w:w="65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登录、注册、入户、会话恢复、401/403/404 页面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业务页面</w:t>
            </w:r>
          </w:p>
        </w:tc>
        <w:tc>
          <w:tcPr>
            <w:tcW w:type="dxa" w:w="65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仪表盘、流水、预算、周期记账、日志、成员、分类与资料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响应式</w:t>
            </w:r>
          </w:p>
        </w:tc>
        <w:tc>
          <w:tcPr>
            <w:tcW w:type="dxa" w:w="65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桌面表格、手机卡片、控件换行和无横向溢出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前端测试</w:t>
            </w:r>
          </w:p>
        </w:tc>
        <w:tc>
          <w:tcPr>
            <w:tcW w:type="dxa" w:w="65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路由守卫、角色显隐、表单联动、错误分流和构建门禁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1.3 可行性分析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技术可行性：Java 17、Spring Boot、Spring Security、MyBatis-Plus、Vue 3、Element Plus 和 ECharts 均有成熟工具链，前后端通过 JSON 接口解耦，适合课程设计规模。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经济可行性：项目使用开源框架和本机 MySQL，不需要云服务、域名、短信、支付或第三方付费接口，主要成本为小组开发和测试时间。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运行可行性：系统采用浏览器访问，用户只需完成登录、创建或加入家庭即可使用；README 提供精确启动命令和演示账号。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进度可行性：模块按接口边界分配，后端业务和前端页面可在统一契约下并行；最终由组长执行一次集成门禁和浏览器验收。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1.4 技术取舍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本项目选择前后端分离、组件化界面、服务端鉴权和自动化构建。核心功能覆盖家庭协作、权限隔离、流水与统计，扩展功能补充预算计划、批量数据交换和重复记账。仍采用单体后端与关系数据库，不接入真实金融账户，不引入没有当前需求的微服务和消息队列。</w:t>
      </w:r>
    </w:p>
    <w:p>
      <w:pPr>
        <w:pStyle w:val="Heading1"/>
        <w:keepNext/>
        <w:pageBreakBefore w:val="0"/>
        <w:spacing w:before="200" w:after="120"/>
      </w:pPr>
      <w:r>
        <w:rPr>
          <w:rFonts w:ascii="黑体" w:hAnsi="黑体" w:eastAsia="黑体"/>
          <w:b/>
          <w:color w:val="000000"/>
          <w:sz w:val="28"/>
        </w:rPr>
        <w:t>二、需求分析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2.1 用户角色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946"/>
        <w:gridCol w:w="2946"/>
        <w:gridCol w:w="2946"/>
      </w:tblGrid>
      <w:tr>
        <w:trPr>
          <w:tblHeader w:val="true"/>
          <w:cantSplit/>
        </w:trPr>
        <w:tc>
          <w:tcPr>
            <w:tcW w:type="dxa" w:w="1656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角色</w:t>
            </w:r>
          </w:p>
        </w:tc>
        <w:tc>
          <w:tcPr>
            <w:tcW w:type="dxa" w:w="2880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主要目标</w:t>
            </w:r>
          </w:p>
        </w:tc>
        <w:tc>
          <w:tcPr>
            <w:tcW w:type="dxa" w:w="3960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权限摘要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未入户用户</w:t>
            </w:r>
          </w:p>
        </w:tc>
        <w:tc>
          <w:tcPr>
            <w:tcW w:type="dxa" w:w="288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完成家庭归属</w:t>
            </w:r>
          </w:p>
        </w:tc>
        <w:tc>
          <w:tcPr>
            <w:tcW w:type="dxa" w:w="396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注册登录后创建家庭或输入邀请码加入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普通成员</w:t>
            </w:r>
          </w:p>
        </w:tc>
        <w:tc>
          <w:tcPr>
            <w:tcW w:type="dxa" w:w="288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维护个人收支并查看家庭整体</w:t>
            </w:r>
          </w:p>
        </w:tc>
        <w:tc>
          <w:tcPr>
            <w:tcW w:type="dxa" w:w="396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只能维护本人流水，可查看成员名单和家庭聚合统计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家长</w:t>
            </w:r>
          </w:p>
        </w:tc>
        <w:tc>
          <w:tcPr>
            <w:tcW w:type="dxa" w:w="288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管理家庭和全家收支</w:t>
            </w:r>
          </w:p>
        </w:tc>
        <w:tc>
          <w:tcPr>
            <w:tcW w:type="dxa" w:w="396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维护成员、分类、全家流水与预算，查看审计日志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2.2 功能需求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认证：注册、登录、退出、刷新恢复、修改姓名与密码。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家庭：创建家庭、邀请码加入、查看家庭信息和重置邀请码。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成员：查看成员；家长修改成员编号、姓名、角色与状态。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分类：查看系统/家庭分类；家长维护自定义分类。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收支：按日期、类型、分类、成员分页筛选，新增、修改和逻辑删除。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统计：总收入、总支出、结余、近 12 月趋势、类别构成、成员对比和最近流水。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预算：月度总预算与分类预算，展示已用、剩余、使用率和超支状态。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数据交换：按权限导出 CSV；导入先预览字段和逐行错误，通过后整批提交。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周期记账：维护重复收支模板，手动按月生成到期流水，防止同月重复生成。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统计增强与审计：等长上期环比、储蓄率、异常提示、月度报告；家长查看操作日志。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2.3 核心业务规则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一个账号只属于一个家庭；创建者为家长，邀请码加入者为普通成员。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所有家庭范围从当前 Session 用户取得，不接受客户端家庭 ID 作为可信来源。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普通成员只能维护本人流水；最后一名活跃家长不能停用或降级。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系统分类不可编辑；停用分类不能用于新流水，但历史数据保留。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金额必须大于零并保留两位小数；类别类型必须与收入/支出类型一致；日期不晚于当天。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流水逻辑删除后立即从列表和统计中排除。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预算只允许家长修改，普通成员可以查看；CSV 和周期模板沿用家长全家、成员本人的数据边界。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周期生成由用户触发，不是后台自动扣款；同一模板同一月份只生成一次。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2.4 非功能需求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安全方面使用 BCrypt、服务端 Session、CSRF、统一鉴权和家庭隔离；可靠性方面使用事务、外键、唯一索引和可恢复状态；易用性方面提供加载、空数据、字段错误、403、404 和重试状态；兼容性方面以桌面 Chrome/Edge 为主并适配 390px 手机宽度。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2.5 模块验收标准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Vue 应用、页面交互、统计图表、响应式与前端测试必须与统一接口契约一致，既能完成正常动线，也应拒绝越权、无效输入和冲突操作。成员删除以停用替代物理删除，保留历史账目；收入与支出构成通过分类和流水共同维护。此业务解释及 Spring Boot 对任务书 JavaEE 技术要求的对应关系应在课程验收时确认。</w:t>
      </w:r>
    </w:p>
    <w:p>
      <w:pPr>
        <w:pStyle w:val="Heading1"/>
        <w:keepNext/>
        <w:pageBreakBefore w:val="0"/>
        <w:spacing w:before="200" w:after="120"/>
      </w:pPr>
      <w:r>
        <w:rPr>
          <w:rFonts w:ascii="黑体" w:hAnsi="黑体" w:eastAsia="黑体"/>
          <w:b/>
          <w:color w:val="000000"/>
          <w:sz w:val="28"/>
        </w:rPr>
        <w:t>三、总体设计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3.1 开发工具与运行平台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946"/>
        <w:gridCol w:w="2946"/>
        <w:gridCol w:w="294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层次</w:t>
            </w:r>
          </w:p>
        </w:tc>
        <w:tc>
          <w:tcPr>
            <w:tcW w:type="dxa" w:w="3024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技术</w:t>
            </w:r>
          </w:p>
        </w:tc>
        <w:tc>
          <w:tcPr>
            <w:tcW w:type="dxa" w:w="4032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选择理由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前端</w:t>
            </w:r>
          </w:p>
        </w:tc>
        <w:tc>
          <w:tcPr>
            <w:tcW w:type="dxa" w:w="302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Vue 3、TypeScript、Vite</w:t>
            </w:r>
          </w:p>
        </w:tc>
        <w:tc>
          <w:tcPr>
            <w:tcW w:type="dxa" w:w="403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组件化、类型约束和快速开发构建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界面</w:t>
            </w:r>
          </w:p>
        </w:tc>
        <w:tc>
          <w:tcPr>
            <w:tcW w:type="dxa" w:w="302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Element Plus、ECharts、Lucide</w:t>
            </w:r>
          </w:p>
        </w:tc>
        <w:tc>
          <w:tcPr>
            <w:tcW w:type="dxa" w:w="403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表单表格、统计图和统一图标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后端</w:t>
            </w:r>
          </w:p>
        </w:tc>
        <w:tc>
          <w:tcPr>
            <w:tcW w:type="dxa" w:w="302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Java 17、Spring Boot</w:t>
            </w:r>
          </w:p>
        </w:tc>
        <w:tc>
          <w:tcPr>
            <w:tcW w:type="dxa" w:w="403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成熟的 Web、校验、事务和测试生态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安全</w:t>
            </w:r>
          </w:p>
        </w:tc>
        <w:tc>
          <w:tcPr>
            <w:tcW w:type="dxa" w:w="302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Spring Security、Session、CSRF</w:t>
            </w:r>
          </w:p>
        </w:tc>
        <w:tc>
          <w:tcPr>
            <w:tcW w:type="dxa" w:w="403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符合本机浏览器会话场景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持久化</w:t>
            </w:r>
          </w:p>
        </w:tc>
        <w:tc>
          <w:tcPr>
            <w:tcW w:type="dxa" w:w="302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MyBatis-Plus、Flyway</w:t>
            </w:r>
          </w:p>
        </w:tc>
        <w:tc>
          <w:tcPr>
            <w:tcW w:type="dxa" w:w="403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简化 CRUD 并保证数据库可复现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数据库</w:t>
            </w:r>
          </w:p>
        </w:tc>
        <w:tc>
          <w:tcPr>
            <w:tcW w:type="dxa" w:w="302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MySQL 8</w:t>
            </w:r>
          </w:p>
        </w:tc>
        <w:tc>
          <w:tcPr>
            <w:tcW w:type="dxa" w:w="403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支持事务、外键、索引和精确小数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3.2 总体架构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系统采用单体后端加单页前端的 B/S 架构。浏览器加载 Vue 应用，Axios 通过 Vite 开发代理访问 `/api`；Spring MVC Controller 接收请求，Spring Security 维护 Session 与 CSRF，Service 处理权限和业务，Mapper 访问 MySQL，Flyway 在启动时维护 Schema 版本。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c>
          <w:tcPr>
            <w:tcW w:type="dxa" w:w="8838"/>
            <w:shd w:fill="F5F7FA"/>
          </w:tcPr>
          <w:p>
            <w:pPr>
              <w:spacing w:before="80" w:after="80"/>
            </w:pPr>
            <w:r>
              <w:rPr>
                <w:rFonts w:ascii="Consolas" w:hAnsi="Consolas" w:eastAsia="宋体"/>
                <w:sz w:val="17"/>
              </w:rPr>
              <w:t>浏览器 Vue SPA</w:t>
              <w:br/>
            </w:r>
            <w:r>
              <w:rPr>
                <w:rFonts w:ascii="Consolas" w:hAnsi="Consolas" w:eastAsia="宋体"/>
                <w:sz w:val="17"/>
              </w:rPr>
              <w:t xml:space="preserve">    ↓ HTTP JSON / Session Cookie / CSRF</w:t>
              <w:br/>
            </w:r>
            <w:r>
              <w:rPr>
                <w:rFonts w:ascii="Consolas" w:hAnsi="Consolas" w:eastAsia="宋体"/>
                <w:sz w:val="17"/>
              </w:rPr>
              <w:t>Spring MVC Controller → Spring Security / CurrentUser</w:t>
              <w:br/>
            </w:r>
            <w:r>
              <w:rPr>
                <w:rFonts w:ascii="Consolas" w:hAnsi="Consolas" w:eastAsia="宋体"/>
                <w:sz w:val="17"/>
              </w:rPr>
              <w:t xml:space="preserve">    ↓</w:t>
              <w:br/>
            </w:r>
            <w:r>
              <w:rPr>
                <w:rFonts w:ascii="Consolas" w:hAnsi="Consolas" w:eastAsia="宋体"/>
                <w:sz w:val="17"/>
              </w:rPr>
              <w:t>业务 Service → MyBatis-Plus Mapper → MySQL 8</w:t>
              <w:br/>
            </w:r>
            <w:r>
              <w:rPr>
                <w:rFonts w:ascii="Consolas" w:hAnsi="Consolas" w:eastAsia="宋体"/>
                <w:sz w:val="17"/>
              </w:rPr>
              <w:t xml:space="preserve">                                    ↑</w:t>
              <w:br/>
            </w:r>
            <w:r>
              <w:rPr>
                <w:rFonts w:ascii="Consolas" w:hAnsi="Consolas" w:eastAsia="宋体"/>
                <w:sz w:val="17"/>
              </w:rPr>
              <w:t xml:space="preserve">                                 Flyway</w:t>
            </w:r>
          </w:p>
        </w:tc>
      </w:tr>
    </w:tbl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3.3 功能模块结构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946"/>
        <w:gridCol w:w="2946"/>
        <w:gridCol w:w="2946"/>
      </w:tblGrid>
      <w:tr>
        <w:trPr>
          <w:tblHeader w:val="true"/>
          <w:cantSplit/>
        </w:trPr>
        <w:tc>
          <w:tcPr>
            <w:tcW w:type="dxa" w:w="1872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type="dxa" w:w="3168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后端包</w:t>
            </w:r>
          </w:p>
        </w:tc>
        <w:tc>
          <w:tcPr>
            <w:tcW w:type="dxa" w:w="3456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前端页面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认证与资料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auth、profile、common/security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login、register、profile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家庭与成员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household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onboarding、members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收支分类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category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categories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收支流水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ledger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entries、EntryForm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统计仪表盘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statistics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dashboard、TrendChart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预算与周期记账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budget、recurring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budgets、recurring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CSV 与操作日志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ledger、audit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entries 导入导出、audit-logs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错误与导航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common/error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router、forbidden、not-found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3.4 数据库设计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946"/>
        <w:gridCol w:w="2946"/>
        <w:gridCol w:w="2946"/>
      </w:tblGrid>
      <w:tr>
        <w:trPr>
          <w:tblHeader w:val="true"/>
          <w:cantSplit/>
        </w:trPr>
        <w:tc>
          <w:tcPr>
            <w:tcW w:type="dxa" w:w="1800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表</w:t>
            </w:r>
          </w:p>
        </w:tc>
        <w:tc>
          <w:tcPr>
            <w:tcW w:type="dxa" w:w="3888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主要字段</w:t>
            </w:r>
          </w:p>
        </w:tc>
        <w:tc>
          <w:tcPr>
            <w:tcW w:type="dxa" w:w="2808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关键约束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household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id、name、invite_code、created_by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邀请码全局唯一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app_user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账号、密码摘要、家庭、编号、角色、状态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用户名全局唯一；成员编号家庭内唯一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finance_category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家庭、范围、类型、名称、状态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系统/家庭范围一致；同类型名称唯一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ledger_entry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家庭、成员、分类、类型、金额、日期、删除标记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金额大于零；外键；家庭/日期索引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monthly_budget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家庭、月份、可空分类、金额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家庭/月份/分类唯一；月份为月首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recurring_template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家庭、成员、分类、金额、每月日期、状态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每月日期 1 至 31；金额大于零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recurring_generation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模板、生成月份、流水 ID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模板/月份唯一，防止重复生成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audit_log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家庭、操作者、动作、对象、摘要、时间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按家庭/时间查询；不记录密码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3.5 权限、安全与社会责任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前端操作显隐只负责用户体验，后端服务层才是安全边界。每次访问成员、分类或流水都要验证对象属于当前家庭。密码只保存摘要，错误响应不返回堆栈、数据库密码、Cookie 或 Token。系统不连接银行、支付平台和真实投资账户，避免把课程系统误解为金融建议或真实资金系统。</w:t>
      </w:r>
    </w:p>
    <w:p>
      <w:pPr>
        <w:pStyle w:val="Heading1"/>
        <w:keepNext/>
        <w:pageBreakBefore w:val="0"/>
        <w:spacing w:before="200" w:after="120"/>
      </w:pPr>
      <w:r>
        <w:rPr>
          <w:rFonts w:ascii="黑体" w:hAnsi="黑体" w:eastAsia="黑体"/>
          <w:b/>
          <w:color w:val="000000"/>
          <w:sz w:val="28"/>
        </w:rPr>
        <w:t>四、详细设计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4.1 代码组织与负责文件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4419"/>
        <w:gridCol w:w="4419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范围</w:t>
            </w:r>
          </w:p>
        </w:tc>
        <w:tc>
          <w:tcPr>
            <w:tcW w:type="dxa" w:w="6768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代表文件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基础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main.ts、App.vue、router/index.ts、stores/auth.ts、api/client.ts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布局组件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layouts/AppLayout.vue、AuthLayout.vue、components/*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业务页面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views/DashboardView.vue、EntriesView.vue、MembersView.vue、CategoriesView.vue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新增页面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BudgetsView.vue、RecurringView.vue、AuditLogsView.vue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认证与状态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LoginView.vue、RegisterView.vue、OnboardingView.vue、ForbiddenView.vue、NotFoundView.vue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样式测试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styles/tokens.css、各模块样式、login-background.css、src/__tests__/*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4.2 会话恢复与路由守卫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auth store 保存当前用户和恢复状态。路由守卫在会话恢复后区分未登录、未入户和已入户；Axios 收到真实 403 时发布 family-finance:forbidden 事件，App.vue 监听后进入权限页面。404 由前端兜底路由处理。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实现位置：api/client.ts 的 FORBIDDEN_EVENT、App.vue 的事件监听、router/index.ts 的路由守卫。页面路由采用动态导入，避免登录时同步加载所有业务页面。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4.3 仪表盘数据映射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DashboardView 维护本月、近 3 个月、今年和自定义时间范围，计算起止日期后调用统计接口。totals 映射三张金额卡片，trend 映射 ECharts 折线/面积图，composition 按收入支出切换，members 显示每人收入、支出与结余。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新增月度报告和统计摘要；TrendChart 模块化注册所需 ECharts 图表、组件与渲染器，并提供可读文本摘要。预算和环比信息需要清楚标明统计月份与比较基准，不能把等长上期环比解释为同比。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4.4 表单与业务页面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EntryForm 复用新增和编辑字段，流水类型变化时过滤对应分类。EntriesView 维护筛选和分页；MembersView 按角色决定是否显示邀请码、复制、重置和编辑按钮；CategoriesView 区分系统与家庭分类；ProfileView 修改密码成功后清空表单、退出并带提示回到登录页。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流水页面监听 new 查询参数，支持同路由打开记账抽屉，关闭后清理参数；默认今天改为本地日期计算。CSV 导出采用同源下载地址，导入以预览、错误确认和提交组成闭环。预算和日志按角色控制操作入口，后端仍独立校验权限。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4.5 响应式与视觉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风格 C 采用蓝色、朱红与纸白，借助清晰的分栏、细线和账页感建立信息层级。登录页新增蓝色纸张、账本、铅笔和住宅插画，正文与输入卡片保持对比度，左上角商标仅在登录页隐藏。背景资源为本地 PNG，不依赖第三方在线图片。桌面流水用表格，手机用卡片；移动端背景增加遮罩保证文字可读。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4.6 前端测试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当前已记录 25 个前端测试通过，类型检查与 Vite 生产构建通过；登录页背景与商标修改后再次通过生产构建，并检查桌面与窄屏效果。本次材料同步重新采集真实页面截图，不把截图采集等同于全量功能或所有设备验证。</w:t>
      </w:r>
    </w:p>
    <w:p>
      <w:pPr>
        <w:pStyle w:val="Heading1"/>
        <w:keepNext/>
        <w:pageBreakBefore w:val="0"/>
        <w:spacing w:before="200" w:after="120"/>
      </w:pPr>
      <w:r>
        <w:rPr>
          <w:rFonts w:ascii="黑体" w:hAnsi="黑体" w:eastAsia="黑体"/>
          <w:b/>
          <w:color w:val="000000"/>
          <w:sz w:val="28"/>
        </w:rPr>
        <w:t>五、设计结果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以下为 2026 年 9 月 6 日从本地运行系统采集的真实视口截图，长页面仅展示局部。登录截图清空凭据，业务截图中的成员及流水使用演示家庭数据。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" name="Picture 1" descr="图 5-1 登录页：蓝色纸感插画背景，移除左上角商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20"/>
        </w:rPr>
        <w:t>图 5-1 登录页：蓝色纸感插画背景，移除左上角商标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36531"/>
            <wp:docPr id="2" name="Picture 2" descr="图 5-2 月报页局部：时间范围、本期金额和环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20"/>
        </w:rPr>
        <w:t>图 5-2 月报页局部：时间范围、本期金额和环比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36531"/>
            <wp:docPr id="3" name="Picture 3" descr="图 5-3 收支明细：筛选栏、表格和记一笔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ntr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20"/>
        </w:rPr>
        <w:t>图 5-3 收支明细：筛选栏、表格和记一笔入口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36531"/>
            <wp:docPr id="4" name="Picture 4" descr="图 5-4 家庭成员：家庭通行证与角色化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emb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20"/>
        </w:rPr>
        <w:t>图 5-4 家庭成员：家庭通行证与角色化操作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36531"/>
            <wp:docPr id="5" name="Picture 5" descr="图 5-5 预算页局部：总预算未设置时的真实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udg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20"/>
        </w:rPr>
        <w:t>图 5-5 预算页局部：总预算未设置时的真实状态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36531"/>
            <wp:docPr id="6" name="Picture 6" descr="图 5-6 周期记账页面：模板管理与按月生成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curr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20"/>
        </w:rPr>
        <w:t>图 5-6 周期记账页面：模板管理与按月生成入口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5.1 结果说明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业务页面使用统一应用壳、导航和状态规范；认证页面采用独立纸感背景。已有窄屏布局检查，本节截图展示桌面入口，不代替完整移动端交互验收。</w:t>
      </w:r>
    </w:p>
    <w:p>
      <w:pPr>
        <w:pStyle w:val="Heading1"/>
        <w:keepNext/>
        <w:pageBreakBefore w:val="0"/>
        <w:spacing w:before="200" w:after="120"/>
      </w:pPr>
      <w:r>
        <w:rPr>
          <w:rFonts w:ascii="黑体" w:hAnsi="黑体" w:eastAsia="黑体"/>
          <w:b/>
          <w:color w:val="000000"/>
          <w:sz w:val="28"/>
        </w:rPr>
        <w:t>设计总结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本报告说明后端接口如何组织为 Vue 用户动线。前端通过 Pinia 恢复会话，通过路由守卫区分未登录、未入户和已入户状态，通过 Axios 拦截器转发 403 事件。仪表盘把统计 DTO 映射为金额卡片、趋势图、构成、成员对比和月度报告；流水页面在桌面使用表格，在手机使用卡片，保持主要操作一致。测试重点覆盖角色显隐、表单联动、密码更新退出和错误页面。路由、Element Plus 与 ECharts 已采用懒加载或按需引入；登录页在确定的蓝色与朱红配色上加入纸张、账本和住宅插画，并去掉左上角商标。后续应继续验证不同浏览器下载结果和辅助技术体验。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存在问题与改进方向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当前系统已经包含预算、CSV 导入导出、周期记账、统计增强与审计；仍不包含多家庭切换、附件、通知、银行同步和公网部署。浏览器下载文件落盘与内容核对尚缺独立留证，不能仅凭 Toast 声称下载完成。后续优先补足边界回归、不同浏览器兼容性和辅助技术检查，不将课程系统宣传为真实资金管理或投资建议工具。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版本与验证依据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材料更新日期：2026 年 9 月 6 日。功能扩展对应提交 6ac2e4b，CSV 前端调整对应 179f4ac，另包含当前工作区登录页视觉更新。此前后端 clean verify 为 18 个测试、0 失败，前端为 25 个测试并通过类型检查与构建；完整命令、历史记录及剩余验收项见 docs/stages/05-测试验收与报告素材.md。上述结果不是本次文档更新重新运行的全量测试。</w:t>
      </w:r>
    </w:p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家庭理财系统的设计与实现</dc:title>
  <dc:subject>组员二个人软件项目设计报告</dc:subject>
  <dc:creator>[组员二姓名]</dc:creator>
  <cp:keywords>家庭理财系统, Spring Boot, Vue, 课程设计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