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数据清洗说明文档</w:t>
      </w:r>
    </w:p>
    <w:p>
      <w:pPr>
        <w:pStyle w:val="Heading1"/>
      </w:pPr>
      <w:r>
        <w:t>1. 输入范围与总体结论</w:t>
      </w:r>
    </w:p>
    <w:p>
      <w:r>
        <w:t>以用户提供的题面、数据压缩包和结果模板为唯一场景依据，不用外部同类数据替代原始附件。data/raw保留19个原始文件，包含5个基础工作簿、结果模板、DEM/地理辅助文件和题面。SHA-256见results/quality/file_inventory.csv。题面附录1的地理说明文件扩展名与实际附件不同，按实际提供的文件读取并记录，不伪造缺失文件。</w:t>
      </w:r>
    </w:p>
    <w:p>
      <w:r>
        <w:t>全量扫描1,945,174个有效DEM像元、29,980行地理点/顶点及全部业务单元格，执行5,065项检查，失败0项。核心非预期缺失0个，主键重复0个。交付需求为80箱、758.0 kg、2.011 m³。上述结果仅证明本次数据内部一致，不等同于外部测绘或真实飞行验证。</w:t>
      </w:r>
    </w:p>
    <w:p>
      <w:pPr>
        <w:pStyle w:val="Heading1"/>
      </w:pPr>
      <w:r>
        <w:t>2. 数据问题、分布与清洗规则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8"/>
        <w:gridCol w:w="1184"/>
        <w:gridCol w:w="5623"/>
      </w:tblGrid>
      <w:tr>
        <w:trPr>
          <w:cantSplit/>
          <w:tblHeader/>
        </w:trPr>
        <w:tc>
          <w:tcPr>
            <w:tcW w:type="dxa" w:w="3058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问题/范围</w:t>
            </w:r>
          </w:p>
        </w:tc>
        <w:tc>
          <w:tcPr>
            <w:tcW w:type="dxa" w:w="118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562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NOT_APPLICABLE_DEADLINE / demand.first_deadline_s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保留null；增加has_first_deadline，不填0或均值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NOT_APPLICABLE_DEADLINE / boxes.first_deadline_s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保留null；以is_first_batch启用约束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MIXED_TABLE_LAYOUT / 5 input workbooks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按业务表头解析并转为11张整洁表；保留来源行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MERGED_CELLS / all workbooks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只读取定义字段；通信表B:C合并时忽略C列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EMPTY_RESULT_TEMPLATE / 结果提交模板.xlsx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填充Q1—Q4六张源表，另附Q3运输与逐箱补充；Q4配置与缺口解释见独立报告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MISSING_NODATA_METADATA / 镇龙乡及周边30米DEM.tif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仅补齐NoData元数据，全部高程值保持不变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DEM_STATISTICAL_TAIL / DEM full raster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99549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保留山峰；不截尾、不平滑；输出精确尾部掩码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NODE_DEM_ELEVATION_DIFFERENCE / nodes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节点作业高度仍用xlsx；航线净空用DEM；另做全部节点取DEM的敏感性对照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REPEATED_SERVICE_NAMES / services.name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以S001—S015唯一ID为主键保留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UNKNOWN_FEATURE_NAME / 镇龙乡及周边水体.csv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3173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name置null，name_raw保留原文，并新增name_missing标志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UNKNOWN_FEATURE_NAME / 镇龙乡及周边水系.csv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3618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name置null，name_raw保留原文，并新增name_missing标志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UNKNOWN_FEATURE_NAME / 镇龙乡及周边道路.csv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18518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name置null，name_raw保留原文，并新增name_missing标志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LEGITIMATE_CLOSURE_POINTS / geospatial rings/roads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保留顶点顺序与闭合点；去重检查使用复合主键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HTML_EXTERNAL_RESOURCES / 镇龙乡地理空间详情地图.html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保留原始HTML；计算只使用本地数值数据，另输出离线PNG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ENERGY_SUBFORMULA_NOT_EXPANDED / 题面 附录2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在解题文档明确列为补充假设：E_hor=E_use*d/L(q)，E_up=(m0+q)gh/(eta*3.6e6)；结果以此口径为条件</w:t>
            </w:r>
          </w:p>
        </w:tc>
      </w:tr>
      <w:tr>
        <w:trPr>
          <w:cantSplit/>
        </w:trPr>
        <w:tc>
          <w:tcPr>
            <w:tcW w:type="dxa" w:w="3058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GEOSPATIAL_DOCUMENT_EXTENSION / 题面附录1与实际附件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62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以实际PDF作为附件说明，保留原文件，不视为缺少DEM</w:t>
            </w:r>
          </w:p>
        </w:tc>
      </w:tr>
    </w:tbl>
    <w:p>
      <w:pPr>
        <w:spacing w:after="40"/>
      </w:pPr>
    </w:p>
    <w:p>
      <w:r>
        <w:t>“错误”与“待审核/合理特殊值”分开处理。不是为了清洗而制造改值：本次未删除任何货箱、需求、合法地理顶点或高程；未用均值、截尾或平滑覆盖题定物理值。</w:t>
      </w:r>
    </w:p>
    <w:p>
      <w:pPr>
        <w:pStyle w:val="Heading1"/>
      </w:pPr>
      <w:r>
        <w:t>3. 缺失值及类型格式</w:t>
      </w:r>
    </w:p>
    <w:p>
      <w:r>
        <w:t>需求首批截止时间有23个不适用空值；逐箱首批截止时间有50个不适用空值。这些记录没有相应首批约束。JSON保留null，CSV留空，增加is_first_batch/has_first_deadline。填0会制造任务开始即逾期，均值插补会制造原题没有的时限。医疗expected_s仍为硬时限；首批箱采用first_deadline_s，交集取较早者；其他expected_s作为及时性评价。这些规则自第二问起激活，不提前强加到第一问。</w:t>
      </w:r>
    </w:p>
    <w:p>
      <w:r>
        <w:t>合并单元格从属空白、分区标题、表头和未填结果表是结构信息，不计入样本缺失率。源工作簿按业务表头定位，不将第一行机械当作全部字段。数字按单位转为有限int/float，ID保留字符串，真假值保留布尔；跨表连接使用ID而非地名。UTF-8 BOM CSV便于Excel读取。所有源记录保留文件/表/行定位，字段与单位见data/cleaned/data_dictionary.csv及模型输入JSON。</w:t>
      </w:r>
    </w:p>
    <w:p>
      <w:r>
        <w:t>地理名称“未记录”共影响25,309个顶点行；标准name置空，name_raw保留原文并置name_missing。其坐标与要素仍有效，未知名称不导致删除道路、水体或样本。</w:t>
      </w:r>
    </w:p>
    <w:p>
      <w:pPr>
        <w:pStyle w:val="Heading1"/>
      </w:pPr>
      <w:r>
        <w:t>4. 异常、重复、业务逻辑与分布</w:t>
      </w:r>
    </w:p>
    <w:p>
      <w:r>
        <w:t>统计审核使用1.5倍IQR及修正Z分数（0.67449×偏差/MAD、阈值3.5）；样本不足、MAD=0或IQR=0时不做无意义除法。共有72个“记录×字段”触发标记，它们不等于同等数量的坏样本；完整位置、阈值与原值见statistical_outliers.csv。不同物资质量/体积形成结构化分布，合理差异保留。</w:t>
      </w:r>
    </w:p>
    <w:p>
      <w:r>
        <w:t>所有货箱ID、服务区ID、实体无人机ID、机型ID核查唯一性；需求按服务区和物资汇总，与箱数、总质量、总体积、首批数核对。相同地名不合并，闭环首末重复坐标不按坐标去重；地理重复按要素ID、环、顶点序号判定。机型范围、能量、效率、容量、库存非负/正值、关联外键、医疗/首批时限启用逻辑全部逐项验证。</w:t>
      </w:r>
    </w:p>
    <w:p>
      <w:r>
        <w:t>DEM全局尾部99,549像元按山地分布保留，截峰会破坏巡航净空。GeoTIFF原先未声明NoData，依据同包MAT与说明补上-32767.0，不改变高程数组。节点高程与对应DEM像元差异超过审核阈值共4处，最大绝对差10.562912 m；节点仍用源xlsx高程，航段净空用DEM。MAT/CSV对比222,888单元格，差异0。</w:t>
      </w:r>
    </w:p>
    <w:p>
      <w:pPr>
        <w:pStyle w:val="Heading1"/>
      </w:pPr>
      <w:r>
        <w:t>5. 处理前后及建模入口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清洗前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清洗后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货箱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不删除；不改质量、体积、ID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服务区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不按重名合并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需求记录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保持逐类与逐箱一致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地理点/顶点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29980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29980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保留合法闭合点与顺序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DEM有效像元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1945174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1945174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只修NoData元数据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题定物理值覆盖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未人为修正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逐箱非适用截止时间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保留null而非插补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6"/>
        <w:gridCol w:w="5919"/>
      </w:tblGrid>
      <w:tr>
        <w:trPr>
          <w:cantSplit/>
          <w:tblHeader/>
        </w:trPr>
        <w:tc>
          <w:tcPr>
            <w:tcW w:type="dxa" w:w="394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整洁表</w:t>
            </w:r>
          </w:p>
        </w:tc>
        <w:tc>
          <w:tcPr>
            <w:tcW w:type="dxa" w:w="591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记录数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depots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services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transport_models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transport_drones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transport_batteries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relay_models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relay_drones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relay_energy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demand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boxes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nodes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16</w:t>
            </w:r>
          </w:p>
        </w:tc>
      </w:tr>
    </w:tbl>
    <w:p>
      <w:pPr>
        <w:spacing w:after="40"/>
      </w:pPr>
    </w:p>
    <w:p>
      <w:r>
        <w:t>第二问额外生成transport_battery_units.csv，将原共享电池库存展开为逐个物理资源ID，共14条。这是确定性命名，不是新增库存。每机型编号从01开始，初始SOC=1，同型共享、异型不混用；总库存已经包含初装电池，不再给每架机额外加一组。</w:t>
      </w:r>
    </w:p>
    <w:p>
      <w:r>
        <w:t>数据输入首选data/cleaned/model_inputs.json，空间输入为geospatial/dem_clean.tif或dem_clean.npz；其他地理CSV/MAT的规范视图一并保留。物理建模不进行Z-score标准化；将千米统一为米、时限统一为秒、能耗统一为kWh，而不是破坏量纲后计算。</w:t>
      </w:r>
    </w:p>
    <w:p>
      <w:pPr>
        <w:pStyle w:val="Heading1"/>
      </w:pPr>
      <w:r>
        <w:t>6. 检查文件与边界</w:t>
      </w:r>
    </w:p>
    <w:p>
      <w:r>
        <w:t>field_quality_profiles.csv含逐字段缺失率和分布；business_checks.csv记录逐项判断；issues_and_actions.csv记录问题与处置；node_dem_comparison.csv记录高程差；全量地理和DEM检查结果留在results/quality。清洗不补充题面未定义的能耗分项；相关模型闭合假设在第一、二问报告明示，并做分项扰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01_数据清洗说明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