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四问闭环验证与实质修订说明</w:t>
      </w:r>
    </w:p>
    <w:p>
      <w:pPr>
        <w:pStyle w:val="Heading1"/>
      </w:pPr>
      <w:r>
        <w:t>1. 结论先行</w:t>
      </w:r>
    </w:p>
    <w:p>
      <w:r>
        <w:t>本次闭环验证从题面、原始表格、清洗数据、公共物理、求解模型、CSV、最终Excel、报告及图件逐层反向核验。发现的主要问题不是Q1或Q2数值算错，而是旧Q4三组配置依赖复制Q3中继任务，不能作为“中继任务安排保持不变”的严格解释下主答案。</w:t>
      </w:r>
    </w:p>
    <w:p>
      <w:r>
        <w:t>现已在Q3定稿阶段选择满足严格三组可分区的实算候选，并完整独立验证；之后Q4严格冻结该Q3，不复制、不拆分、不缩短、不重新安排任何运输或中继任务。资源不足按类型报告增补。旧的较快Q3只保留为独立优化对照，不再用作Q4的正式输入。</w:t>
      </w:r>
    </w:p>
    <w:p>
      <w:pPr>
        <w:pStyle w:val="Heading1"/>
      </w:pPr>
      <w:r>
        <w:t>2. 修订前后及实际代价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288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旧独立Q3</w:t>
            </w:r>
          </w:p>
        </w:tc>
        <w:tc>
          <w:tcPr>
            <w:tcW w:type="dxa" w:w="3288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最终闭环Q3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运输架次</w:t>
            </w:r>
          </w:p>
        </w:tc>
        <w:tc>
          <w:tcPr>
            <w:tcW w:type="dxa" w:w="328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328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中继架次</w:t>
            </w:r>
          </w:p>
        </w:tc>
        <w:tc>
          <w:tcPr>
            <w:tcW w:type="dxa" w:w="328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8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联合最后返回/s</w:t>
            </w:r>
          </w:p>
        </w:tc>
        <w:tc>
          <w:tcPr>
            <w:tcW w:type="dxa" w:w="328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6570.184296</w:t>
            </w:r>
          </w:p>
        </w:tc>
        <w:tc>
          <w:tcPr>
            <w:tcW w:type="dxa" w:w="328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6636.184296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运输与中继能耗/kWh</w:t>
            </w:r>
          </w:p>
        </w:tc>
        <w:tc>
          <w:tcPr>
            <w:tcW w:type="dxa" w:w="328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74.728177</w:t>
            </w:r>
          </w:p>
        </w:tc>
        <w:tc>
          <w:tcPr>
            <w:tcW w:type="dxa" w:w="328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75.068888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严格依赖图不可拆单元</w:t>
            </w:r>
          </w:p>
        </w:tc>
        <w:tc>
          <w:tcPr>
            <w:tcW w:type="dxa" w:w="328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28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</w:t>
            </w:r>
          </w:p>
        </w:tc>
      </w:tr>
    </w:tbl>
    <w:p>
      <w:pPr>
        <w:spacing w:after="40"/>
      </w:pPr>
    </w:p>
    <w:p>
      <w:r>
        <w:t>完工时间代价为66.000000秒，能耗代价为0.340710千瓦时。不是“加入限制后得到全局更优”，而是在已找到的可行方案中加入下游可分区性筛选。最终候选为polish_1；5个备选经严格图检查，其中2个支持至少三个非空独立组，再按及时性、联合完工、能耗和架次数择优。候选集未覆盖所有联合排程，不能声称四问全局最优。</w:t>
      </w:r>
    </w:p>
    <w:p>
      <w:r>
        <w:t>曾另外试验延后单架次并增加专属中继的修复族，但最终发布不采用该高代价方法。源码保留作为候选不足时的明确后备；默认原数据运行选择现有可行备选，不产生第五次中继。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257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compatib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57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Q3候选兼容性</w:t>
      </w:r>
    </w:p>
    <w:p>
      <w:pPr>
        <w:pStyle w:val="Heading1"/>
      </w:pPr>
      <w:r>
        <w:t>3. 数值与序列化问题</w:t>
      </w:r>
    </w:p>
    <w:p>
      <w:r>
        <w:t>新Excel导出使用openpyxl，主流程每次从本轮CSV重建工作簿，不复制旧快照。发现默认16有效位浮点序列化可能轻微移动通信边界：数值显示很接近，但边界遮挡判断可不同。本次改为双精度往返可恢复的repr文本写入，并从真实XLSX单元格重新构造轨迹核验；没有放宽能耗、时限或通信判断容差。Excel显示6位小数只是显示规则，不是模型精度。</w:t>
      </w:r>
    </w:p>
    <w:p>
      <w:r>
        <w:t>源坐标仍完全按附件存储，不能靠“四舍五入统一坐标”解决边界错误。主模板的六张表及Q3配套两张表保持原定义与编号引用；严格区分Q2-T和Q3-T命名空间。</w:t>
      </w:r>
    </w:p>
    <w:p>
      <w:pPr>
        <w:pStyle w:val="Heading1"/>
      </w:pPr>
      <w:r>
        <w:t>4. 闭环验收层次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466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2466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实际检查量</w:t>
            </w:r>
          </w:p>
        </w:tc>
        <w:tc>
          <w:tcPr>
            <w:tcW w:type="dxa" w:w="2466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失败数</w:t>
            </w:r>
          </w:p>
        </w:tc>
        <w:tc>
          <w:tcPr>
            <w:tcW w:type="dxa" w:w="2466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对象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原单元格及公式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1467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原始业务表与题面数学对象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全量数据质量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5065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缺失、类型、逻辑、地理与全量DEM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Q1独立验证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1885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逐箱DP、能耗、时间、安全载荷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Q2独立验证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978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多点运输、硬时限、机身和电池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Q3独立验证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17290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运输、中继、全连续区间和边界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Q4独立验证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11364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严格依赖图、全部划分、最少资源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Q4物理继承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69158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主方案与均衡对照的实际任务重算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单元及错误注入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78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错误答案应被拒绝而非静默修正</w:t>
            </w:r>
          </w:p>
        </w:tc>
      </w:tr>
    </w:tbl>
    <w:p>
      <w:pPr>
        <w:spacing w:after="40"/>
      </w:pPr>
    </w:p>
    <w:p>
      <w:r>
        <w:t>检查次数是程序断言数量，不是统计样本量、正确率置信区间或外部认证。独立程序能验证题定模型中的数学和实现一致性，不能消除DEM分辨率、未给出的飞行功率或天气不确定性。两份最终Excel还需由validate_submission.py只读重验；发布前执行ZIP CRC和逐文件SHA-256核查。</w:t>
      </w:r>
    </w:p>
    <w:p>
      <w:pPr>
        <w:pStyle w:val="Heading1"/>
      </w:pPr>
      <w:r>
        <w:t>5. 保留的前两问</w:t>
      </w:r>
    </w:p>
    <w:p>
      <w:r>
        <w:t>Q1仍为18架次、59.131296千瓦时、32776.015749累计作业秒；Q2仍为25架次、71.727380千瓦时、6256.803746秒最后运输返回。第一问没有实体/电池调度、第二问没有通信限制，均符合各问前提。不能将Q2通信直连失败当成Q2违规，也不能把Q1累计工时当多机完工时间。</w:t>
      </w:r>
    </w:p>
    <w:p>
      <w:r>
        <w:t>Q1三种时间分别保存在time_components.csv；安全载荷区分连续质量边界和现有整箱可实现值。正式余量敏感性从20%起，源物理值不改。以下共同模型与各问详述都使用同一套单位、对象ID和物理约束。</w:t>
      </w:r>
    </w:p>
    <w:p>
      <w:pPr>
        <w:pStyle w:val="Heading1"/>
      </w:pPr>
      <w:r>
        <w:t>6. 题意逐项追溯</w:t>
      </w:r>
    </w:p>
    <w:p>
      <w:r>
        <w:t>完整35行来源—要求—实现—边界矩阵为results/closure/requirement_traceability.csv。它是内容核对索引，不伪装成35项独立物理测试。对未由原文唯一确定的分项能耗、时间字段、坐标近似和逐箱交接顺序单独列为建模假设，不隐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20" w:bottom="992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数学建模计算交付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D题  /  Q1—Q4：运输、中继、分区与核验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0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7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74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837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04_闭环验证与实质修订说明</dc:title>
  <dc:subject>题目原始数据上的可复现建模与核验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