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四问共同物理规则、单位与假设边界</w:t>
      </w:r>
    </w:p>
    <w:p>
      <w:pPr>
        <w:pStyle w:val="Heading1"/>
      </w:pPr>
      <w:r>
        <w:t>1. 数据与业务对象</w:t>
      </w:r>
    </w:p>
    <w:p>
      <w:r>
        <w:t>质量kg、体积m³、距离m、时间s、能量kWh、功率kW，坐标为经纬度、海拔为m。载荷q只指货物；含电池空载质量m0参与爬升势能，不能重复加入电池。服务区、箱号和源实体编号在四问间保持不变。不同问题的架次编号各自独立，Q3运输表不引用Q2架次。</w:t>
      </w:r>
    </w:p>
    <w:p>
      <w:pPr>
        <w:pStyle w:val="Heading1"/>
      </w:pPr>
      <w:r>
        <w:t>2. 航段与飞行时间</w:t>
      </w:r>
    </w:p>
    <w:p>
      <w:r>
        <w:t>两节点水平直线经过的全部DEM像元取最高高程再加50m作为计划巡航海拔。O01作业海拔为地面，服务区为题定地面加30m；每个航段完整经历爬升、巡航和下降，多站每次交接后重新爬升，不以净高差替代总爬升。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99705" cy="187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9705" cy="18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距离使用WGS84椭球水平测地长度；地形穿越在源经纬格网中取两点直线。原题未指定唯一投影，差异通过独立地形与距离对照披露。所有真实弧段均全像元核验，绘图使用地形剖面不能代替模型计算。</w:t>
      </w:r>
    </w:p>
    <w:p>
      <w:pPr>
        <w:pStyle w:val="Heading1"/>
      </w:pPr>
      <w:r>
        <w:t>3. 载荷相关航程与能量</w:t>
      </w:r>
    </w:p>
    <w:p>
      <w:r>
        <w:t>题面等效航程的载荷指数为3/2：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91145" cy="187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1145" cy="18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题面给出水平与爬升能耗相加，但没有展开两个分项。本项目公开补充“标准航程对应耗尽单组可用电量”的水平等效模型以及势能/效率模型：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37807" cy="187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7807" cy="18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下降附加能耗按题定0处理，但下降飞行时间照计。逐站卸货后剩余载荷下降，最后一段空载。每架次的全部航段能耗相加，满足：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91345" cy="2909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1345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源余量为20%，不要求严格大于。未再从标准航程重复扣一次20%。运输交接的独立功率未提供，因此不捏造运输悬停功率；中继有相应功率则必须计入。这是模型闭合边界，不等于真实运输交接不耗电。</w:t>
      </w:r>
    </w:p>
    <w:p>
      <w:pPr>
        <w:pStyle w:val="Heading1"/>
      </w:pPr>
      <w:r>
        <w:t>4. 交付、占用和两阶段充电</w:t>
      </w:r>
    </w:p>
    <w:p>
      <w:r>
        <w:t>交付时刻为具体货箱交接完成，不是到达服务区。点内按硬截止/期望优先的确定性次序交接，具体次序见逐箱表。任务从准备开始占用机身及一组满电电池；机身返回后可再次准备，电池需从返回SOC按两阶段模型充至100%。中继机身另外计周转，能源组件单独充电；不同实体可并行充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1676" cy="199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1676" cy="19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Q1“往返时间”解释为准备开始至返回的完整时长；Q2/Q3“开始时刻”解释为准备开始。原模板未进一步限定列义，故这是公开解释，不是额外官方确认。纯飞行、飞行加交接、完整作业全部分别导出。</w:t>
      </w:r>
    </w:p>
    <w:p>
      <w:pPr>
        <w:pStyle w:val="Heading1"/>
      </w:pPr>
      <w:r>
        <w:t>5. 通信模型与未增加的限制</w:t>
      </w:r>
    </w:p>
    <w:p>
      <w:r>
        <w:t>G01位于O01坐标和地面+网关天线高处。灵敏度与衰落裕量求有效接收门限；正、反方向取更小允许传播损耗。地形遮挡增加题定损耗，并非一遮挡就自动中断。直连可用必须直连，否则可选一架同时满足接入及回传链路的中继，不允许中继多跳。</w:t>
      </w:r>
    </w:p>
    <w:p>
      <w:r>
        <w:t>采用O01处WGS84曲率半径构建局部三维米尺度，DEM像元内常高。几何接触按遮挡侧处理；距离与地形视线使用同一仿射几何。没有原题未给的菲涅耳区、容量/带宽上限、碰撞间隔、风速、充电桩数等约束；不将未纳入这些工程因素解释为实际运行安全保证。</w:t>
      </w:r>
    </w:p>
    <w:p>
      <w:pPr>
        <w:pStyle w:val="Heading1"/>
      </w:pPr>
      <w:r>
        <w:t>6. 各问的额外决策范围</w:t>
      </w:r>
    </w:p>
    <w:p>
      <w:r>
        <w:t>Q1只做单区往返，不引入实体与时间排程。Q2不考虑通信，其普通期望时限是评价而非强制。Q3增加连续通信及中继联合调度，并在最终选解时要求可严格划为3个独立任务组，以实现题目四问整体继承。Q4不改变最终Q3任何任务和通信关系；同一中继任务共同保障的运输服务区必须同组，执行前重新配置同型实体不等于重排任务。</w:t>
      </w:r>
    </w:p>
    <w:p>
      <w:r>
        <w:t>Q4不同机型的超库存分别报告，不用闲置能源组件抵扣缺少的无人机。资源件数是明示的无量纲比较目标，不代表经济成本。Q4精确最优仅相对于冻结的Q3及已声明的分区目标。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数学建模计算交付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D题  /  Q1—Q4：运输、中继、分区与核验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7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05_共同物理规则与假设边界</dc:title>
  <dc:subject>题目原始数据上的可复现建模与核验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