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整体论文大纲与LaTeX填充映射</w:t>
      </w:r>
    </w:p>
    <w:p>
      <w:pPr>
        <w:pStyle w:val="Heading1"/>
      </w:pPr>
      <w:r>
        <w:t>论文拟题</w:t>
      </w:r>
    </w:p>
    <w:p>
      <w:r>
        <w:t>山区洪涝场景下基于连续通信保障与严格任务继承的无人机运输及分区资源优化</w:t>
      </w:r>
    </w:p>
    <w:p>
      <w:r>
        <w:t>标题中的“严格任务继承”对应实际Q3—Q4闭环修复，不使用“全局最优”“完全鲁棒”等本实验未证明的表述。待收到LaTeX模板后适配标题、页边距、摘要长度、参考文献和附录；本大纲不是官方版式规定。</w:t>
      </w:r>
    </w:p>
    <w:p>
      <w:pPr>
        <w:pStyle w:val="Heading1"/>
      </w:pPr>
      <w:r>
        <w:t>摘要与关键词</w:t>
      </w:r>
    </w:p>
    <w:p>
      <w:r>
        <w:t>摘要按“任务背景—统一模型—四问方法与关键结果—验证与适用条件”组织。Q1写18架次及59.131296kWh，并说明字典序及模型内精确性；Q2写6256.803746秒最后运输返回；Q3写6636.184296秒联合返回、75.068888kWh与全连续通信；Q4写严格两/三组的2/7件分类型库存缺口。末句交代独立复核和启发式非全局最优，不只列检查数量。</w:t>
      </w:r>
    </w:p>
    <w:p>
      <w:r>
        <w:t>关键词建议：异构无人机；不可拆货箱；连续通信；共享电池；严格任务继承；分区资源配置。</w:t>
      </w:r>
    </w:p>
    <w:p>
      <w:pPr>
        <w:pStyle w:val="Heading1"/>
      </w:pPr>
      <w:r>
        <w:t>第一章 问题重述与四层递进关系</w:t>
      </w:r>
    </w:p>
    <w:p>
      <w:pPr>
        <w:pStyle w:val="Heading2"/>
      </w:pPr>
      <w:r>
        <w:t>1.1 场景与统一输入</w:t>
      </w:r>
    </w:p>
    <w:p>
      <w:r>
        <w:t>说明1调度中心、15服务区、80箱与源库存；现实背景只作动机，标准场景参数以附件为准。不得使用背景报道的受困人数替代本场景需求。</w:t>
      </w:r>
    </w:p>
    <w:p>
      <w:pPr>
        <w:pStyle w:val="Heading2"/>
      </w:pPr>
      <w:r>
        <w:t>1.2 四问边界及输出</w:t>
      </w:r>
    </w:p>
    <w:p>
      <w:r>
        <w:t>Q1无实体排程、单点往返；Q2多点/多架次/实体与共享电池、无通信；Q3运输与中继联合连续通信；Q4严格冻结Q3做独立分区。给一张问题—输入—新增约束—输出表。解释Q1累计工时和Q2/Q3最后返回不相同。</w:t>
      </w:r>
    </w:p>
    <w:p>
      <w:pPr>
        <w:pStyle w:val="Heading2"/>
      </w:pPr>
      <w:r>
        <w:t>1.3 总体技术路线</w:t>
      </w:r>
    </w:p>
    <w:p>
      <w:r>
        <w:t>数据审核→公共物理→Q1精确组批→Q2资源调度→Q3通信与可分区候选选解→Q4冻结依赖分区→CSV/Excel反向核验。文字框架后续可按模板排版；不要用未经数据支持的装饰图代替计算。</w:t>
      </w:r>
    </w:p>
    <w:p>
      <w:pPr>
        <w:pStyle w:val="Heading1"/>
      </w:pPr>
      <w:r>
        <w:t>第二章 模型假设、符号与数据清洗</w:t>
      </w:r>
    </w:p>
    <w:p>
      <w:pPr>
        <w:pStyle w:val="Heading2"/>
      </w:pPr>
      <w:r>
        <w:t>2.1 题定规则与补充假设分列</w:t>
      </w:r>
    </w:p>
    <w:p>
      <w:r>
        <w:t>明确两个能耗分项闭合、总体积替代三维箱几何、点内交接次序、准备占用、局部三维坐标、DEM分片常高、源题未给的工程约束。列“假设—作用—影响—敏感性证据”四列。</w:t>
      </w:r>
    </w:p>
    <w:p>
      <w:pPr>
        <w:pStyle w:val="Heading2"/>
      </w:pPr>
      <w:r>
        <w:t>2.2 统一符号表</w:t>
      </w:r>
    </w:p>
    <w:p>
      <w:r>
        <w:t>服务i、箱b、机型g、运输架次r、中继架次j、实体u、能源k、任务组c。q仅货物质量、m0含电池空载质量；w_b质量与π_b优先权重不重名；C_b交付完成，T_r返回，Cjoint联合完工。</w:t>
      </w:r>
    </w:p>
    <w:p>
      <w:pPr>
        <w:pStyle w:val="Heading2"/>
      </w:pPr>
      <w:r>
        <w:t>2.3 全量质量检查和清洗</w:t>
      </w:r>
    </w:p>
    <w:p>
      <w:r>
        <w:t>缺失语义、重复样本/合法地理闭环点、类型、单位、逐类逐箱需求一致性、DEM NoData、节点高程差异和源字典追溯。报告处理前后变化，不删除真实困难样本。</w:t>
      </w:r>
    </w:p>
    <w:p>
      <w:r>
        <w:t>建议主图：F对应“数据核查：全部货箱按服务区分布”“原始全分辨率地形与任务节点”“题定节点海拔与DEM像元差异”；具体F编号以paper/figure_catalog.csv为准。主表为清洗规则与前后数量。证据：results/quality、data/cleaned。</w:t>
      </w:r>
    </w:p>
    <w:p>
      <w:pPr>
        <w:pStyle w:val="Heading1"/>
      </w:pPr>
      <w:r>
        <w:t>第三章 公共飞行、能耗、交付与能源周转模型</w:t>
      </w:r>
    </w:p>
    <w:p>
      <w:pPr>
        <w:pStyle w:val="Heading2"/>
      </w:pPr>
      <w:r>
        <w:t>3.1 全像元净空与三阶段飞行</w:t>
      </w:r>
    </w:p>
    <w:p>
      <w:r>
        <w:t>给水平直线、巡航高程=max DEM+50米、O01地面/服务区30米的公式与剖面；解释每次投送后重新爬升。说明主逐像元算法和独立有向弧检查。</w:t>
      </w:r>
    </w:p>
    <w:p>
      <w:pPr>
        <w:pStyle w:val="Heading2"/>
      </w:pPr>
      <w:r>
        <w:t>3.2 负载相关航程与往返能耗</w:t>
      </w:r>
    </w:p>
    <w:p>
      <w:r>
        <w:t>给3/2航程关系、分项假设、逐段剩余载荷、空载返程和20%余量。证明在Q1单点情形能耗随去程载荷单调，给二分求根依据。</w:t>
      </w:r>
    </w:p>
    <w:p>
      <w:pPr>
        <w:pStyle w:val="Heading2"/>
      </w:pPr>
      <w:r>
        <w:t>3.3 逐箱交付与资源区间</w:t>
      </w:r>
    </w:p>
    <w:p>
      <w:r>
        <w:t>逐箱交付取完成交接；准备/装载/交接分项计时；电池按90%拐点两段充电至100%。机身、能源分别占用，源库存包含初装与备用；相同时间开始下一任务的半开区间解释。</w:t>
      </w:r>
    </w:p>
    <w:p>
      <w:r>
        <w:t>建议主图：一条瓶颈地形剖面、两阶段充电公式配资源甘特局部；完整15条剖面放附录。证据：results/q1/route_geometry.csv、results/q2/arc_geometry.csv与battery_cycles.csv。</w:t>
      </w:r>
    </w:p>
    <w:p>
      <w:pPr>
        <w:pStyle w:val="Heading1"/>
      </w:pPr>
      <w:r>
        <w:t>第四章 问题一：安全载荷与不可拆货箱精确组批</w:t>
      </w:r>
    </w:p>
    <w:p>
      <w:pPr>
        <w:pStyle w:val="Heading2"/>
      </w:pPr>
      <w:r>
        <w:t>4.1 连续最大安全载荷与整箱能力</w:t>
      </w:r>
    </w:p>
    <w:p>
      <w:r>
        <w:t>定义q_safe，区分额定质量、连续边界、现有箱子组合的离散可实现值。输出15×3能力表及见证箱号；空载不可行用null而非有意义的0kg。</w:t>
      </w:r>
    </w:p>
    <w:p>
      <w:pPr>
        <w:pStyle w:val="Heading2"/>
      </w:pPr>
      <w:r>
        <w:t>4.2 可行批次枚举与集合划分</w:t>
      </w:r>
    </w:p>
    <w:p>
      <w:r>
        <w:t>候选均属于一个服务区，同时满足质量、体积和全往返能量。每箱覆盖等式=1。依据箱型等价压缩数量状态，说明为什么此问时限不进入等价性。</w:t>
      </w:r>
    </w:p>
    <w:p>
      <w:pPr>
        <w:pStyle w:val="Heading2"/>
      </w:pPr>
      <w:r>
        <w:t>4.3 字典序动态规划与最优性</w:t>
      </w:r>
    </w:p>
    <w:p>
      <w:r>
        <w:t>推导F(n)=min_lex[F(n−u)+(1,E_u,T_u)]并用最优子结构归纳；独立逐箱身份位掩码DP核验。用15个区域最低一趟加三个超80kg区域得到18架次下界，并展示达到下界。</w:t>
      </w:r>
    </w:p>
    <w:p>
      <w:pPr>
        <w:pStyle w:val="Heading2"/>
      </w:pPr>
      <w:r>
        <w:t>4.4 结果、权衡与敏感性</w:t>
      </w:r>
    </w:p>
    <w:p>
      <w:r>
        <w:t>报告18架次、B9/C9、59.131296kWh与32776.015749累计秒；列能耗优先对照、精确N—E前沿。合规安全余量从20%起重新优化；说明不可拆导致跳变和S008瓶颈。能耗分项扰动另述。</w:t>
      </w:r>
    </w:p>
    <w:p>
      <w:r>
        <w:t>建议主图4幅：45组安全载荷、连续/离散对照、N—E前沿、余量—架次数；15条载荷曲线和全批次台账入附录。证据：results/q1全部。</w:t>
      </w:r>
    </w:p>
    <w:p>
      <w:pPr>
        <w:pStyle w:val="Heading1"/>
      </w:pPr>
      <w:r>
        <w:t>第五章 问题二：异构多点运输与共享电池联合调度</w:t>
      </w:r>
    </w:p>
    <w:p>
      <w:pPr>
        <w:pStyle w:val="Heading2"/>
      </w:pPr>
      <w:r>
        <w:t>5.1 决策变量及硬/软约束</w:t>
      </w:r>
    </w:p>
    <w:p>
      <w:r>
        <w:t>箱—架次—访问序—机型—实体—电池—开始时刻；逐站卸载、空返、资源不重叠、满电复用；医疗期望及首批截止硬约束，其他期望用于加权迟到。完工定义为最后运输返回。</w:t>
      </w:r>
    </w:p>
    <w:p>
      <w:pPr>
        <w:pStyle w:val="Heading2"/>
      </w:pPr>
      <w:r>
        <w:t>5.2 固定种子邻域搜索与资源解码</w:t>
      </w:r>
    </w:p>
    <w:p>
      <w:r>
        <w:t>解释移动、交换、换型、合并拆分和破坏修复；最早可用机身/电池解码与固定预算。给简洁伪代码和参数表，不堆源代码正文。</w:t>
      </w:r>
    </w:p>
    <w:p>
      <w:pPr>
        <w:pStyle w:val="Heading2"/>
      </w:pPr>
      <w:r>
        <w:t>5.3 下界与方案对照</w:t>
      </w:r>
    </w:p>
    <w:p>
      <w:r>
        <w:t>给工作量LP松弛的放松方向和对偶残差；区分可行上界、松弛下界、相对间隙，不以不再改进冒充全局证明。比较同预算单点、多点、节能以及冻结Q1的诊断；硬违约诊断不能作为候选答案。</w:t>
      </w:r>
    </w:p>
    <w:p>
      <w:pPr>
        <w:pStyle w:val="Heading2"/>
      </w:pPr>
      <w:r>
        <w:t>5.4 主结果与资源/时限验证</w:t>
      </w:r>
    </w:p>
    <w:p>
      <w:r>
        <w:t>25架次、71.727380kWh、6256.803746秒；列80箱完成、硬时限、最紧裕度和电池充电检查。建议主图4幅：路线、机身甘特、电池甘特、完成时间—能耗权衡；80行交付表入附录。</w:t>
      </w:r>
    </w:p>
    <w:p>
      <w:pPr>
        <w:pStyle w:val="Heading1"/>
      </w:pPr>
      <w:r>
        <w:t>第六章 问题三：连续通信联合调度及闭环选解</w:t>
      </w:r>
    </w:p>
    <w:p>
      <w:pPr>
        <w:pStyle w:val="Heading2"/>
      </w:pPr>
      <w:r>
        <w:t>6.1 双向预算和地形遮挡</w:t>
      </w:r>
    </w:p>
    <w:p>
      <w:r>
        <w:t>灵敏度加衰落裕量、双向最小门限、32.45常数FSPL、遮挡附加损耗；直连优先、单中继、接入/回传同刻可用。</w:t>
      </w:r>
    </w:p>
    <w:p>
      <w:pPr>
        <w:pStyle w:val="Heading2"/>
      </w:pPr>
      <w:r>
        <w:t>6.2 全连续区间与边界点算法</w:t>
      </w:r>
    </w:p>
    <w:p>
      <w:r>
        <w:t>仿射轨迹、锚点三角扇面与像元半平面，阴影区间并集、距离二次根、建链/服务切换点。分别论证开区间状态不变与边界静态复核，解释独立几何方法以及稠密采样为何仅为补充。</w:t>
      </w:r>
    </w:p>
    <w:p>
      <w:pPr>
        <w:pStyle w:val="Heading2"/>
      </w:pPr>
      <w:r>
        <w:t>6.3 中继飞行、建链、驻留和独立能源</w:t>
      </w:r>
    </w:p>
    <w:p>
      <w:r>
        <w:t>给源参数表与功率能耗；准备、建链、服务、返回、机身周转/能源充电时序；库存内使用情况；候选空间限制公开。</w:t>
      </w:r>
    </w:p>
    <w:p>
      <w:pPr>
        <w:pStyle w:val="Heading2"/>
      </w:pPr>
      <w:r>
        <w:t>6.4 联合算法与严格可分区候选筛选</w:t>
      </w:r>
    </w:p>
    <w:p>
      <w:r>
        <w:t>有限DEM候选→通信时间窗→运输邻域→固定子问题MILP→外层候选库→严格三分区资格→择优独立复核。必须呈现Q3定稿前选择过程，不能在Q4复制中继后仍引用旧Q3。</w:t>
      </w:r>
    </w:p>
    <w:p>
      <w:pPr>
        <w:pStyle w:val="Heading2"/>
      </w:pPr>
      <w:r>
        <w:t>6.5 最终结果与代价</w:t>
      </w:r>
    </w:p>
    <w:p>
      <w:r>
        <w:t>最终25运输+4中继，6636.184296秒联合返回，75.068888kWh。较旧较快独立Q3多66.000000秒及0.340710kWh，运输架次变化-1，形成3个严格分量。解释这不是相同可行域的全局最优值比较。</w:t>
      </w:r>
    </w:p>
    <w:p>
      <w:pPr>
        <w:pStyle w:val="Heading2"/>
      </w:pPr>
      <w:r>
        <w:t>6.6 连续保障与压力试验</w:t>
      </w:r>
    </w:p>
    <w:p>
      <w:r>
        <w:t>给区间+边界核验及Excel回读、传播损耗、仅中继迟到、共同延迟各自结果。失败情景保留；不宣传任意迟到鲁棒。建议主图5幅：联合路线、运输/中继甘特、通信时序、候选兼容性、代表性链路/延迟压力图。25架运输高度和4架中继剖面入附录。</w:t>
      </w:r>
    </w:p>
    <w:p>
      <w:pPr>
        <w:pStyle w:val="Heading1"/>
      </w:pPr>
      <w:r>
        <w:t>第七章 问题四：严格冻结任务的分区及资源需求</w:t>
      </w:r>
    </w:p>
    <w:p>
      <w:pPr>
        <w:pStyle w:val="Heading2"/>
      </w:pPr>
      <w:r>
        <w:t>7.1 运输与中继双重依赖图</w:t>
      </w:r>
    </w:p>
    <w:p>
      <w:r>
        <w:t>同架次服务区必须同组，同源中继任务依赖也必须同组。给3个最终连通分量和不可拆证明；没有中继副本或跨组共享。</w:t>
      </w:r>
    </w:p>
    <w:p>
      <w:pPr>
        <w:pStyle w:val="Heading2"/>
      </w:pPr>
      <w:r>
        <w:t>7.2 全划分枚举与最少资源</w:t>
      </w:r>
    </w:p>
    <w:p>
      <w:r>
        <w:t>限制增长串枚举3个两组、1个三组；固定任务区间最大并发下界与达到下界的分配；独立最大匹配复核。电池占用延长至充满，中继机身延长至周转。</w:t>
      </w:r>
    </w:p>
    <w:p>
      <w:pPr>
        <w:pStyle w:val="Heading2"/>
      </w:pPr>
      <w:r>
        <w:t>7.3 资源缺口优先与均衡对照</w:t>
      </w:r>
    </w:p>
    <w:p>
      <w:r>
        <w:t>给逐类型缺口、总件数、工作量CV定义；指出总库存件数够不等于分型够。列全部4候选，主分区地图、逐类配置表，比较原库存、未分组最小配置、实际ID数量与分区额外成本。</w:t>
      </w:r>
    </w:p>
    <w:p>
      <w:pPr>
        <w:pStyle w:val="Heading2"/>
      </w:pPr>
      <w:r>
        <w:t>7.4 主结果与适用条件</w:t>
      </w:r>
    </w:p>
    <w:p>
      <w:r>
        <w:t>两组29件/缺口2件，三组35件/缺口7件。按型号补足后独立执行可行；无原库存可行分区。两种分区任务能耗/完工与最终Q3完全相同，是冻结继承的校验恒等式，不是重排优化结果。</w:t>
      </w:r>
    </w:p>
    <w:p>
      <w:r>
        <w:t>建议主图4幅：严格分量工作量、两/三组地图、库存缺口、全候选权衡；各组资源甘特入附录。主表包括不可拆单元、主分区、8类库存—需求—缺口。</w:t>
      </w:r>
    </w:p>
    <w:p>
      <w:pPr>
        <w:pStyle w:val="Heading1"/>
      </w:pPr>
      <w:r>
        <w:t>第八章 四问闭环核验、灵敏度与模型评价</w:t>
      </w:r>
    </w:p>
    <w:p>
      <w:pPr>
        <w:pStyle w:val="Heading2"/>
      </w:pPr>
      <w:r>
        <w:t>8.1 前向生成与反向复核</w:t>
      </w:r>
    </w:p>
    <w:p>
      <w:r>
        <w:t>源表→清洗→物理→方案→CSV→Excel→独立重构→报告/图件哈希。逐问说明第二套算法和错误注入测试，检查次数不当成概率置信度。</w:t>
      </w:r>
    </w:p>
    <w:p>
      <w:pPr>
        <w:pStyle w:val="Heading2"/>
      </w:pPr>
      <w:r>
        <w:t>8.2 严格继承一致性</w:t>
      </w:r>
    </w:p>
    <w:p>
      <w:r>
        <w:t>Q1/Q2数值保持，Q3改选候选明确记录，Q4每任务恰好一次、时间/能量/箱归属恒等、资源不跨组。说明并修复默认XLSX16位浮点边界问题。</w:t>
      </w:r>
    </w:p>
    <w:p>
      <w:pPr>
        <w:pStyle w:val="Heading2"/>
      </w:pPr>
      <w:r>
        <w:t>8.3 扰动试验统一矩阵</w:t>
      </w:r>
    </w:p>
    <w:p>
      <w:r>
        <w:t>重优化余量/能耗分项与冻结能耗/充电/延迟分列；0/1倍基准与主答案相符，失败点保留，分类型上界不合并成无条件可靠率。</w:t>
      </w:r>
    </w:p>
    <w:p>
      <w:pPr>
        <w:pStyle w:val="Heading2"/>
      </w:pPr>
      <w:r>
        <w:t>8.4 优点、局限和改进方向</w:t>
      </w:r>
    </w:p>
    <w:p>
      <w:r>
        <w:t>优点：需求身份守恒、公共物理统一、连续通信而非采样、严格任务继承与独立核验。局限：两个能耗分项补充、地形分辨率/局部坐标、候选和启发式最优性范围、确定性时限裕度、Q4依赖选定Q3。提出后续扩展但不声称已经实验验证。</w:t>
      </w:r>
    </w:p>
    <w:p>
      <w:pPr>
        <w:pStyle w:val="Heading1"/>
      </w:pPr>
      <w:r>
        <w:t>第九章 结论与提交说明</w:t>
      </w:r>
    </w:p>
    <w:p>
      <w:r>
        <w:t>逐问回答而非复述背景，列最终指标及限定条件。最后说明主工作簿与Q3配套必须一起交付，Q1累计时间和Q2/Q3最后返回定义；附件包含代码、环境、测试、原始与清洁数据、完整结果及图件。</w:t>
      </w:r>
    </w:p>
    <w:p>
      <w:pPr>
        <w:pStyle w:val="Heading1"/>
      </w:pPr>
      <w:r>
        <w:t>参考文献与附录</w:t>
      </w:r>
    </w:p>
    <w:p>
      <w:r>
        <w:t>参考文献以题面、附件说明及真正查阅的原始方法/官方文档为主，正文提及才引用；源背景不外推为当前新闻。后续使用用户LaTeX参考文献样式。附录A单位与字段字典；B全部载荷与组批；C逐箱与资源台账；D通信区间/边界证书；E全部候选分区及并发下界；F压力试验完整表；G伪代码/核心代码及版本；H图件索引和复现记录。</w:t>
      </w:r>
    </w:p>
    <w:p>
      <w:pPr>
        <w:pStyle w:val="Heading1"/>
      </w:pPr>
      <w:r>
        <w:t>图表选用与篇幅建议</w:t>
      </w:r>
    </w:p>
    <w:p>
      <w:r>
        <w:t>建议正文选约18—24幅关键信息图，不把147幅全部塞进正文。每幅图旁写“输入/规则—观察结果—能支持和不能支持的结论”。每类15/25条细剖面放补充附录或电子附件；图号按最终模板重新连续编号。所有中文PNG/SVG/PDF同源，LaTeX优先直接使用矢量PDF。</w:t>
      </w:r>
    </w:p>
    <w:p>
      <w:r>
        <w:t>paper/figure_catalog.csv给出逐图中文标题、路径、源表和绘图数值；paper/results_macros.tex由本轮JSON生成的结果宏，收到模板后引用而非手抄。主章节关键表优先从CSV程序化生成，避免调整正文后遗留旧的6570.184296或旧三组副本能耗。</w:t>
      </w:r>
    </w:p>
    <w:sectPr w:rsidR="00FC693F" w:rsidRPr="0006063C" w:rsidSect="00034616">
      <w:headerReference w:type="default" r:id="rId9"/>
      <w:footerReference w:type="default" r:id="rId10"/>
      <w:pgSz w:w="11906" w:h="16838"/>
      <w:pgMar w:top="992" w:right="1020" w:bottom="99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数学建模计算交付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D题  /  Q1—Q4：运输、中继、分区与核验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837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837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837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10_整体论文大纲与填充映射</dc:title>
  <dc:subject>题目原始数据上的可复现建模与核验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