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可靠性压力测试与失败情景</w:t>
      </w:r>
    </w:p>
    <w:p>
      <w:pPr>
        <w:pStyle w:val="Heading1"/>
      </w:pPr>
      <w:r>
        <w:t>1. 不混淆三类实验</w:t>
      </w:r>
    </w:p>
    <w:p>
      <w:r>
        <w:t>重优化实验指改变参数后重新求解，如Q1各档安全余量和能耗分项扰动；冻结排程压力测试只修改指定物理量并检查现有任务，不调路线/机身/开始时刻；纯诊断视图是对已求得结果按不同维度绘图，不构成新的优化试验。本包图件多，不能把每一张图称为一次独立随机实验。</w:t>
      </w:r>
    </w:p>
    <w:p>
      <w:pPr>
        <w:pStyle w:val="Heading1"/>
      </w:pPr>
      <w:r>
        <w:t>2. Q3额外传播损耗</w:t>
      </w:r>
    </w:p>
    <w:p>
      <w:r>
        <w:t>冻结运输及中继位置/时间，允许按题定直连优先规则在已部署单跳链路中重新选择。每个损耗档重解距离门限根并重建连续区间，不只是查原来中点。</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2466"/>
            <w:shd w:fill="EAF0F4"/>
          </w:tcPr>
          <w:p>
            <w:pPr>
              <w:spacing w:line="259" w:lineRule="auto" w:after="40" w:before="40"/>
            </w:pPr>
            <w:r>
              <w:rPr>
                <w:b/>
                <w:sz w:val="18"/>
              </w:rPr>
              <w:t>额外损耗/dB</w:t>
            </w:r>
          </w:p>
        </w:tc>
        <w:tc>
          <w:tcPr>
            <w:tcW w:type="dxa" w:w="2466"/>
            <w:shd w:fill="EAF0F4"/>
          </w:tcPr>
          <w:p>
            <w:pPr>
              <w:spacing w:line="259" w:lineRule="auto" w:after="40" w:before="40"/>
            </w:pPr>
            <w:r>
              <w:rPr>
                <w:b/>
                <w:sz w:val="18"/>
              </w:rPr>
              <w:t>累计断链/s</w:t>
            </w:r>
          </w:p>
        </w:tc>
        <w:tc>
          <w:tcPr>
            <w:tcW w:type="dxa" w:w="2466"/>
            <w:shd w:fill="EAF0F4"/>
          </w:tcPr>
          <w:p>
            <w:pPr>
              <w:spacing w:line="259" w:lineRule="auto" w:after="40" w:before="40"/>
            </w:pPr>
            <w:r>
              <w:rPr>
                <w:b/>
                <w:sz w:val="18"/>
              </w:rPr>
              <w:t>断链边界点</w:t>
            </w:r>
          </w:p>
        </w:tc>
        <w:tc>
          <w:tcPr>
            <w:tcW w:type="dxa" w:w="2466"/>
            <w:shd w:fill="EAF0F4"/>
          </w:tcPr>
          <w:p>
            <w:pPr>
              <w:spacing w:line="259" w:lineRule="auto" w:after="40" w:before="40"/>
            </w:pPr>
            <w:r>
              <w:rPr>
                <w:b/>
                <w:sz w:val="18"/>
              </w:rPr>
              <w:t>连续可行</w:t>
            </w:r>
          </w:p>
        </w:tc>
      </w:tr>
      <w:tr>
        <w:trPr>
          <w:cantSplit/>
        </w:trPr>
        <w:tc>
          <w:tcPr>
            <w:tcW w:type="dxa" w:w="2466"/>
          </w:tcPr>
          <w:p>
            <w:pPr>
              <w:spacing w:line="259" w:lineRule="auto" w:after="40" w:before="40"/>
            </w:pPr>
            <w:r>
              <w:rPr>
                <w:b w:val="0"/>
                <w:sz w:val="18"/>
              </w:rPr>
              <w:t>0.0</w:t>
            </w:r>
          </w:p>
        </w:tc>
        <w:tc>
          <w:tcPr>
            <w:tcW w:type="dxa" w:w="2466"/>
          </w:tcPr>
          <w:p>
            <w:pPr>
              <w:spacing w:line="259" w:lineRule="auto" w:after="40" w:before="40"/>
            </w:pPr>
            <w:r>
              <w:rPr>
                <w:b w:val="0"/>
                <w:sz w:val="18"/>
              </w:rPr>
              <w:t>0.000000</w:t>
            </w:r>
          </w:p>
        </w:tc>
        <w:tc>
          <w:tcPr>
            <w:tcW w:type="dxa" w:w="2466"/>
          </w:tcPr>
          <w:p>
            <w:pPr>
              <w:spacing w:line="259" w:lineRule="auto" w:after="40" w:before="40"/>
            </w:pPr>
            <w:r>
              <w:rPr>
                <w:b w:val="0"/>
                <w:sz w:val="18"/>
              </w:rPr>
              <w:t>0</w:t>
            </w:r>
          </w:p>
        </w:tc>
        <w:tc>
          <w:tcPr>
            <w:tcW w:type="dxa" w:w="2466"/>
          </w:tcPr>
          <w:p>
            <w:pPr>
              <w:spacing w:line="259" w:lineRule="auto" w:after="40" w:before="40"/>
            </w:pPr>
            <w:r>
              <w:rPr>
                <w:b w:val="0"/>
                <w:sz w:val="18"/>
              </w:rPr>
              <w:t>是</w:t>
            </w:r>
          </w:p>
        </w:tc>
      </w:tr>
      <w:tr>
        <w:trPr>
          <w:cantSplit/>
        </w:trPr>
        <w:tc>
          <w:tcPr>
            <w:tcW w:type="dxa" w:w="2466"/>
          </w:tcPr>
          <w:p>
            <w:pPr>
              <w:spacing w:line="259" w:lineRule="auto" w:after="40" w:before="40"/>
            </w:pPr>
            <w:r>
              <w:rPr>
                <w:b w:val="0"/>
                <w:sz w:val="18"/>
              </w:rPr>
              <w:t>0.05</w:t>
            </w:r>
          </w:p>
        </w:tc>
        <w:tc>
          <w:tcPr>
            <w:tcW w:type="dxa" w:w="2466"/>
          </w:tcPr>
          <w:p>
            <w:pPr>
              <w:spacing w:line="259" w:lineRule="auto" w:after="40" w:before="40"/>
            </w:pPr>
            <w:r>
              <w:rPr>
                <w:b w:val="0"/>
                <w:sz w:val="18"/>
              </w:rPr>
              <w:t>0.000000</w:t>
            </w:r>
          </w:p>
        </w:tc>
        <w:tc>
          <w:tcPr>
            <w:tcW w:type="dxa" w:w="2466"/>
          </w:tcPr>
          <w:p>
            <w:pPr>
              <w:spacing w:line="259" w:lineRule="auto" w:after="40" w:before="40"/>
            </w:pPr>
            <w:r>
              <w:rPr>
                <w:b w:val="0"/>
                <w:sz w:val="18"/>
              </w:rPr>
              <w:t>0</w:t>
            </w:r>
          </w:p>
        </w:tc>
        <w:tc>
          <w:tcPr>
            <w:tcW w:type="dxa" w:w="2466"/>
          </w:tcPr>
          <w:p>
            <w:pPr>
              <w:spacing w:line="259" w:lineRule="auto" w:after="40" w:before="40"/>
            </w:pPr>
            <w:r>
              <w:rPr>
                <w:b w:val="0"/>
                <w:sz w:val="18"/>
              </w:rPr>
              <w:t>是</w:t>
            </w:r>
          </w:p>
        </w:tc>
      </w:tr>
      <w:tr>
        <w:trPr>
          <w:cantSplit/>
        </w:trPr>
        <w:tc>
          <w:tcPr>
            <w:tcW w:type="dxa" w:w="2466"/>
          </w:tcPr>
          <w:p>
            <w:pPr>
              <w:spacing w:line="259" w:lineRule="auto" w:after="40" w:before="40"/>
            </w:pPr>
            <w:r>
              <w:rPr>
                <w:b w:val="0"/>
                <w:sz w:val="18"/>
              </w:rPr>
              <w:t>0.1</w:t>
            </w:r>
          </w:p>
        </w:tc>
        <w:tc>
          <w:tcPr>
            <w:tcW w:type="dxa" w:w="2466"/>
          </w:tcPr>
          <w:p>
            <w:pPr>
              <w:spacing w:line="259" w:lineRule="auto" w:after="40" w:before="40"/>
            </w:pPr>
            <w:r>
              <w:rPr>
                <w:b w:val="0"/>
                <w:sz w:val="18"/>
              </w:rPr>
              <w:t>0.000000</w:t>
            </w:r>
          </w:p>
        </w:tc>
        <w:tc>
          <w:tcPr>
            <w:tcW w:type="dxa" w:w="2466"/>
          </w:tcPr>
          <w:p>
            <w:pPr>
              <w:spacing w:line="259" w:lineRule="auto" w:after="40" w:before="40"/>
            </w:pPr>
            <w:r>
              <w:rPr>
                <w:b w:val="0"/>
                <w:sz w:val="18"/>
              </w:rPr>
              <w:t>0</w:t>
            </w:r>
          </w:p>
        </w:tc>
        <w:tc>
          <w:tcPr>
            <w:tcW w:type="dxa" w:w="2466"/>
          </w:tcPr>
          <w:p>
            <w:pPr>
              <w:spacing w:line="259" w:lineRule="auto" w:after="40" w:before="40"/>
            </w:pPr>
            <w:r>
              <w:rPr>
                <w:b w:val="0"/>
                <w:sz w:val="18"/>
              </w:rPr>
              <w:t>是</w:t>
            </w:r>
          </w:p>
        </w:tc>
      </w:tr>
      <w:tr>
        <w:trPr>
          <w:cantSplit/>
        </w:trPr>
        <w:tc>
          <w:tcPr>
            <w:tcW w:type="dxa" w:w="2466"/>
          </w:tcPr>
          <w:p>
            <w:pPr>
              <w:spacing w:line="259" w:lineRule="auto" w:after="40" w:before="40"/>
            </w:pPr>
            <w:r>
              <w:rPr>
                <w:b w:val="0"/>
                <w:sz w:val="18"/>
              </w:rPr>
              <w:t>0.2</w:t>
            </w:r>
          </w:p>
        </w:tc>
        <w:tc>
          <w:tcPr>
            <w:tcW w:type="dxa" w:w="2466"/>
          </w:tcPr>
          <w:p>
            <w:pPr>
              <w:spacing w:line="259" w:lineRule="auto" w:after="40" w:before="40"/>
            </w:pPr>
            <w:r>
              <w:rPr>
                <w:b w:val="0"/>
                <w:sz w:val="18"/>
              </w:rPr>
              <w:t>0.000000</w:t>
            </w:r>
          </w:p>
        </w:tc>
        <w:tc>
          <w:tcPr>
            <w:tcW w:type="dxa" w:w="2466"/>
          </w:tcPr>
          <w:p>
            <w:pPr>
              <w:spacing w:line="259" w:lineRule="auto" w:after="40" w:before="40"/>
            </w:pPr>
            <w:r>
              <w:rPr>
                <w:b w:val="0"/>
                <w:sz w:val="18"/>
              </w:rPr>
              <w:t>0</w:t>
            </w:r>
          </w:p>
        </w:tc>
        <w:tc>
          <w:tcPr>
            <w:tcW w:type="dxa" w:w="2466"/>
          </w:tcPr>
          <w:p>
            <w:pPr>
              <w:spacing w:line="259" w:lineRule="auto" w:after="40" w:before="40"/>
            </w:pPr>
            <w:r>
              <w:rPr>
                <w:b w:val="0"/>
                <w:sz w:val="18"/>
              </w:rPr>
              <w:t>是</w:t>
            </w:r>
          </w:p>
        </w:tc>
      </w:tr>
      <w:tr>
        <w:trPr>
          <w:cantSplit/>
        </w:trPr>
        <w:tc>
          <w:tcPr>
            <w:tcW w:type="dxa" w:w="2466"/>
          </w:tcPr>
          <w:p>
            <w:pPr>
              <w:spacing w:line="259" w:lineRule="auto" w:after="40" w:before="40"/>
            </w:pPr>
            <w:r>
              <w:rPr>
                <w:b w:val="0"/>
                <w:sz w:val="18"/>
              </w:rPr>
              <w:t>0.5</w:t>
            </w:r>
          </w:p>
        </w:tc>
        <w:tc>
          <w:tcPr>
            <w:tcW w:type="dxa" w:w="2466"/>
          </w:tcPr>
          <w:p>
            <w:pPr>
              <w:spacing w:line="259" w:lineRule="auto" w:after="40" w:before="40"/>
            </w:pPr>
            <w:r>
              <w:rPr>
                <w:b w:val="0"/>
                <w:sz w:val="18"/>
              </w:rPr>
              <w:t>1206.973568</w:t>
            </w:r>
          </w:p>
        </w:tc>
        <w:tc>
          <w:tcPr>
            <w:tcW w:type="dxa" w:w="2466"/>
          </w:tcPr>
          <w:p>
            <w:pPr>
              <w:spacing w:line="259" w:lineRule="auto" w:after="40" w:before="40"/>
            </w:pPr>
            <w:r>
              <w:rPr>
                <w:b w:val="0"/>
                <w:sz w:val="18"/>
              </w:rPr>
              <w:t>39</w:t>
            </w:r>
          </w:p>
        </w:tc>
        <w:tc>
          <w:tcPr>
            <w:tcW w:type="dxa" w:w="2466"/>
          </w:tcPr>
          <w:p>
            <w:pPr>
              <w:spacing w:line="259" w:lineRule="auto" w:after="40" w:before="40"/>
            </w:pPr>
            <w:r>
              <w:rPr>
                <w:b w:val="0"/>
                <w:sz w:val="18"/>
              </w:rPr>
              <w:t>否</w:t>
            </w:r>
          </w:p>
        </w:tc>
      </w:tr>
      <w:tr>
        <w:trPr>
          <w:cantSplit/>
        </w:trPr>
        <w:tc>
          <w:tcPr>
            <w:tcW w:type="dxa" w:w="2466"/>
          </w:tcPr>
          <w:p>
            <w:pPr>
              <w:spacing w:line="259" w:lineRule="auto" w:after="40" w:before="40"/>
            </w:pPr>
            <w:r>
              <w:rPr>
                <w:b w:val="0"/>
                <w:sz w:val="18"/>
              </w:rPr>
              <w:t>1.0</w:t>
            </w:r>
          </w:p>
        </w:tc>
        <w:tc>
          <w:tcPr>
            <w:tcW w:type="dxa" w:w="2466"/>
          </w:tcPr>
          <w:p>
            <w:pPr>
              <w:spacing w:line="259" w:lineRule="auto" w:after="40" w:before="40"/>
            </w:pPr>
            <w:r>
              <w:rPr>
                <w:b w:val="0"/>
                <w:sz w:val="18"/>
              </w:rPr>
              <w:t>4840.962646</w:t>
            </w:r>
          </w:p>
        </w:tc>
        <w:tc>
          <w:tcPr>
            <w:tcW w:type="dxa" w:w="2466"/>
          </w:tcPr>
          <w:p>
            <w:pPr>
              <w:spacing w:line="259" w:lineRule="auto" w:after="40" w:before="40"/>
            </w:pPr>
            <w:r>
              <w:rPr>
                <w:b w:val="0"/>
                <w:sz w:val="18"/>
              </w:rPr>
              <w:t>140</w:t>
            </w:r>
          </w:p>
        </w:tc>
        <w:tc>
          <w:tcPr>
            <w:tcW w:type="dxa" w:w="2466"/>
          </w:tcPr>
          <w:p>
            <w:pPr>
              <w:spacing w:line="259" w:lineRule="auto" w:after="40" w:before="40"/>
            </w:pPr>
            <w:r>
              <w:rPr>
                <w:b w:val="0"/>
                <w:sz w:val="18"/>
              </w:rPr>
              <w:t>否</w:t>
            </w:r>
          </w:p>
        </w:tc>
      </w:tr>
      <w:tr>
        <w:trPr>
          <w:cantSplit/>
        </w:trPr>
        <w:tc>
          <w:tcPr>
            <w:tcW w:type="dxa" w:w="2466"/>
          </w:tcPr>
          <w:p>
            <w:pPr>
              <w:spacing w:line="259" w:lineRule="auto" w:after="40" w:before="40"/>
            </w:pPr>
            <w:r>
              <w:rPr>
                <w:b w:val="0"/>
                <w:sz w:val="18"/>
              </w:rPr>
              <w:t>2.0</w:t>
            </w:r>
          </w:p>
        </w:tc>
        <w:tc>
          <w:tcPr>
            <w:tcW w:type="dxa" w:w="2466"/>
          </w:tcPr>
          <w:p>
            <w:pPr>
              <w:spacing w:line="259" w:lineRule="auto" w:after="40" w:before="40"/>
            </w:pPr>
            <w:r>
              <w:rPr>
                <w:b w:val="0"/>
                <w:sz w:val="18"/>
              </w:rPr>
              <w:t>11658.119275</w:t>
            </w:r>
          </w:p>
        </w:tc>
        <w:tc>
          <w:tcPr>
            <w:tcW w:type="dxa" w:w="2466"/>
          </w:tcPr>
          <w:p>
            <w:pPr>
              <w:spacing w:line="259" w:lineRule="auto" w:after="40" w:before="40"/>
            </w:pPr>
            <w:r>
              <w:rPr>
                <w:b w:val="0"/>
                <w:sz w:val="18"/>
              </w:rPr>
              <w:t>277</w:t>
            </w:r>
          </w:p>
        </w:tc>
        <w:tc>
          <w:tcPr>
            <w:tcW w:type="dxa" w:w="2466"/>
          </w:tcPr>
          <w:p>
            <w:pPr>
              <w:spacing w:line="259" w:lineRule="auto" w:after="40" w:before="40"/>
            </w:pPr>
            <w:r>
              <w:rPr>
                <w:b w:val="0"/>
                <w:sz w:val="18"/>
              </w:rPr>
              <w:t>否</w:t>
            </w:r>
          </w:p>
        </w:tc>
      </w:tr>
    </w:tbl>
    <w:p>
      <w:pPr>
        <w:spacing w:after="40"/>
      </w:pPr>
    </w:p>
    <w:p>
      <w:pPr>
        <w:keepNext/>
        <w:jc w:val="center"/>
      </w:pPr>
      <w:r>
        <w:drawing>
          <wp:inline xmlns:a="http://schemas.openxmlformats.org/drawingml/2006/main" xmlns:pic="http://schemas.openxmlformats.org/drawingml/2006/picture">
            <wp:extent cx="6080760" cy="3326449"/>
            <wp:docPr id="1" name="Picture 1"/>
            <wp:cNvGraphicFramePr>
              <a:graphicFrameLocks noChangeAspect="1"/>
            </wp:cNvGraphicFramePr>
            <a:graphic>
              <a:graphicData uri="http://schemas.openxmlformats.org/drawingml/2006/picture">
                <pic:pic>
                  <pic:nvPicPr>
                    <pic:cNvPr id="0" name="propagation_loss.png"/>
                    <pic:cNvPicPr/>
                  </pic:nvPicPr>
                  <pic:blipFill>
                    <a:blip r:embed="rId11"/>
                    <a:stretch>
                      <a:fillRect/>
                    </a:stretch>
                  </pic:blipFill>
                  <pic:spPr>
                    <a:xfrm>
                      <a:off x="0" y="0"/>
                      <a:ext cx="6080760" cy="3326449"/>
                    </a:xfrm>
                    <a:prstGeom prst="rect"/>
                  </pic:spPr>
                </pic:pic>
              </a:graphicData>
            </a:graphic>
          </wp:inline>
        </w:drawing>
      </w:r>
    </w:p>
    <w:p>
      <w:pPr>
        <w:jc w:val="center"/>
      </w:pPr>
      <w:r>
        <w:rPr>
          <w:i/>
          <w:sz w:val="18"/>
        </w:rPr>
        <w:t>传播损耗压力测试</w:t>
      </w:r>
    </w:p>
    <w:p>
      <w:r>
        <w:t>最大已测试通过值0.200000dB只说明该测试维度；不证明未测试区间或真实干扰分布的可靠率。0损耗基准应完全通过，否则不得提交。</w:t>
      </w:r>
    </w:p>
    <w:p>
      <w:pPr>
        <w:pStyle w:val="Heading1"/>
      </w:pPr>
      <w:r>
        <w:t>3. 延迟情景不可互相替代</w:t>
      </w:r>
    </w:p>
    <w:p>
      <w:r>
        <w:t>全部运输、中继、充电共同平移时相对通信和资源关系不变，硬截止固定。当前最紧硬时限裕度为338.499732秒；这是统一平移的边界，不是某架中继单独迟到的边界。仅中继晚到、原通信分配不变的结果如下：</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2466"/>
            <w:shd w:fill="EAF0F4"/>
          </w:tcPr>
          <w:p>
            <w:pPr>
              <w:spacing w:line="259" w:lineRule="auto" w:after="40" w:before="40"/>
            </w:pPr>
            <w:r>
              <w:rPr>
                <w:b/>
                <w:sz w:val="18"/>
              </w:rPr>
              <w:t>中继单独延迟/s</w:t>
            </w:r>
          </w:p>
        </w:tc>
        <w:tc>
          <w:tcPr>
            <w:tcW w:type="dxa" w:w="2466"/>
            <w:shd w:fill="EAF0F4"/>
          </w:tcPr>
          <w:p>
            <w:pPr>
              <w:spacing w:line="259" w:lineRule="auto" w:after="40" w:before="40"/>
            </w:pPr>
            <w:r>
              <w:rPr>
                <w:b/>
                <w:sz w:val="18"/>
              </w:rPr>
              <w:t>未覆盖累计区间/s</w:t>
            </w:r>
          </w:p>
        </w:tc>
        <w:tc>
          <w:tcPr>
            <w:tcW w:type="dxa" w:w="2466"/>
            <w:shd w:fill="EAF0F4"/>
          </w:tcPr>
          <w:p>
            <w:pPr>
              <w:spacing w:line="259" w:lineRule="auto" w:after="40" w:before="40"/>
            </w:pPr>
            <w:r>
              <w:rPr>
                <w:b/>
                <w:sz w:val="18"/>
              </w:rPr>
              <w:t>未覆盖边界点</w:t>
            </w:r>
          </w:p>
        </w:tc>
        <w:tc>
          <w:tcPr>
            <w:tcW w:type="dxa" w:w="2466"/>
            <w:shd w:fill="EAF0F4"/>
          </w:tcPr>
          <w:p>
            <w:pPr>
              <w:spacing w:line="259" w:lineRule="auto" w:after="40" w:before="40"/>
            </w:pPr>
            <w:r>
              <w:rPr>
                <w:b/>
                <w:sz w:val="18"/>
              </w:rPr>
              <w:t>原分配可行</w:t>
            </w:r>
          </w:p>
        </w:tc>
      </w:tr>
      <w:tr>
        <w:trPr>
          <w:cantSplit/>
        </w:trPr>
        <w:tc>
          <w:tcPr>
            <w:tcW w:type="dxa" w:w="2466"/>
          </w:tcPr>
          <w:p>
            <w:pPr>
              <w:spacing w:line="259" w:lineRule="auto" w:after="40" w:before="40"/>
            </w:pPr>
            <w:r>
              <w:rPr>
                <w:b w:val="0"/>
                <w:sz w:val="18"/>
              </w:rPr>
              <w:t>0.0</w:t>
            </w:r>
          </w:p>
        </w:tc>
        <w:tc>
          <w:tcPr>
            <w:tcW w:type="dxa" w:w="2466"/>
          </w:tcPr>
          <w:p>
            <w:pPr>
              <w:spacing w:line="259" w:lineRule="auto" w:after="40" w:before="40"/>
            </w:pPr>
            <w:r>
              <w:rPr>
                <w:b w:val="0"/>
                <w:sz w:val="18"/>
              </w:rPr>
              <w:t>0.000000</w:t>
            </w:r>
          </w:p>
        </w:tc>
        <w:tc>
          <w:tcPr>
            <w:tcW w:type="dxa" w:w="2466"/>
          </w:tcPr>
          <w:p>
            <w:pPr>
              <w:spacing w:line="259" w:lineRule="auto" w:after="40" w:before="40"/>
            </w:pPr>
            <w:r>
              <w:rPr>
                <w:b w:val="0"/>
                <w:sz w:val="18"/>
              </w:rPr>
              <w:t>0</w:t>
            </w:r>
          </w:p>
        </w:tc>
        <w:tc>
          <w:tcPr>
            <w:tcW w:type="dxa" w:w="2466"/>
          </w:tcPr>
          <w:p>
            <w:pPr>
              <w:spacing w:line="259" w:lineRule="auto" w:after="40" w:before="40"/>
            </w:pPr>
            <w:r>
              <w:rPr>
                <w:b w:val="0"/>
                <w:sz w:val="18"/>
              </w:rPr>
              <w:t>是</w:t>
            </w:r>
          </w:p>
        </w:tc>
      </w:tr>
      <w:tr>
        <w:trPr>
          <w:cantSplit/>
        </w:trPr>
        <w:tc>
          <w:tcPr>
            <w:tcW w:type="dxa" w:w="2466"/>
          </w:tcPr>
          <w:p>
            <w:pPr>
              <w:spacing w:line="259" w:lineRule="auto" w:after="40" w:before="40"/>
            </w:pPr>
            <w:r>
              <w:rPr>
                <w:b w:val="0"/>
                <w:sz w:val="18"/>
              </w:rPr>
              <w:t>1.0</w:t>
            </w:r>
          </w:p>
        </w:tc>
        <w:tc>
          <w:tcPr>
            <w:tcW w:type="dxa" w:w="2466"/>
          </w:tcPr>
          <w:p>
            <w:pPr>
              <w:spacing w:line="259" w:lineRule="auto" w:after="40" w:before="40"/>
            </w:pPr>
            <w:r>
              <w:rPr>
                <w:b w:val="0"/>
                <w:sz w:val="18"/>
              </w:rPr>
              <w:t>0.000000</w:t>
            </w:r>
          </w:p>
        </w:tc>
        <w:tc>
          <w:tcPr>
            <w:tcW w:type="dxa" w:w="2466"/>
          </w:tcPr>
          <w:p>
            <w:pPr>
              <w:spacing w:line="259" w:lineRule="auto" w:after="40" w:before="40"/>
            </w:pPr>
            <w:r>
              <w:rPr>
                <w:b w:val="0"/>
                <w:sz w:val="18"/>
              </w:rPr>
              <w:t>0</w:t>
            </w:r>
          </w:p>
        </w:tc>
        <w:tc>
          <w:tcPr>
            <w:tcW w:type="dxa" w:w="2466"/>
          </w:tcPr>
          <w:p>
            <w:pPr>
              <w:spacing w:line="259" w:lineRule="auto" w:after="40" w:before="40"/>
            </w:pPr>
            <w:r>
              <w:rPr>
                <w:b w:val="0"/>
                <w:sz w:val="18"/>
              </w:rPr>
              <w:t>是</w:t>
            </w:r>
          </w:p>
        </w:tc>
      </w:tr>
      <w:tr>
        <w:trPr>
          <w:cantSplit/>
        </w:trPr>
        <w:tc>
          <w:tcPr>
            <w:tcW w:type="dxa" w:w="2466"/>
          </w:tcPr>
          <w:p>
            <w:pPr>
              <w:spacing w:line="259" w:lineRule="auto" w:after="40" w:before="40"/>
            </w:pPr>
            <w:r>
              <w:rPr>
                <w:b w:val="0"/>
                <w:sz w:val="18"/>
              </w:rPr>
              <w:t>2.0</w:t>
            </w:r>
          </w:p>
        </w:tc>
        <w:tc>
          <w:tcPr>
            <w:tcW w:type="dxa" w:w="2466"/>
          </w:tcPr>
          <w:p>
            <w:pPr>
              <w:spacing w:line="259" w:lineRule="auto" w:after="40" w:before="40"/>
            </w:pPr>
            <w:r>
              <w:rPr>
                <w:b w:val="0"/>
                <w:sz w:val="18"/>
              </w:rPr>
              <w:t>3.000000</w:t>
            </w:r>
          </w:p>
        </w:tc>
        <w:tc>
          <w:tcPr>
            <w:tcW w:type="dxa" w:w="2466"/>
          </w:tcPr>
          <w:p>
            <w:pPr>
              <w:spacing w:line="259" w:lineRule="auto" w:after="40" w:before="40"/>
            </w:pPr>
            <w:r>
              <w:rPr>
                <w:b w:val="0"/>
                <w:sz w:val="18"/>
              </w:rPr>
              <w:t>1</w:t>
            </w:r>
          </w:p>
        </w:tc>
        <w:tc>
          <w:tcPr>
            <w:tcW w:type="dxa" w:w="2466"/>
          </w:tcPr>
          <w:p>
            <w:pPr>
              <w:spacing w:line="259" w:lineRule="auto" w:after="40" w:before="40"/>
            </w:pPr>
            <w:r>
              <w:rPr>
                <w:b w:val="0"/>
                <w:sz w:val="18"/>
              </w:rPr>
              <w:t>否</w:t>
            </w:r>
          </w:p>
        </w:tc>
      </w:tr>
      <w:tr>
        <w:trPr>
          <w:cantSplit/>
        </w:trPr>
        <w:tc>
          <w:tcPr>
            <w:tcW w:type="dxa" w:w="2466"/>
          </w:tcPr>
          <w:p>
            <w:pPr>
              <w:spacing w:line="259" w:lineRule="auto" w:after="40" w:before="40"/>
            </w:pPr>
            <w:r>
              <w:rPr>
                <w:b w:val="0"/>
                <w:sz w:val="18"/>
              </w:rPr>
              <w:t>3.0</w:t>
            </w:r>
          </w:p>
        </w:tc>
        <w:tc>
          <w:tcPr>
            <w:tcW w:type="dxa" w:w="2466"/>
          </w:tcPr>
          <w:p>
            <w:pPr>
              <w:spacing w:line="259" w:lineRule="auto" w:after="40" w:before="40"/>
            </w:pPr>
            <w:r>
              <w:rPr>
                <w:b w:val="0"/>
                <w:sz w:val="18"/>
              </w:rPr>
              <w:t>6.000000</w:t>
            </w:r>
          </w:p>
        </w:tc>
        <w:tc>
          <w:tcPr>
            <w:tcW w:type="dxa" w:w="2466"/>
          </w:tcPr>
          <w:p>
            <w:pPr>
              <w:spacing w:line="259" w:lineRule="auto" w:after="40" w:before="40"/>
            </w:pPr>
            <w:r>
              <w:rPr>
                <w:b w:val="0"/>
                <w:sz w:val="18"/>
              </w:rPr>
              <w:t>1</w:t>
            </w:r>
          </w:p>
        </w:tc>
        <w:tc>
          <w:tcPr>
            <w:tcW w:type="dxa" w:w="2466"/>
          </w:tcPr>
          <w:p>
            <w:pPr>
              <w:spacing w:line="259" w:lineRule="auto" w:after="40" w:before="40"/>
            </w:pPr>
            <w:r>
              <w:rPr>
                <w:b w:val="0"/>
                <w:sz w:val="18"/>
              </w:rPr>
              <w:t>否</w:t>
            </w:r>
          </w:p>
        </w:tc>
      </w:tr>
      <w:tr>
        <w:trPr>
          <w:cantSplit/>
        </w:trPr>
        <w:tc>
          <w:tcPr>
            <w:tcW w:type="dxa" w:w="2466"/>
          </w:tcPr>
          <w:p>
            <w:pPr>
              <w:spacing w:line="259" w:lineRule="auto" w:after="40" w:before="40"/>
            </w:pPr>
            <w:r>
              <w:rPr>
                <w:b w:val="0"/>
                <w:sz w:val="18"/>
              </w:rPr>
              <w:t>5.0</w:t>
            </w:r>
          </w:p>
        </w:tc>
        <w:tc>
          <w:tcPr>
            <w:tcW w:type="dxa" w:w="2466"/>
          </w:tcPr>
          <w:p>
            <w:pPr>
              <w:spacing w:line="259" w:lineRule="auto" w:after="40" w:before="40"/>
            </w:pPr>
            <w:r>
              <w:rPr>
                <w:b w:val="0"/>
                <w:sz w:val="18"/>
              </w:rPr>
              <w:t>12.277397</w:t>
            </w:r>
          </w:p>
        </w:tc>
        <w:tc>
          <w:tcPr>
            <w:tcW w:type="dxa" w:w="2466"/>
          </w:tcPr>
          <w:p>
            <w:pPr>
              <w:spacing w:line="259" w:lineRule="auto" w:after="40" w:before="40"/>
            </w:pPr>
            <w:r>
              <w:rPr>
                <w:b w:val="0"/>
                <w:sz w:val="18"/>
              </w:rPr>
              <w:t>1</w:t>
            </w:r>
          </w:p>
        </w:tc>
        <w:tc>
          <w:tcPr>
            <w:tcW w:type="dxa" w:w="2466"/>
          </w:tcPr>
          <w:p>
            <w:pPr>
              <w:spacing w:line="259" w:lineRule="auto" w:after="40" w:before="40"/>
            </w:pPr>
            <w:r>
              <w:rPr>
                <w:b w:val="0"/>
                <w:sz w:val="18"/>
              </w:rPr>
              <w:t>否</w:t>
            </w:r>
          </w:p>
        </w:tc>
      </w:tr>
      <w:tr>
        <w:trPr>
          <w:cantSplit/>
        </w:trPr>
        <w:tc>
          <w:tcPr>
            <w:tcW w:type="dxa" w:w="2466"/>
          </w:tcPr>
          <w:p>
            <w:pPr>
              <w:spacing w:line="259" w:lineRule="auto" w:after="40" w:before="40"/>
            </w:pPr>
            <w:r>
              <w:rPr>
                <w:b w:val="0"/>
                <w:sz w:val="18"/>
              </w:rPr>
              <w:t>10.0</w:t>
            </w:r>
          </w:p>
        </w:tc>
        <w:tc>
          <w:tcPr>
            <w:tcW w:type="dxa" w:w="2466"/>
          </w:tcPr>
          <w:p>
            <w:pPr>
              <w:spacing w:line="259" w:lineRule="auto" w:after="40" w:before="40"/>
            </w:pPr>
            <w:r>
              <w:rPr>
                <w:b w:val="0"/>
                <w:sz w:val="18"/>
              </w:rPr>
              <w:t>36.694104</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否</w:t>
            </w:r>
          </w:p>
        </w:tc>
      </w:tr>
      <w:tr>
        <w:trPr>
          <w:cantSplit/>
        </w:trPr>
        <w:tc>
          <w:tcPr>
            <w:tcW w:type="dxa" w:w="2466"/>
          </w:tcPr>
          <w:p>
            <w:pPr>
              <w:spacing w:line="259" w:lineRule="auto" w:after="40" w:before="40"/>
            </w:pPr>
            <w:r>
              <w:rPr>
                <w:b w:val="0"/>
                <w:sz w:val="18"/>
              </w:rPr>
              <w:t>30.0</w:t>
            </w:r>
          </w:p>
        </w:tc>
        <w:tc>
          <w:tcPr>
            <w:tcW w:type="dxa" w:w="2466"/>
          </w:tcPr>
          <w:p>
            <w:pPr>
              <w:spacing w:line="259" w:lineRule="auto" w:after="40" w:before="40"/>
            </w:pPr>
            <w:r>
              <w:rPr>
                <w:b w:val="0"/>
                <w:sz w:val="18"/>
              </w:rPr>
              <w:t>156.694104</w:t>
            </w:r>
          </w:p>
        </w:tc>
        <w:tc>
          <w:tcPr>
            <w:tcW w:type="dxa" w:w="2466"/>
          </w:tcPr>
          <w:p>
            <w:pPr>
              <w:spacing w:line="259" w:lineRule="auto" w:after="40" w:before="40"/>
            </w:pPr>
            <w:r>
              <w:rPr>
                <w:b w:val="0"/>
                <w:sz w:val="18"/>
              </w:rPr>
              <w:t>6</w:t>
            </w:r>
          </w:p>
        </w:tc>
        <w:tc>
          <w:tcPr>
            <w:tcW w:type="dxa" w:w="2466"/>
          </w:tcPr>
          <w:p>
            <w:pPr>
              <w:spacing w:line="259" w:lineRule="auto" w:after="40" w:before="40"/>
            </w:pPr>
            <w:r>
              <w:rPr>
                <w:b w:val="0"/>
                <w:sz w:val="18"/>
              </w:rPr>
              <w:t>否</w:t>
            </w:r>
          </w:p>
        </w:tc>
      </w:tr>
    </w:tbl>
    <w:p>
      <w:pPr>
        <w:spacing w:after="40"/>
      </w:pPr>
    </w:p>
    <w:p>
      <w:pPr>
        <w:keepNext/>
        <w:jc w:val="center"/>
      </w:pPr>
      <w:r>
        <w:drawing>
          <wp:inline xmlns:a="http://schemas.openxmlformats.org/drawingml/2006/main" xmlns:pic="http://schemas.openxmlformats.org/drawingml/2006/picture">
            <wp:extent cx="6080760" cy="3326449"/>
            <wp:docPr id="2" name="Picture 2"/>
            <wp:cNvGraphicFramePr>
              <a:graphicFrameLocks noChangeAspect="1"/>
            </wp:cNvGraphicFramePr>
            <a:graphic>
              <a:graphicData uri="http://schemas.openxmlformats.org/drawingml/2006/picture">
                <pic:pic>
                  <pic:nvPicPr>
                    <pic:cNvPr id="0" name="relay_delay.png"/>
                    <pic:cNvPicPr/>
                  </pic:nvPicPr>
                  <pic:blipFill>
                    <a:blip r:embed="rId12"/>
                    <a:stretch>
                      <a:fillRect/>
                    </a:stretch>
                  </pic:blipFill>
                  <pic:spPr>
                    <a:xfrm>
                      <a:off x="0" y="0"/>
                      <a:ext cx="6080760" cy="3326449"/>
                    </a:xfrm>
                    <a:prstGeom prst="rect"/>
                  </pic:spPr>
                </pic:pic>
              </a:graphicData>
            </a:graphic>
          </wp:inline>
        </w:drawing>
      </w:r>
    </w:p>
    <w:p>
      <w:pPr>
        <w:jc w:val="center"/>
      </w:pPr>
      <w:r>
        <w:rPr>
          <w:i/>
          <w:sz w:val="18"/>
        </w:rPr>
        <w:t>中继单独迟到诊断</w:t>
      </w:r>
    </w:p>
    <w:p>
      <w:r>
        <w:t>不同运输机保障时间累加可大于日历时间，不把它误解为一个全局断网窗口。原分配失败也不自动证明允许重新选链路后仍失败；两种检验必须区别。</w:t>
      </w:r>
    </w:p>
    <w:p>
      <w:pPr>
        <w:pStyle w:val="Heading1"/>
      </w:pPr>
      <w:r>
        <w:t>4. 运输能耗与充电速度压力测试</w:t>
      </w:r>
    </w:p>
    <w:p>
      <w:r>
        <w:t>新增24组能耗倍率场景、20组充电时间倍率场景，均分别作用于Q2和最终Q3。能耗增加时重新计算返航SOC和同一电池从该SOC充满所需时间，再检查下一次任务能否开始。仅充电倍率试验不改变飞行能耗。二者均冻结任务与资源分配，不宣称是重优化后的最优方案。</w:t>
      </w:r>
    </w:p>
    <w:p>
      <w:r>
        <w:t>新增122组共同延迟细网格场景，每问0至600秒、10秒一步，统计硬截止与普通期望逾期货箱数。失败点以违约数量和负裕度保存，不能删去后声称全场景可行。每个运输架次另给只针对SOC约束的能耗放大上界，不能代替含充电/通信的鲁棒上界。</w:t>
      </w:r>
    </w:p>
    <w:p>
      <w:pPr>
        <w:keepNext/>
        <w:jc w:val="center"/>
      </w:pPr>
      <w:r>
        <w:drawing>
          <wp:inline xmlns:a="http://schemas.openxmlformats.org/drawingml/2006/main" xmlns:pic="http://schemas.openxmlformats.org/drawingml/2006/picture">
            <wp:extent cx="6080760" cy="3326449"/>
            <wp:docPr id="3" name="Picture 3"/>
            <wp:cNvGraphicFramePr>
              <a:graphicFrameLocks noChangeAspect="1"/>
            </wp:cNvGraphicFramePr>
            <a:graphic>
              <a:graphicData uri="http://schemas.openxmlformats.org/drawingml/2006/picture">
                <pic:pic>
                  <pic:nvPicPr>
                    <pic:cNvPr id="0" name="energy_soc.png"/>
                    <pic:cNvPicPr/>
                  </pic:nvPicPr>
                  <pic:blipFill>
                    <a:blip r:embed="rId13"/>
                    <a:stretch>
                      <a:fillRect/>
                    </a:stretch>
                  </pic:blipFill>
                  <pic:spPr>
                    <a:xfrm>
                      <a:off x="0" y="0"/>
                      <a:ext cx="6080760" cy="3326449"/>
                    </a:xfrm>
                    <a:prstGeom prst="rect"/>
                  </pic:spPr>
                </pic:pic>
              </a:graphicData>
            </a:graphic>
          </wp:inline>
        </w:drawing>
      </w:r>
    </w:p>
    <w:p>
      <w:pPr>
        <w:jc w:val="center"/>
      </w:pPr>
      <w:r>
        <w:rPr>
          <w:i/>
          <w:sz w:val="18"/>
        </w:rPr>
        <w:t>能耗倍率与SOC</w:t>
      </w:r>
    </w:p>
    <w:p>
      <w:pPr>
        <w:keepNext/>
        <w:jc w:val="center"/>
      </w:pPr>
      <w:r>
        <w:drawing>
          <wp:inline xmlns:a="http://schemas.openxmlformats.org/drawingml/2006/main" xmlns:pic="http://schemas.openxmlformats.org/drawingml/2006/picture">
            <wp:extent cx="6080760" cy="3326449"/>
            <wp:docPr id="4" name="Picture 4"/>
            <wp:cNvGraphicFramePr>
              <a:graphicFrameLocks noChangeAspect="1"/>
            </wp:cNvGraphicFramePr>
            <a:graphic>
              <a:graphicData uri="http://schemas.openxmlformats.org/drawingml/2006/picture">
                <pic:pic>
                  <pic:nvPicPr>
                    <pic:cNvPr id="0" name="charge_slack.png"/>
                    <pic:cNvPicPr/>
                  </pic:nvPicPr>
                  <pic:blipFill>
                    <a:blip r:embed="rId14"/>
                    <a:stretch>
                      <a:fillRect/>
                    </a:stretch>
                  </pic:blipFill>
                  <pic:spPr>
                    <a:xfrm>
                      <a:off x="0" y="0"/>
                      <a:ext cx="6080760" cy="3326449"/>
                    </a:xfrm>
                    <a:prstGeom prst="rect"/>
                  </pic:spPr>
                </pic:pic>
              </a:graphicData>
            </a:graphic>
          </wp:inline>
        </w:drawing>
      </w:r>
    </w:p>
    <w:p>
      <w:pPr>
        <w:jc w:val="center"/>
      </w:pPr>
      <w:r>
        <w:rPr>
          <w:i/>
          <w:sz w:val="18"/>
        </w:rPr>
        <w:t>充电倍率与资源裕度</w:t>
      </w:r>
    </w:p>
    <w:p>
      <w:pPr>
        <w:keepNext/>
        <w:jc w:val="center"/>
      </w:pPr>
      <w:r>
        <w:drawing>
          <wp:inline xmlns:a="http://schemas.openxmlformats.org/drawingml/2006/main" xmlns:pic="http://schemas.openxmlformats.org/drawingml/2006/picture">
            <wp:extent cx="6080760" cy="3326449"/>
            <wp:docPr id="5" name="Picture 5"/>
            <wp:cNvGraphicFramePr>
              <a:graphicFrameLocks noChangeAspect="1"/>
            </wp:cNvGraphicFramePr>
            <a:graphic>
              <a:graphicData uri="http://schemas.openxmlformats.org/drawingml/2006/picture">
                <pic:pic>
                  <pic:nvPicPr>
                    <pic:cNvPr id="0" name="delay_slack.png"/>
                    <pic:cNvPicPr/>
                  </pic:nvPicPr>
                  <pic:blipFill>
                    <a:blip r:embed="rId15"/>
                    <a:stretch>
                      <a:fillRect/>
                    </a:stretch>
                  </pic:blipFill>
                  <pic:spPr>
                    <a:xfrm>
                      <a:off x="0" y="0"/>
                      <a:ext cx="6080760" cy="3326449"/>
                    </a:xfrm>
                    <a:prstGeom prst="rect"/>
                  </pic:spPr>
                </pic:pic>
              </a:graphicData>
            </a:graphic>
          </wp:inline>
        </w:drawing>
      </w:r>
    </w:p>
    <w:p>
      <w:pPr>
        <w:jc w:val="center"/>
      </w:pPr>
      <w:r>
        <w:rPr>
          <w:i/>
          <w:sz w:val="18"/>
        </w:rPr>
        <w:t>共同延迟与硬期限</w:t>
      </w:r>
    </w:p>
    <w:p>
      <w:pPr>
        <w:pStyle w:val="Heading1"/>
      </w:pPr>
      <w:r>
        <w:t>5. 结果使用限制</w:t>
      </w:r>
    </w:p>
    <w:p>
      <w:r>
        <w:t>Q2最紧硬裕度2.328362秒，明显比最终Q3小。不能将两个不同任务方案的这个差解释为通信本身提高鲁棒性的因果效应。Q3不同候选的目标与路线均可能变化，本项目只报告各自的可测裕度。无风速/随机作业时间的实测分布，不虚构蒙特卡洛可靠率、置信区间或大样本实验。</w:t>
      </w:r>
    </w:p>
    <w:p>
      <w:r>
        <w:t>全部试验源表位于results/closure和results/q3。中文图中的扰动横轴是人为测试参数，不是原始附件观测；参考0/1倍基准与正式答案数值一致。</w:t>
      </w:r>
    </w:p>
    <w:sectPr w:rsidR="00FC693F" w:rsidRPr="0006063C" w:rsidSect="00034616">
      <w:headerReference w:type="default" r:id="rId9"/>
      <w:footerReference w:type="default" r:id="rId10"/>
      <w:pgSz w:w="11906" w:h="16838"/>
      <w:pgMar w:top="992" w:right="1020" w:bottom="99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数学建模计算交付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D题  /  Q1—Q4：运输、中继、分区与核验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837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8374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837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07_可靠性压力测试与失败情景</dc:title>
  <dc:subject>题目原始数据上的可复现建模与核验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