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第四问：严格保持第三问任务的分区与资源配置</w:t>
      </w:r>
    </w:p>
    <w:p>
      <w:pPr>
        <w:pStyle w:val="Heading1"/>
      </w:pPr>
      <w:r>
        <w:t>1. 输入冻结与原错误修复</w:t>
      </w:r>
    </w:p>
    <w:p>
      <w:r>
        <w:t>本问输入为本版最终Q3：25运输架次、4中继架次及对应逐箱/通信表。源题要求货箱组批、访问次序、运输与中继任务安排和通信关系保持不变。因此不同组不能复制同一中继任务，也不能让一架中继在执行时同时属于两个组。</w:t>
      </w:r>
    </w:p>
    <w:p>
      <w:r>
        <w:t>旧包三组主表采用额外中继副本解释，已退出正式答案。现在先在Q3选择可严格分为三组的实算候选，再冻结给Q4；Q4不靠更改原Q3凑出可行划分。两种分区的中继任务总数均恰好4，没有额外能耗或改变完工时间。</w:t>
      </w:r>
    </w:p>
    <w:p>
      <w:pPr>
        <w:pStyle w:val="Heading1"/>
      </w:pPr>
      <w:r>
        <w:t>2. 不可拆分单元的构造与完整枚举</w:t>
      </w:r>
    </w:p>
    <w:p>
      <w:r>
        <w:t>构建以服务区为顶点的图：同一运输架次访问的全部服务区加必须同组边；依赖同一个源中继任务的全部运输服务区也加必须同组边。连通分量是不可拆分单元。任何合法组是这些单元的并；若拆开一个分量，必然违反运输同组或通信任务唯一所有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"/>
        <w:gridCol w:w="4735"/>
        <w:gridCol w:w="986"/>
        <w:gridCol w:w="1184"/>
        <w:gridCol w:w="1973"/>
      </w:tblGrid>
      <w:tr>
        <w:trPr>
          <w:cantSplit/>
          <w:tblHeader/>
        </w:trPr>
        <w:tc>
          <w:tcPr>
            <w:tcW w:type="dxa" w:w="986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单元</w:t>
            </w:r>
          </w:p>
        </w:tc>
        <w:tc>
          <w:tcPr>
            <w:tcW w:type="dxa" w:w="4735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服务区</w:t>
            </w:r>
          </w:p>
        </w:tc>
        <w:tc>
          <w:tcPr>
            <w:tcW w:type="dxa" w:w="986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箱数</w:t>
            </w:r>
          </w:p>
        </w:tc>
        <w:tc>
          <w:tcPr>
            <w:tcW w:type="dxa" w:w="1184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运输架次</w:t>
            </w:r>
          </w:p>
        </w:tc>
        <w:tc>
          <w:tcPr>
            <w:tcW w:type="dxa" w:w="1973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运输工作量占比</w:t>
            </w:r>
          </w:p>
        </w:tc>
      </w:tr>
      <w:tr>
        <w:trPr>
          <w:cantSplit/>
        </w:trPr>
        <w:tc>
          <w:tcPr>
            <w:tcW w:type="dxa" w:w="98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C01</w:t>
            </w:r>
          </w:p>
        </w:tc>
        <w:tc>
          <w:tcPr>
            <w:tcW w:type="dxa" w:w="4735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S001;S002;S003;S004;S005;S008;S009;S010;S011;S012;S013;S014;S015</w:t>
            </w:r>
          </w:p>
        </w:tc>
        <w:tc>
          <w:tcPr>
            <w:tcW w:type="dxa" w:w="98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69</w:t>
            </w:r>
          </w:p>
        </w:tc>
        <w:tc>
          <w:tcPr>
            <w:tcW w:type="dxa" w:w="1184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89.910385%</w:t>
            </w:r>
          </w:p>
        </w:tc>
      </w:tr>
      <w:tr>
        <w:trPr>
          <w:cantSplit/>
        </w:trPr>
        <w:tc>
          <w:tcPr>
            <w:tcW w:type="dxa" w:w="98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C02</w:t>
            </w:r>
          </w:p>
        </w:tc>
        <w:tc>
          <w:tcPr>
            <w:tcW w:type="dxa" w:w="4735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S006</w:t>
            </w:r>
          </w:p>
        </w:tc>
        <w:tc>
          <w:tcPr>
            <w:tcW w:type="dxa" w:w="98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184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3.300195%</w:t>
            </w:r>
          </w:p>
        </w:tc>
      </w:tr>
      <w:tr>
        <w:trPr>
          <w:cantSplit/>
        </w:trPr>
        <w:tc>
          <w:tcPr>
            <w:tcW w:type="dxa" w:w="98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C03</w:t>
            </w:r>
          </w:p>
        </w:tc>
        <w:tc>
          <w:tcPr>
            <w:tcW w:type="dxa" w:w="4735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S007</w:t>
            </w:r>
          </w:p>
        </w:tc>
        <w:tc>
          <w:tcPr>
            <w:tcW w:type="dxa" w:w="98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84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6.789420%</w:t>
            </w:r>
          </w:p>
        </w:tc>
      </w:tr>
    </w:tbl>
    <w:p>
      <w:pPr>
        <w:spacing w:after="40"/>
      </w:pPr>
    </w:p>
    <w:p>
      <w:r>
        <w:t>共3个分量。采用限制增长串枚举无标签非空划分，K=2有3种，K=3有1种，共4种。独立程序用DFS重建图、另一套锚定集合递归枚举，核对集合完全相同。旧版只用运输依赖得到的364种不是严格通信冻结的合法空间，不能继续引用为最终候选数。</w:t>
      </w:r>
    </w:p>
    <w:p>
      <w:pPr>
        <w:pStyle w:val="Heading1"/>
      </w:pPr>
      <w:r>
        <w:t>3. 最少资源配置的区间模型</w:t>
      </w:r>
    </w:p>
    <w:p>
      <w:r>
        <w:t>运输机身占用[准备开始,返回)，运输电池占用到返回后充满；中继机身占用到返回+周转，中继能源占用到返回+充满。半开区间允许在资源恰好可用时开启下一任务，数值容差只吸收浮点舍入，不省略充电。固定时序、同型资源相同条件下，最少数量等于该类区间最大同时重叠数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07276" cy="290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7276" cy="290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以开始时间排序、最早可用资源复用给出达到该下界的分配。独立验证用区间相容图最大匹配/最小路径覆盖核对最少数量，而不是只重算同一个贪心公式。每类输出峰值时刻及同时占用任务作下界见证。</w:t>
      </w:r>
    </w:p>
    <w:p>
      <w:r>
        <w:t>资源执行开始前可按组重新指派同型实体；任务时刻、载荷、通信锚点不变。源实体ID的重新配置只是本问求独立需求的操作，不是执行过程中跨组借用。源库存从原表读取，任务执行时每个物理ID只能属于一个组。标识“@K3-G1”等仅表示源任务归属，不代表复制第二次任务。</w:t>
      </w:r>
    </w:p>
    <w:p>
      <w:pPr>
        <w:pStyle w:val="Heading1"/>
      </w:pPr>
      <w:r>
        <w:t>4. 目标与比较量</w:t>
      </w:r>
    </w:p>
    <w:p>
      <w:r>
        <w:t>优先最小分类型库存缺口总件数，再最小资源总件数，再最小运输累计作业量变异系数。各类型库存I_r，组需求n_gr：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23407" cy="2660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3407" cy="266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17814" cy="3408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7814" cy="340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W是运输完整作业累计时间，不是组的最后返航时刻或组内服务区个数。资源件数是公开无量纲比较标准，不能解释为采购成本。剩余中继能源不能抵扣缺少的C型无人机。另给均衡优先对照与各型库存冗余。</w:t>
      </w:r>
    </w:p>
    <w:p>
      <w:pPr>
        <w:pStyle w:val="Heading1"/>
      </w:pPr>
      <w:r>
        <w:t>5. 全部候选与主方案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1973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候选</w:t>
            </w:r>
          </w:p>
        </w:tc>
        <w:tc>
          <w:tcPr>
            <w:tcW w:type="dxa" w:w="1973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组数</w:t>
            </w:r>
          </w:p>
        </w:tc>
        <w:tc>
          <w:tcPr>
            <w:tcW w:type="dxa" w:w="1973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资源件数</w:t>
            </w:r>
          </w:p>
        </w:tc>
        <w:tc>
          <w:tcPr>
            <w:tcW w:type="dxa" w:w="1973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缺口件数</w:t>
            </w:r>
          </w:p>
        </w:tc>
        <w:tc>
          <w:tcPr>
            <w:tcW w:type="dxa" w:w="1973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运输工作量CV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K2-112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0.864212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K2-121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0.933996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K2-122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0.798208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K3-123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1.200941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4"/>
        <w:gridCol w:w="1381"/>
        <w:gridCol w:w="7300"/>
      </w:tblGrid>
      <w:tr>
        <w:trPr>
          <w:cantSplit/>
          <w:tblHeader/>
        </w:trPr>
        <w:tc>
          <w:tcPr>
            <w:tcW w:type="dxa" w:w="1184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分区</w:t>
            </w:r>
          </w:p>
        </w:tc>
        <w:tc>
          <w:tcPr>
            <w:tcW w:type="dxa" w:w="1381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组</w:t>
            </w:r>
          </w:p>
        </w:tc>
        <w:tc>
          <w:tcPr>
            <w:tcW w:type="dxa" w:w="7300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服务区</w:t>
            </w:r>
          </w:p>
        </w:tc>
      </w:tr>
      <w:tr>
        <w:trPr>
          <w:cantSplit/>
        </w:trPr>
        <w:tc>
          <w:tcPr>
            <w:tcW w:type="dxa" w:w="1184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2组</w:t>
            </w:r>
          </w:p>
        </w:tc>
        <w:tc>
          <w:tcPr>
            <w:tcW w:type="dxa" w:w="1381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K2-G1</w:t>
            </w:r>
          </w:p>
        </w:tc>
        <w:tc>
          <w:tcPr>
            <w:tcW w:type="dxa" w:w="7300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S001;S002;S003;S004;S005;S007;S008;S009;S010;S011;S012;S013;S014;S015</w:t>
            </w:r>
          </w:p>
        </w:tc>
      </w:tr>
      <w:tr>
        <w:trPr>
          <w:cantSplit/>
        </w:trPr>
        <w:tc>
          <w:tcPr>
            <w:tcW w:type="dxa" w:w="1184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2组</w:t>
            </w:r>
          </w:p>
        </w:tc>
        <w:tc>
          <w:tcPr>
            <w:tcW w:type="dxa" w:w="1381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K2-G2</w:t>
            </w:r>
          </w:p>
        </w:tc>
        <w:tc>
          <w:tcPr>
            <w:tcW w:type="dxa" w:w="7300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S006</w:t>
            </w:r>
          </w:p>
        </w:tc>
      </w:tr>
      <w:tr>
        <w:trPr>
          <w:cantSplit/>
        </w:trPr>
        <w:tc>
          <w:tcPr>
            <w:tcW w:type="dxa" w:w="1184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3组</w:t>
            </w:r>
          </w:p>
        </w:tc>
        <w:tc>
          <w:tcPr>
            <w:tcW w:type="dxa" w:w="1381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K3-G1</w:t>
            </w:r>
          </w:p>
        </w:tc>
        <w:tc>
          <w:tcPr>
            <w:tcW w:type="dxa" w:w="7300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S001;S002;S003;S004;S005;S008;S009;S010;S011;S012;S013;S014;S015</w:t>
            </w:r>
          </w:p>
        </w:tc>
      </w:tr>
      <w:tr>
        <w:trPr>
          <w:cantSplit/>
        </w:trPr>
        <w:tc>
          <w:tcPr>
            <w:tcW w:type="dxa" w:w="1184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3组</w:t>
            </w:r>
          </w:p>
        </w:tc>
        <w:tc>
          <w:tcPr>
            <w:tcW w:type="dxa" w:w="1381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K3-G2</w:t>
            </w:r>
          </w:p>
        </w:tc>
        <w:tc>
          <w:tcPr>
            <w:tcW w:type="dxa" w:w="7300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S006</w:t>
            </w:r>
          </w:p>
        </w:tc>
      </w:tr>
      <w:tr>
        <w:trPr>
          <w:cantSplit/>
        </w:trPr>
        <w:tc>
          <w:tcPr>
            <w:tcW w:type="dxa" w:w="1184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3组</w:t>
            </w:r>
          </w:p>
        </w:tc>
        <w:tc>
          <w:tcPr>
            <w:tcW w:type="dxa" w:w="1381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K3-G3</w:t>
            </w:r>
          </w:p>
        </w:tc>
        <w:tc>
          <w:tcPr>
            <w:tcW w:type="dxa" w:w="7300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S007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1644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资源类别</w:t>
            </w:r>
          </w:p>
        </w:tc>
        <w:tc>
          <w:tcPr>
            <w:tcW w:type="dxa" w:w="1644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原库存</w:t>
            </w:r>
          </w:p>
        </w:tc>
        <w:tc>
          <w:tcPr>
            <w:tcW w:type="dxa" w:w="1644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两组需求</w:t>
            </w:r>
          </w:p>
        </w:tc>
        <w:tc>
          <w:tcPr>
            <w:tcW w:type="dxa" w:w="1644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三组需求</w:t>
            </w:r>
          </w:p>
        </w:tc>
        <w:tc>
          <w:tcPr>
            <w:tcW w:type="dxa" w:w="1644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两组缺口</w:t>
            </w:r>
          </w:p>
        </w:tc>
        <w:tc>
          <w:tcPr>
            <w:tcW w:type="dxa" w:w="1644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三组缺口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A型运输无人机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B型运输无人机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C型运输无人机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A型电池组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B型电池组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C型电池组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中继无人机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中继能源组件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0</w:t>
            </w:r>
          </w:p>
        </w:tc>
      </w:tr>
    </w:tbl>
    <w:p>
      <w:pPr>
        <w:spacing w:after="40"/>
      </w:pPr>
    </w:p>
    <w:p>
      <w:r>
        <w:t>两组总需29件、缺口2件；三组总需35件、缺口7件。全部严格候选中原库存可行数：两组0、三组0。这不影响本问报告“所需独立配置”，但必须说明要增补后才可执行，不能将配置需求说成现库存已够。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45253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ition_K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25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两组任务划分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45253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ition_K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25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三组任务划分</w:t>
      </w:r>
    </w:p>
    <w:p>
      <w:r>
        <w:t>两组与三组总运输/中继能耗均为75.068888kWh，联合完工均为6636.184296s，来自严格任务继承而非新的优化测量。分区改变资源在组间的可复用性，不改变固定任务执行时间。因此设备变多不应在本模型下自动使任务变快。</w:t>
      </w:r>
    </w:p>
    <w:p>
      <w:pPr>
        <w:pStyle w:val="Heading1"/>
      </w:pPr>
      <w:r>
        <w:t>6. 均衡与冗余的含义</w:t>
      </w:r>
    </w:p>
    <w:p>
      <w:r>
        <w:t>最大不可拆单元占运输工作量89.910385%，限制了任何合法均衡。资源优先两组CV为0.933996，三组为1.200941；不能因为任务组较多就说均衡必然改善。三组只有一种严格划分，均衡优先与资源优先重合不是搜索不足，而是合法空间只有一个元素。</w:t>
      </w:r>
    </w:p>
    <w:p>
      <w:r>
        <w:t>未分区时按固定时序重新优化能源编号可少用中继组件，源Q3使用了4个ID，而区间下界是3组。因此要区分原方案实际使用ID数、同一时序最少配置数、独立分组导致的增量和原库存冗余，不能把四个量混为一谈。</w:t>
      </w:r>
    </w:p>
    <w:p>
      <w:pPr>
        <w:pStyle w:val="Heading1"/>
      </w:pPr>
      <w:r>
        <w:t>7. 独立验证</w:t>
      </w:r>
    </w:p>
    <w:p>
      <w:r>
        <w:t>Q4独立图与枚举、逐资源最少数量、源任务映射和主表共11364项检查，失败0。主方案和均衡对照另做69158项运输、中继、时限及连续通信核验，失败0。从最终工作簿回读数量并关联详细本地资源表，验证实际提交而非内存字典。</w:t>
      </w:r>
    </w:p>
    <w:p>
      <w:r>
        <w:t>精确最优性只相对于本版冻结的Q3、同型资源可在执行前配置的规则及目标顺序。没有证明原题全部可能Q3方案中本分区最省资源，也不使用额外库存倒灌修正Q3可行性。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20" w:bottom="992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数学建模计算交付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D题  /  Q1—Q4：运输、中继、分区与核验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0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7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74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8374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08_第四问严格任务冻结与资源配置</dc:title>
  <dc:subject>题目原始数据上的可复现建模与核验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