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模板提交、数值闭环与一键复现</w:t>
      </w:r>
    </w:p>
    <w:p>
      <w:pPr>
        <w:pStyle w:val="Heading1"/>
      </w:pPr>
      <w:r>
        <w:t>1. 提交组成</w:t>
      </w:r>
    </w:p>
    <w:p>
      <w:r>
        <w:t>主文件submission/结果提交.xlsx保留原模板全部表名、单位、顺序和标题，已经填写Q1—Q4。Q3运输与逐箱交付不在原模板中单列，因此另附submission/Q3运输与逐箱补充.xlsx；不能用Q3运输覆盖Q2运输。两份文件和提交必读.txt应一起交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46"/>
        <w:gridCol w:w="5919"/>
      </w:tblGrid>
      <w:tr>
        <w:trPr>
          <w:cantSplit/>
          <w:tblHeader/>
        </w:trPr>
        <w:tc>
          <w:tcPr>
            <w:tcW w:type="dxa" w:w="394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主模板表</w:t>
            </w:r>
          </w:p>
        </w:tc>
        <w:tc>
          <w:tcPr>
            <w:tcW w:type="dxa" w:w="591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数据行数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Q1_单点组批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Q2_运输架次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Q2_逐箱交付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Q3_中继架次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Q3_通信保障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2059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Q4_分区配置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46"/>
        <w:gridCol w:w="5919"/>
      </w:tblGrid>
      <w:tr>
        <w:trPr>
          <w:cantSplit/>
          <w:tblHeader/>
        </w:trPr>
        <w:tc>
          <w:tcPr>
            <w:tcW w:type="dxa" w:w="394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Q3配套表</w:t>
            </w:r>
          </w:p>
        </w:tc>
        <w:tc>
          <w:tcPr>
            <w:tcW w:type="dxa" w:w="591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数据行数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Q3_运输架次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Q3_逐箱交付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80</w:t>
            </w:r>
          </w:p>
        </w:tc>
      </w:tr>
    </w:tbl>
    <w:p>
      <w:pPr>
        <w:spacing w:after="40"/>
      </w:pPr>
    </w:p>
    <w:p>
      <w:r>
        <w:t>全部CSV为UTF-8 BOM，JSON保留数值/布尔/null类型。NoData只用于地理栅格，不把合法负通信灵敏度当缺失。每箱唯一、时刻、能耗、百分比都从同一个当次答案导出；通信边界点的零时长语义在共同模型里明示。</w:t>
      </w:r>
    </w:p>
    <w:p>
      <w:pPr>
        <w:pStyle w:val="Heading1"/>
      </w:pPr>
      <w:r>
        <w:t>2. 环境和入口</w:t>
      </w:r>
    </w:p>
    <w:p>
      <w:r>
        <w:t>Python3.13.5；依赖版本固定在requirements.txt。仅CPU，第一次安装依赖需要联网，求解/验证/绘图/报告可离线。无需商业优化器、MATLAB、GPU或本机Excel。openpyxl是固定依赖，主流程每次重建XLSX，不再依赖artifact_tool或参考Excel快照发布。系统需要已有中文字体；优先Noto Sans CJK/思源/黑体，缺字体时绘图会报错而不发布乱码；包内不分发字体文件。</w:t>
      </w:r>
    </w:p>
    <w:p>
      <w:pPr>
        <w:spacing w:after="0"/>
      </w:pPr>
      <w:r>
        <w:rPr>
          <w:rFonts w:ascii="Courier New" w:hAnsi="Courier New"/>
          <w:sz w:val="18"/>
        </w:rPr>
        <w:t>python -m pip install -r requirements.txt</w:t>
      </w:r>
    </w:p>
    <w:p>
      <w:pPr>
        <w:spacing w:after="0"/>
      </w:pPr>
      <w:r>
        <w:rPr>
          <w:rFonts w:ascii="Courier New" w:hAnsi="Courier New"/>
          <w:sz w:val="18"/>
        </w:rPr>
        <w:t>python run_all.py --check-reference</w:t>
      </w:r>
    </w:p>
    <w:p>
      <w:pPr>
        <w:spacing w:after="0"/>
      </w:pPr>
      <w:r>
        <w:rPr>
          <w:rFonts w:ascii="Courier New" w:hAnsi="Courier New"/>
          <w:sz w:val="18"/>
        </w:rPr>
        <w:t>python validate_submission.py</w:t>
      </w:r>
    </w:p>
    <w:p>
      <w:r>
        <w:t>仅重算冻结Q3后的Q4：</w:t>
      </w:r>
    </w:p>
    <w:p>
      <w:pPr>
        <w:spacing w:after="0"/>
      </w:pPr>
      <w:r>
        <w:rPr>
          <w:rFonts w:ascii="Courier New" w:hAnsi="Courier New"/>
          <w:sz w:val="18"/>
        </w:rPr>
        <w:t>python run_q4.py --check-reference</w:t>
      </w:r>
    </w:p>
    <w:p>
      <w:r>
        <w:t>代码通过主脚本位置解析路径，与当前工作目录无关。自动生成目录data/cleaned、results、docs、submission、paper会重建；不要把个人追加文件放在其中。data/raw逐文件哈希必须保持不变。关键参数集中config.py、q2_config.py、q3_config.py、q4_config.py、closure_config.py，源装备与期限从附件读取。</w:t>
      </w:r>
    </w:p>
    <w:p>
      <w:pPr>
        <w:pStyle w:val="Heading1"/>
      </w:pPr>
      <w:r>
        <w:t>3. 最终Excel反向验收</w:t>
      </w:r>
    </w:p>
    <w:p>
      <w:r>
        <w:t>本次主表逐格检查15397项、配套表642项。重新读取后按原始DEM和机型复算Q1、Q2、Q3物理，再检查Q4源任务继承和组内资源需求。XLSX存储repr双精度字符串，显示小数不成为约束输入。validate_submission.py只读工作簿，不修改错误答案来通过校验。</w:t>
      </w:r>
    </w:p>
    <w:p>
      <w:r>
        <w:t>--check-reference只在计算结束后与reference/expected_results.json比较，不进入优化器。原数据复现应一致；主动改变模型或源参数后参考失败是预期，不应反过来硬编码旧答案。MILP状态/间隙仅适用于所建固定子问题。</w:t>
      </w:r>
    </w:p>
    <w:p>
      <w:pPr>
        <w:pStyle w:val="Heading1"/>
      </w:pPr>
      <w:r>
        <w:t>4. 完整复现与打包</w:t>
      </w:r>
    </w:p>
    <w:p>
      <w:r>
        <w:t>运行日志含实际环境、阶段耗时、单元测试、原文件哈希、图表来源索引及数值快照。两次独立运行比较CSV/JSON、PNG/SVG/PDF与Markdown以及全部工作簿单元格；ZIP/DOCX/XLSX内部生成标识不作为数学一致性标准。发布包还做压缩CRC和逐文件SHA-256检查。</w:t>
      </w:r>
    </w:p>
    <w:p>
      <w:pPr>
        <w:spacing w:after="0"/>
      </w:pPr>
      <w:r>
        <w:rPr>
          <w:rFonts w:ascii="Courier New" w:hAnsi="Courier New"/>
          <w:sz w:val="18"/>
        </w:rPr>
        <w:t>python -m unittest discover -s tests -v</w:t>
      </w:r>
    </w:p>
    <w:p>
      <w:pPr>
        <w:spacing w:after="0"/>
      </w:pPr>
      <w:r>
        <w:rPr>
          <w:rFonts w:ascii="Courier New" w:hAnsi="Courier New"/>
          <w:sz w:val="18"/>
        </w:rPr>
        <w:t>python package_delivery.py</w:t>
      </w:r>
    </w:p>
    <w:p>
      <w:r>
        <w:t>该检查仍不等于证明启发式全局最优或现场安全。Q1模型内精确、Q2/Q3验证可行、Q4固定Q3后的严格图全枚举最优；这些限定不得从摘要或结论中省略。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数学建模计算交付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D题  /  Q1—Q4：运输、中继、分区与核验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7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09_模板提交与一键复现</dc:title>
  <dc:subject>题目原始数据上的可复现建模与核验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