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参考来源与参数选择说明</w:t>
      </w:r>
    </w:p>
    <w:p>
      <w:pPr>
        <w:pStyle w:val="Heading1"/>
      </w:pPr>
      <w:r>
        <w:t>1. 题目与附件</w:t>
      </w:r>
    </w:p>
    <w:p>
      <w:r>
        <w:t>[1] 用户提供《山区洪涝灾害下无人机运输与通信协同优化》，问题一至四、附录1—3。原件data/raw/题面.docx。</w:t>
      </w:r>
    </w:p>
    <w:p>
      <w:r>
        <w:t>[2] 原始数据内五个基础工作簿：调度中心与服务区、物资需求与配送时限、运输无人机、中继无人机、通信链路参数。业务参数和库存均以源表为准。</w:t>
      </w:r>
    </w:p>
    <w:p>
      <w:r>
        <w:t>[3] 原始地理数据及其说明：30米DEM、节点/区域等公开地理数据。使用完整有效DEM，源像元不做削峰平滑。</w:t>
      </w:r>
    </w:p>
    <w:p>
      <w:pPr>
        <w:pStyle w:val="Heading1"/>
      </w:pPr>
      <w:r>
        <w:t>2. 实现接口参考</w:t>
      </w:r>
    </w:p>
    <w:p>
      <w:r>
        <w:t>[4] SciPy官方scipy.optimize.milp及linprog接口文档（访问日期2026-09-23）。https://docs.scipy.org/doc/scipy/reference/generated/scipy.optimize.milp.html 。返回状态与间隙仅对应传入的线性/混合整数模型，不构成全部非线性联合问题最优性证明。</w:t>
      </w:r>
    </w:p>
    <w:p>
      <w:r>
        <w:t>[5] Matplotlib官方字体文档（访问日期2026-09-23）。https://matplotlib.org/stable/users/explain/text/fonts.html 。图件采用系统CJK字体，SVG路径化与PDF嵌入子集实现跨平台显示；不分发字体文件。</w:t>
      </w:r>
    </w:p>
    <w:p>
      <w:pPr>
        <w:pStyle w:val="Heading1"/>
      </w:pPr>
      <w:r>
        <w:t>3. 独立推导及未验证事项</w:t>
      </w:r>
    </w:p>
    <w:p>
      <w:r>
        <w:t>载荷单调二分、计数状态DP、不可拆分图、区间并发下界与资源分配正确性在本项目报告给出证明，不将它们写成外部论文的实验结论。通信阴影区间几何和独立检查的数值输出由本项目源码产生。题面列出的无人机规格和灾情参考资料未用于覆盖附件参数，也不作为额外实测校准。</w:t>
      </w:r>
    </w:p>
    <w:p>
      <w:r>
        <w:t>待LaTeX写作时，仅引用确实用于论证的资料，按模板整理BibTeX。不要从本报告新增没有实验支持的准确率、随机置信区间或经济成本。所有源公式、参数、算法自选设置应分列。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020" w:bottom="992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数学建模计算交付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6"/>
      </w:rPr>
      <w:t>D题  /  Q1—Q4：运输、中继、分区与核验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8374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837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12_参考来源与参数选择说明</dc:title>
  <dc:subject>题目原始数据上的可复现建模与核验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