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4"/>
      </w:pPr>
      <w:bookmarkStart w:id="308" w:name="_GoBack"/>
      <w:bookmarkEnd w:id="308"/>
      <w:bookmarkStart w:id="0" w:name="_Toc434508409"/>
      <w:bookmarkStart w:id="1" w:name="_Toc432690032"/>
      <w:bookmarkStart w:id="2" w:name="_Toc434853433"/>
      <w:r>
        <w:t>ICS</w:t>
      </w:r>
      <w:r>
        <w:rPr>
          <w:rFonts w:hint="eastAsia"/>
        </w:rPr>
        <w:t xml:space="preserve">  65.020.01</w:t>
      </w:r>
      <w:bookmarkEnd w:id="0"/>
      <w:bookmarkEnd w:id="1"/>
      <w:bookmarkEnd w:id="2"/>
    </w:p>
    <w:p>
      <w:pPr>
        <w:pStyle w:val="24"/>
        <w:framePr w:hSpace="180" w:vSpace="180" w:wrap="around" w:vAnchor="page" w:hAnchor="page" w:x="1458" w:y="2188" w:anchorLock="1"/>
        <w:tabs>
          <w:tab w:val="left" w:pos="9360"/>
        </w:tabs>
        <w:ind w:left="-420" w:leftChars="-200" w:firstLine="400" w:firstLineChars="200"/>
        <w:outlineLvl w:val="0"/>
      </w:pPr>
      <w:r>
        <w:rPr>
          <w:rFonts w:hint="eastAsia"/>
        </w:rPr>
        <w:t>B 20</w:t>
      </w:r>
    </w:p>
    <w:p>
      <w:pPr>
        <w:ind w:firstLine="0" w:firstLineChars="0"/>
        <w:rPr>
          <w:rFonts w:ascii="宋体" w:hAnsi="宋体"/>
          <w:sz w:val="32"/>
          <w:szCs w:val="20"/>
        </w:rPr>
      </w:pPr>
    </w:p>
    <w:p>
      <w:pPr>
        <w:ind w:firstLine="242" w:firstLineChars="23"/>
        <w:jc w:val="center"/>
        <w:rPr>
          <w:rFonts w:ascii="黑体" w:hAnsi="黑体" w:eastAsia="黑体"/>
          <w:b/>
          <w:bCs/>
          <w:snapToGrid w:val="0"/>
          <w:spacing w:val="164"/>
          <w:kern w:val="0"/>
          <w:sz w:val="72"/>
          <w:szCs w:val="72"/>
        </w:rPr>
      </w:pPr>
      <w:r>
        <w:rPr>
          <w:rFonts w:hint="eastAsia" w:ascii="黑体" w:hAnsi="黑体" w:eastAsia="黑体"/>
          <w:b/>
          <w:bCs/>
          <w:snapToGrid w:val="0"/>
          <w:spacing w:val="164"/>
          <w:kern w:val="0"/>
          <w:sz w:val="72"/>
          <w:szCs w:val="72"/>
        </w:rPr>
        <w:t>团 体 标 准</w:t>
      </w:r>
    </w:p>
    <w:p>
      <w:pPr>
        <w:wordWrap w:val="0"/>
        <w:ind w:right="420" w:firstLine="3080" w:firstLineChars="1100"/>
        <w:jc w:val="right"/>
        <w:rPr>
          <w:rFonts w:eastAsia="黑体"/>
          <w:sz w:val="28"/>
          <w:szCs w:val="28"/>
        </w:rPr>
      </w:pPr>
      <w:r>
        <w:rPr>
          <w:rFonts w:eastAsia="黑体"/>
          <w:sz w:val="28"/>
          <w:szCs w:val="28"/>
        </w:rPr>
        <w:t>T/CCOA</w:t>
      </w:r>
      <w:r>
        <w:rPr>
          <w:rFonts w:hint="eastAsia" w:eastAsia="黑体"/>
          <w:sz w:val="28"/>
          <w:szCs w:val="28"/>
        </w:rPr>
        <w:t xml:space="preserve"> 1</w:t>
      </w:r>
      <w:r>
        <w:rPr>
          <w:rFonts w:eastAsia="黑体"/>
          <w:sz w:val="28"/>
          <w:szCs w:val="28"/>
        </w:rPr>
        <w:t>2—</w:t>
      </w:r>
      <w:r>
        <w:rPr>
          <w:rFonts w:hint="eastAsia" w:eastAsia="黑体"/>
          <w:sz w:val="28"/>
          <w:szCs w:val="28"/>
        </w:rPr>
        <w:t>2020</w:t>
      </w:r>
    </w:p>
    <w:p>
      <w:pPr>
        <w:ind w:firstLine="46" w:firstLineChars="23"/>
        <w:jc w:val="right"/>
        <w:rPr>
          <w:rFonts w:eastAsia="黑体"/>
          <w:b/>
          <w:bCs/>
          <w:spacing w:val="164"/>
          <w:sz w:val="28"/>
          <w:szCs w:val="28"/>
        </w:rPr>
      </w:pPr>
      <w:r>
        <w:rPr>
          <w:rFonts w:ascii="宋体" w:hAnsi="宋体"/>
          <w:b/>
          <w:bCs/>
          <w:sz w:val="20"/>
          <w:szCs w:val="20"/>
        </w:rPr>
        <mc:AlternateContent>
          <mc:Choice Requires="wps">
            <w:drawing>
              <wp:anchor distT="0" distB="0" distL="114300" distR="114300" simplePos="0" relativeHeight="251656192" behindDoc="0" locked="0" layoutInCell="1" allowOverlap="1">
                <wp:simplePos x="0" y="0"/>
                <wp:positionH relativeFrom="column">
                  <wp:posOffset>-47625</wp:posOffset>
                </wp:positionH>
                <wp:positionV relativeFrom="paragraph">
                  <wp:posOffset>350520</wp:posOffset>
                </wp:positionV>
                <wp:extent cx="5819775" cy="0"/>
                <wp:effectExtent l="9525" t="7620" r="9525" b="1143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5819775" cy="0"/>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3.75pt;margin-top:27.6pt;height:0pt;width:458.25pt;z-index:251656192;mso-width-relative:page;mso-height-relative:page;" filled="f" stroked="t" coordsize="21600,21600" o:gfxdata="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tRmFg9YA&#10;AAAIAQAADwAAAAAAAAABACAAAAAiAAAAZHJzL2Rvd25yZXYueG1sUEsBAhQAFAAAAAgAh07iQHIn&#10;NNKvAQAAUQMAAA4AAAAAAAAAAQAgAAAAJQEAAGRycy9lMm9Eb2MueG1sUEsFBgAAAAAGAAYAWQEA&#10;AEYFAAAAAA==&#10;">
                <v:fill on="f" focussize="0,0"/>
                <v:stroke color="#000000" joinstyle="round"/>
                <v:imagedata o:title=""/>
                <o:lock v:ext="edit" aspectratio="f"/>
              </v:line>
            </w:pict>
          </mc:Fallback>
        </mc:AlternateContent>
      </w:r>
    </w:p>
    <w:p>
      <w:pPr>
        <w:spacing w:line="240" w:lineRule="exact"/>
        <w:ind w:firstLine="883"/>
        <w:rPr>
          <w:rFonts w:ascii="宋体" w:hAnsi="宋体"/>
          <w:b/>
          <w:bCs/>
          <w:sz w:val="44"/>
          <w:szCs w:val="20"/>
        </w:rPr>
      </w:pPr>
    </w:p>
    <w:p>
      <w:pPr>
        <w:ind w:firstLine="1040"/>
        <w:rPr>
          <w:rFonts w:ascii="宋体" w:hAnsi="宋体"/>
          <w:sz w:val="52"/>
          <w:szCs w:val="20"/>
        </w:rPr>
      </w:pPr>
    </w:p>
    <w:p>
      <w:pPr>
        <w:spacing w:line="800" w:lineRule="exact"/>
        <w:ind w:firstLine="1040"/>
        <w:rPr>
          <w:rFonts w:ascii="宋体" w:hAnsi="宋体"/>
          <w:sz w:val="52"/>
          <w:szCs w:val="20"/>
        </w:rPr>
      </w:pPr>
    </w:p>
    <w:p>
      <w:pPr>
        <w:spacing w:line="800" w:lineRule="exact"/>
        <w:ind w:firstLine="1044"/>
        <w:jc w:val="center"/>
        <w:rPr>
          <w:rFonts w:ascii="黑体" w:hAnsi="宋体" w:eastAsia="黑体"/>
          <w:b/>
          <w:bCs/>
          <w:sz w:val="52"/>
          <w:szCs w:val="20"/>
        </w:rPr>
      </w:pPr>
    </w:p>
    <w:p>
      <w:pPr>
        <w:spacing w:line="1000" w:lineRule="exact"/>
        <w:ind w:firstLine="0" w:firstLineChars="0"/>
        <w:jc w:val="center"/>
        <w:rPr>
          <w:rFonts w:ascii="黑体" w:hAnsi="宋体" w:eastAsia="黑体"/>
          <w:sz w:val="52"/>
          <w:szCs w:val="20"/>
        </w:rPr>
      </w:pPr>
      <w:r>
        <w:rPr>
          <w:rFonts w:hint="eastAsia" w:ascii="黑体" w:hAnsi="黑体" w:eastAsia="黑体" w:cs="黑体"/>
          <w:sz w:val="48"/>
          <w:szCs w:val="48"/>
        </w:rPr>
        <w:t>简易仓囤储粮异常粮情应急处置操作规范</w:t>
      </w:r>
    </w:p>
    <w:p>
      <w:pPr>
        <w:ind w:firstLine="0" w:firstLineChars="0"/>
        <w:jc w:val="center"/>
        <w:outlineLvl w:val="0"/>
        <w:rPr>
          <w:rFonts w:eastAsia="黑体"/>
          <w:b/>
          <w:bCs/>
          <w:sz w:val="28"/>
          <w:szCs w:val="20"/>
        </w:rPr>
      </w:pPr>
      <w:r>
        <w:rPr>
          <w:rFonts w:eastAsia="黑体"/>
          <w:sz w:val="28"/>
          <w:szCs w:val="28"/>
        </w:rPr>
        <w:t>Emergency operation regulations for abnormal condition of stored-grain in temporary facilities</w:t>
      </w:r>
    </w:p>
    <w:p>
      <w:pPr>
        <w:spacing w:line="1000" w:lineRule="exact"/>
        <w:ind w:firstLine="1040"/>
        <w:jc w:val="center"/>
        <w:rPr>
          <w:snapToGrid w:val="0"/>
          <w:kern w:val="0"/>
          <w:sz w:val="52"/>
        </w:rPr>
      </w:pPr>
    </w:p>
    <w:p>
      <w:pPr>
        <w:spacing w:line="800" w:lineRule="exact"/>
        <w:ind w:firstLine="1040"/>
        <w:rPr>
          <w:sz w:val="52"/>
        </w:rPr>
      </w:pPr>
    </w:p>
    <w:p>
      <w:pPr>
        <w:spacing w:line="400" w:lineRule="exact"/>
        <w:ind w:firstLine="1040"/>
        <w:rPr>
          <w:sz w:val="52"/>
        </w:rPr>
      </w:pPr>
    </w:p>
    <w:p>
      <w:pPr>
        <w:spacing w:line="400" w:lineRule="exact"/>
        <w:ind w:firstLine="1040"/>
        <w:rPr>
          <w:sz w:val="52"/>
        </w:rPr>
      </w:pPr>
    </w:p>
    <w:p>
      <w:pPr>
        <w:spacing w:line="400" w:lineRule="exact"/>
        <w:ind w:firstLine="0" w:firstLineChars="0"/>
      </w:pPr>
    </w:p>
    <w:p>
      <w:pPr>
        <w:spacing w:line="400" w:lineRule="exact"/>
        <w:ind w:firstLine="420"/>
      </w:pPr>
    </w:p>
    <w:p>
      <w:pPr>
        <w:spacing w:line="280" w:lineRule="exact"/>
        <w:ind w:firstLine="141" w:firstLineChars="50"/>
        <w:rPr>
          <w:rFonts w:ascii="黑体" w:eastAsia="黑体"/>
          <w:b/>
          <w:bCs/>
          <w:sz w:val="28"/>
          <w:szCs w:val="20"/>
        </w:rPr>
      </w:pPr>
      <w:r>
        <w:rPr>
          <w:rFonts w:hint="eastAsia" w:ascii="黑体" w:eastAsia="黑体"/>
          <w:b/>
          <w:bCs/>
          <w:sz w:val="28"/>
          <w:szCs w:val="20"/>
        </w:rPr>
        <w:t>20</w:t>
      </w:r>
      <w:r>
        <w:rPr>
          <w:rFonts w:ascii="黑体" w:eastAsia="黑体"/>
          <w:b/>
          <w:bCs/>
          <w:sz w:val="28"/>
          <w:szCs w:val="20"/>
        </w:rPr>
        <w:t>20</w:t>
      </w:r>
      <w:r>
        <w:rPr>
          <w:rFonts w:hint="eastAsia" w:ascii="黑体" w:hAnsi="宋体" w:eastAsia="黑体"/>
          <w:b/>
          <w:bCs/>
          <w:sz w:val="28"/>
          <w:szCs w:val="20"/>
        </w:rPr>
        <w:t>-</w:t>
      </w:r>
      <w:r>
        <w:rPr>
          <w:rFonts w:ascii="黑体" w:eastAsia="黑体"/>
          <w:b/>
          <w:bCs/>
          <w:sz w:val="28"/>
          <w:szCs w:val="20"/>
        </w:rPr>
        <w:t>02</w:t>
      </w:r>
      <w:r>
        <w:rPr>
          <w:rFonts w:hint="eastAsia" w:ascii="黑体" w:hAnsi="宋体" w:eastAsia="黑体"/>
          <w:b/>
          <w:bCs/>
          <w:sz w:val="28"/>
          <w:szCs w:val="20"/>
        </w:rPr>
        <w:t>-</w:t>
      </w:r>
      <w:r>
        <w:rPr>
          <w:rFonts w:ascii="黑体" w:eastAsia="黑体"/>
          <w:b/>
          <w:bCs/>
          <w:sz w:val="28"/>
          <w:szCs w:val="20"/>
        </w:rPr>
        <w:t>19</w:t>
      </w:r>
      <w:r>
        <w:rPr>
          <w:rFonts w:hint="eastAsia" w:ascii="黑体" w:hAnsi="宋体" w:eastAsia="黑体"/>
          <w:b/>
          <w:bCs/>
          <w:sz w:val="18"/>
          <w:szCs w:val="20"/>
        </w:rPr>
        <w:t xml:space="preserve"> </w:t>
      </w:r>
      <w:r>
        <w:rPr>
          <w:rFonts w:hint="eastAsia" w:ascii="黑体" w:hAnsi="宋体" w:eastAsia="黑体"/>
          <w:b/>
          <w:bCs/>
          <w:sz w:val="28"/>
          <w:szCs w:val="20"/>
        </w:rPr>
        <w:t xml:space="preserve">发布                                </w:t>
      </w:r>
      <w:r>
        <w:rPr>
          <w:rFonts w:hint="eastAsia" w:ascii="黑体" w:eastAsia="黑体"/>
          <w:b/>
          <w:bCs/>
          <w:sz w:val="28"/>
          <w:szCs w:val="20"/>
        </w:rPr>
        <w:t>20</w:t>
      </w:r>
      <w:r>
        <w:rPr>
          <w:rFonts w:ascii="黑体" w:eastAsia="黑体"/>
          <w:b/>
          <w:bCs/>
          <w:sz w:val="28"/>
          <w:szCs w:val="20"/>
        </w:rPr>
        <w:t>20</w:t>
      </w:r>
      <w:r>
        <w:rPr>
          <w:rFonts w:hint="eastAsia" w:ascii="黑体" w:hAnsi="宋体" w:eastAsia="黑体"/>
          <w:b/>
          <w:bCs/>
          <w:sz w:val="28"/>
          <w:szCs w:val="20"/>
        </w:rPr>
        <w:t>-</w:t>
      </w:r>
      <w:r>
        <w:rPr>
          <w:rFonts w:ascii="黑体" w:eastAsia="黑体"/>
          <w:b/>
          <w:bCs/>
          <w:sz w:val="28"/>
          <w:szCs w:val="20"/>
        </w:rPr>
        <w:t>04</w:t>
      </w:r>
      <w:r>
        <w:rPr>
          <w:rFonts w:hint="eastAsia" w:ascii="黑体" w:hAnsi="宋体" w:eastAsia="黑体"/>
          <w:b/>
          <w:bCs/>
          <w:sz w:val="28"/>
          <w:szCs w:val="20"/>
        </w:rPr>
        <w:t>-</w:t>
      </w:r>
      <w:r>
        <w:rPr>
          <w:rFonts w:ascii="黑体" w:eastAsia="黑体"/>
          <w:b/>
          <w:bCs/>
          <w:sz w:val="28"/>
          <w:szCs w:val="20"/>
        </w:rPr>
        <w:t>01</w:t>
      </w:r>
      <w:r>
        <w:rPr>
          <w:rFonts w:hint="eastAsia" w:ascii="黑体" w:hAnsi="宋体" w:eastAsia="黑体"/>
          <w:b/>
          <w:bCs/>
          <w:sz w:val="28"/>
          <w:szCs w:val="20"/>
        </w:rPr>
        <w:t>实施</w:t>
      </w:r>
    </w:p>
    <w:p>
      <w:pPr>
        <w:spacing w:line="280" w:lineRule="exact"/>
        <w:ind w:firstLine="400"/>
        <w:rPr>
          <w:rFonts w:ascii="黑体" w:eastAsia="黑体"/>
          <w:sz w:val="28"/>
          <w:szCs w:val="20"/>
        </w:rPr>
      </w:pPr>
      <w:r>
        <w:rPr>
          <w:rFonts w:ascii="黑体" w:eastAsia="黑体"/>
          <w:sz w:val="20"/>
          <w:szCs w:val="20"/>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55880</wp:posOffset>
                </wp:positionV>
                <wp:extent cx="5772150" cy="0"/>
                <wp:effectExtent l="9525" t="8255" r="9525" b="10795"/>
                <wp:wrapNone/>
                <wp:docPr id="4" name="Line 5"/>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0pt;margin-top:4.4pt;height:0pt;width:454.5pt;z-index:251657216;mso-width-relative:page;mso-height-relative:page;" filled="f" stroked="t" coordsize="21600,21600" o:gfxdata="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jKGoTSAAAABAEA&#10;AA8AAAAAAAAAAQAgAAAAIgAAAGRycy9kb3ducmV2LnhtbFBLAQIUABQAAAAIAIdO4kBQwLQBrgEA&#10;AFEDAAAOAAAAAAAAAAEAIAAAACEBAABkcnMvZTJvRG9jLnhtbFBLBQYAAAAABgAGAFkBAABBBQAA&#10;AAA=&#10;">
                <v:fill on="f" focussize="0,0"/>
                <v:stroke color="#000000" joinstyle="round"/>
                <v:imagedata o:title=""/>
                <o:lock v:ext="edit" aspectratio="f"/>
              </v:line>
            </w:pict>
          </mc:Fallback>
        </mc:AlternateContent>
      </w:r>
    </w:p>
    <w:p>
      <w:pPr>
        <w:ind w:firstLine="3011" w:firstLineChars="1071"/>
        <w:textAlignment w:val="center"/>
        <w:rPr>
          <w:rFonts w:eastAsia="黑体"/>
          <w:sz w:val="28"/>
          <w:szCs w:val="28"/>
        </w:rPr>
      </w:pPr>
      <w:r>
        <w:rPr>
          <w:rFonts w:hint="eastAsia" w:ascii="华文中宋" w:hAnsi="华文中宋" w:eastAsia="华文中宋"/>
          <w:b/>
          <w:bCs/>
          <w:sz w:val="28"/>
          <w:szCs w:val="20"/>
        </w:rPr>
        <w:t xml:space="preserve">中国粮油学会  </w:t>
      </w:r>
      <w:r>
        <w:rPr>
          <w:rFonts w:hint="eastAsia" w:eastAsia="黑体"/>
          <w:sz w:val="28"/>
          <w:szCs w:val="28"/>
        </w:rPr>
        <w:t>发布</w:t>
      </w:r>
    </w:p>
    <w:p>
      <w:pPr>
        <w:pStyle w:val="18"/>
      </w:pPr>
      <w:bookmarkStart w:id="3" w:name="_Toc502137993"/>
      <w:bookmarkStart w:id="4" w:name="_Toc376172282"/>
      <w:bookmarkStart w:id="5" w:name="_Toc319071052"/>
      <w:bookmarkStart w:id="6" w:name="_Toc376172827"/>
      <w:r>
        <w:rPr>
          <w:rFonts w:hint="eastAsia"/>
        </w:rPr>
        <w:t>前</w:t>
      </w:r>
      <w:bookmarkStart w:id="7" w:name="BKQY"/>
      <w:r>
        <w:t>    </w:t>
      </w:r>
      <w:r>
        <w:rPr>
          <w:rFonts w:hint="eastAsia"/>
        </w:rPr>
        <w:t>言</w:t>
      </w:r>
      <w:bookmarkEnd w:id="3"/>
      <w:bookmarkEnd w:id="4"/>
      <w:bookmarkEnd w:id="5"/>
      <w:bookmarkEnd w:id="6"/>
      <w:bookmarkEnd w:id="7"/>
      <w:bookmarkStart w:id="8" w:name="pindex21"/>
      <w:bookmarkEnd w:id="8"/>
    </w:p>
    <w:p>
      <w:pPr>
        <w:pStyle w:val="19"/>
        <w:rPr>
          <w:rFonts w:ascii="Times New Roman"/>
          <w:b/>
          <w:bCs/>
        </w:rPr>
      </w:pPr>
      <w:r>
        <w:rPr>
          <w:rFonts w:hint="eastAsia" w:ascii="Times New Roman"/>
        </w:rPr>
        <w:t>本标准按照</w:t>
      </w:r>
      <w:r>
        <w:rPr>
          <w:rFonts w:ascii="Times New Roman"/>
        </w:rPr>
        <w:t>GB/T 1.1—2009</w:t>
      </w:r>
      <w:r>
        <w:rPr>
          <w:rFonts w:hint="eastAsia" w:ascii="Times New Roman"/>
        </w:rPr>
        <w:t>给出的规则起草。</w:t>
      </w:r>
    </w:p>
    <w:p>
      <w:pPr>
        <w:pStyle w:val="19"/>
        <w:rPr>
          <w:rFonts w:ascii="Times New Roman"/>
          <w:bCs/>
        </w:rPr>
      </w:pPr>
      <w:r>
        <w:rPr>
          <w:rFonts w:ascii="Times New Roman"/>
          <w:bCs/>
        </w:rPr>
        <w:t>本标准由</w:t>
      </w:r>
      <w:r>
        <w:rPr>
          <w:rFonts w:hint="eastAsia" w:ascii="Times New Roman" w:hAnsi="宋体"/>
          <w:bCs/>
        </w:rPr>
        <w:t>中国粮油学会</w:t>
      </w:r>
      <w:r>
        <w:rPr>
          <w:rFonts w:ascii="Times New Roman"/>
          <w:bCs/>
        </w:rPr>
        <w:t>提出。</w:t>
      </w:r>
    </w:p>
    <w:p>
      <w:pPr>
        <w:pStyle w:val="19"/>
        <w:rPr>
          <w:rFonts w:ascii="Times New Roman"/>
          <w:bCs/>
        </w:rPr>
      </w:pPr>
      <w:r>
        <w:rPr>
          <w:rFonts w:hint="eastAsia" w:ascii="Times New Roman"/>
          <w:bCs/>
        </w:rPr>
        <w:t>本标准起草单位：中储粮成都储藏研究院有限公司、国家粮食和物资储备局科学研究院、中国储备粮集团管理有限公司吉林分公司、中央储备粮梅河口直属库有限公司、中央储备粮北安直属库有限公司、中央储备粮赵光直属库有限公司、河南工业大学、南京财经大学、</w:t>
      </w:r>
      <w:r>
        <w:rPr>
          <w:rFonts w:hint="eastAsia" w:ascii="Times New Roman"/>
          <w:bCs/>
          <w:szCs w:val="22"/>
        </w:rPr>
        <w:t>中央储备粮威海直属库有限公司。</w:t>
      </w:r>
    </w:p>
    <w:p>
      <w:pPr>
        <w:pStyle w:val="19"/>
        <w:rPr>
          <w:rFonts w:ascii="Times New Roman"/>
          <w:bCs/>
        </w:rPr>
      </w:pPr>
      <w:r>
        <w:rPr>
          <w:rFonts w:hint="eastAsia" w:ascii="Times New Roman"/>
          <w:bCs/>
        </w:rPr>
        <w:t>本标准主要起草人：严晓平、许胜伟、唐芳、李志民、王殿轩、兰延坤、唐培安、何洋、王双林、宫兆磊、张忠杰、赵会义、祁智慧、杨尽国、付玉彬。</w:t>
      </w:r>
    </w:p>
    <w:p>
      <w:pPr>
        <w:pStyle w:val="19"/>
        <w:sectPr>
          <w:headerReference r:id="rId5" w:type="first"/>
          <w:footerReference r:id="rId8" w:type="first"/>
          <w:headerReference r:id="rId3" w:type="default"/>
          <w:footerReference r:id="rId6" w:type="default"/>
          <w:headerReference r:id="rId4" w:type="even"/>
          <w:footerReference r:id="rId7" w:type="even"/>
          <w:pgSz w:w="11906" w:h="16838"/>
          <w:pgMar w:top="567" w:right="1134" w:bottom="1134" w:left="1418" w:header="1418" w:footer="1134" w:gutter="0"/>
          <w:pgNumType w:fmt="upperRoman" w:start="1"/>
          <w:cols w:space="720" w:num="1"/>
          <w:formProt w:val="0"/>
          <w:titlePg/>
          <w:docGrid w:type="lines" w:linePitch="312" w:charSpace="0"/>
        </w:sectPr>
      </w:pPr>
    </w:p>
    <w:p>
      <w:pPr>
        <w:pStyle w:val="23"/>
        <w:keepNext w:val="0"/>
        <w:pageBreakBefore w:val="0"/>
        <w:ind w:firstLine="640"/>
      </w:pPr>
      <w:r>
        <w:rPr>
          <w:rFonts w:hint="eastAsia" w:ascii="宋体" w:hAnsi="宋体"/>
        </w:rPr>
        <w:t>简易仓囤储粮异常粮情应急处置操作规范</w:t>
      </w:r>
    </w:p>
    <w:p>
      <w:pPr>
        <w:pStyle w:val="20"/>
      </w:pPr>
      <w:bookmarkStart w:id="9" w:name="_Toc317671134"/>
      <w:bookmarkStart w:id="10" w:name="_Toc317971716"/>
      <w:bookmarkStart w:id="11" w:name="_Toc318369871"/>
      <w:bookmarkStart w:id="12" w:name="_Toc319071053"/>
      <w:bookmarkStart w:id="13" w:name="_Toc317971852"/>
      <w:bookmarkStart w:id="14" w:name="_Toc502137995"/>
      <w:bookmarkStart w:id="15" w:name="_Toc317895884"/>
      <w:r>
        <w:rPr>
          <w:rFonts w:hint="eastAsia"/>
        </w:rPr>
        <w:t>范围</w:t>
      </w:r>
      <w:bookmarkEnd w:id="9"/>
      <w:bookmarkEnd w:id="10"/>
      <w:bookmarkEnd w:id="11"/>
      <w:bookmarkEnd w:id="12"/>
      <w:bookmarkEnd w:id="13"/>
      <w:bookmarkEnd w:id="14"/>
      <w:bookmarkEnd w:id="15"/>
      <w:bookmarkStart w:id="16" w:name="pindex28"/>
      <w:bookmarkEnd w:id="16"/>
    </w:p>
    <w:p>
      <w:pPr>
        <w:pStyle w:val="19"/>
        <w:snapToGrid w:val="0"/>
      </w:pPr>
      <w:bookmarkStart w:id="17" w:name="_Toc317971853"/>
      <w:bookmarkStart w:id="18" w:name="_Toc317895885"/>
      <w:bookmarkStart w:id="19" w:name="_Toc318369872"/>
      <w:bookmarkStart w:id="20" w:name="_Toc317971717"/>
      <w:bookmarkStart w:id="21" w:name="_Toc319071054"/>
      <w:bookmarkStart w:id="22" w:name="_Toc317671135"/>
      <w:r>
        <w:rPr>
          <w:rFonts w:hint="eastAsia"/>
        </w:rPr>
        <w:t>本标准规定了简易仓囤异常粮情的定义和分类、各类异常粮情操作的流程和处置措施。</w:t>
      </w:r>
    </w:p>
    <w:p>
      <w:pPr>
        <w:snapToGrid w:val="0"/>
        <w:ind w:firstLine="420"/>
        <w:rPr>
          <w:rFonts w:ascii="仿宋_GB2312" w:eastAsia="仿宋_GB2312"/>
          <w:sz w:val="28"/>
          <w:szCs w:val="28"/>
        </w:rPr>
      </w:pPr>
      <w:r>
        <w:rPr>
          <w:rFonts w:hint="eastAsia"/>
        </w:rPr>
        <w:t>本标准适用于简易仓囤异常粮情处置操作，其他仓型异常粮情处理可参照执行。</w:t>
      </w:r>
    </w:p>
    <w:p>
      <w:pPr>
        <w:pStyle w:val="20"/>
      </w:pPr>
      <w:r>
        <w:rPr>
          <w:rFonts w:hint="eastAsia"/>
        </w:rPr>
        <w:t>规范性引用文件</w:t>
      </w:r>
      <w:bookmarkStart w:id="23" w:name="pindex31"/>
      <w:bookmarkEnd w:id="23"/>
    </w:p>
    <w:p>
      <w:pPr>
        <w:pStyle w:val="19"/>
      </w:pPr>
      <w:r>
        <w:rPr>
          <w:rFonts w:hint="eastAsia"/>
        </w:rPr>
        <w:t>下列文件对于本文件的应用是必不可少的。凡是注日期的引用文件，仅注日期的版本适用于本文件。凡是不注日期的引用文件，其最新版本（包括所有的修改单）适用于本文件。</w:t>
      </w:r>
    </w:p>
    <w:p>
      <w:pPr>
        <w:pStyle w:val="19"/>
      </w:pPr>
      <w:r>
        <w:rPr>
          <w:rFonts w:hint="eastAsia"/>
        </w:rPr>
        <w:t>GB 5009.3 食品安全国家标准 食品中水分的测定</w:t>
      </w:r>
    </w:p>
    <w:p>
      <w:pPr>
        <w:pStyle w:val="19"/>
      </w:pPr>
      <w:r>
        <w:t>GB/T 2</w:t>
      </w:r>
      <w:r>
        <w:rPr>
          <w:rFonts w:hint="eastAsia"/>
        </w:rPr>
        <w:t>9890</w:t>
      </w:r>
      <w:r>
        <w:t xml:space="preserve"> </w:t>
      </w:r>
      <w:r>
        <w:rPr>
          <w:rFonts w:hint="eastAsia"/>
        </w:rPr>
        <w:t>粮油储藏技术规范</w:t>
      </w:r>
    </w:p>
    <w:p>
      <w:pPr>
        <w:pStyle w:val="19"/>
      </w:pPr>
      <w:r>
        <w:rPr>
          <w:rFonts w:hint="eastAsia"/>
        </w:rPr>
        <w:t>LS</w:t>
      </w:r>
      <w:r>
        <w:t xml:space="preserve">/T </w:t>
      </w:r>
      <w:r>
        <w:rPr>
          <w:rFonts w:hint="eastAsia"/>
        </w:rPr>
        <w:t>1202 储粮机械通风技术规程</w:t>
      </w:r>
    </w:p>
    <w:p>
      <w:pPr>
        <w:pStyle w:val="19"/>
      </w:pPr>
      <w:r>
        <w:rPr>
          <w:rFonts w:hint="eastAsia"/>
        </w:rPr>
        <w:t>LS</w:t>
      </w:r>
      <w:r>
        <w:t xml:space="preserve"> </w:t>
      </w:r>
      <w:r>
        <w:rPr>
          <w:rFonts w:hint="eastAsia"/>
        </w:rPr>
        <w:t>1206 粮食仓库安全操作规程</w:t>
      </w:r>
    </w:p>
    <w:p>
      <w:pPr>
        <w:pStyle w:val="19"/>
      </w:pPr>
      <w:r>
        <w:rPr>
          <w:rFonts w:hint="eastAsia"/>
        </w:rPr>
        <w:t>LS</w:t>
      </w:r>
      <w:r>
        <w:t xml:space="preserve">/T </w:t>
      </w:r>
      <w:r>
        <w:rPr>
          <w:rFonts w:hint="eastAsia"/>
        </w:rPr>
        <w:t>1217 简易仓囤储粮技术规程</w:t>
      </w:r>
    </w:p>
    <w:p>
      <w:pPr>
        <w:pStyle w:val="19"/>
        <w:rPr>
          <w:szCs w:val="22"/>
        </w:rPr>
      </w:pPr>
      <w:r>
        <w:rPr>
          <w:rFonts w:hint="eastAsia"/>
          <w:szCs w:val="22"/>
        </w:rPr>
        <w:t xml:space="preserve">粮油储存安全责任暂行规定 </w:t>
      </w:r>
    </w:p>
    <w:p>
      <w:pPr>
        <w:pStyle w:val="19"/>
        <w:rPr>
          <w:szCs w:val="22"/>
          <w:shd w:val="clear" w:color="auto" w:fill="FFFFFF"/>
        </w:rPr>
      </w:pPr>
      <w:r>
        <w:rPr>
          <w:rFonts w:hint="eastAsia"/>
          <w:szCs w:val="22"/>
          <w:shd w:val="clear" w:color="auto" w:fill="FFFFFF"/>
        </w:rPr>
        <w:t xml:space="preserve">粮油安全储存守则 </w:t>
      </w:r>
    </w:p>
    <w:p>
      <w:pPr>
        <w:pStyle w:val="19"/>
        <w:rPr>
          <w:szCs w:val="22"/>
        </w:rPr>
      </w:pPr>
      <w:r>
        <w:rPr>
          <w:rFonts w:hint="eastAsia"/>
          <w:szCs w:val="22"/>
          <w:shd w:val="clear" w:color="auto" w:fill="FFFFFF"/>
        </w:rPr>
        <w:t>粮库安全生产守则</w:t>
      </w:r>
    </w:p>
    <w:bookmarkEnd w:id="17"/>
    <w:bookmarkEnd w:id="18"/>
    <w:bookmarkEnd w:id="19"/>
    <w:bookmarkEnd w:id="20"/>
    <w:bookmarkEnd w:id="21"/>
    <w:bookmarkEnd w:id="22"/>
    <w:p>
      <w:pPr>
        <w:pStyle w:val="20"/>
      </w:pPr>
      <w:bookmarkStart w:id="24" w:name="_Toc177953020"/>
      <w:bookmarkStart w:id="25" w:name="_Toc174431835"/>
      <w:bookmarkStart w:id="26" w:name="_Toc177398035"/>
      <w:bookmarkStart w:id="27" w:name="_Toc317895886"/>
      <w:bookmarkStart w:id="28" w:name="_Toc172093931"/>
      <w:bookmarkStart w:id="29" w:name="_Toc178928184"/>
      <w:bookmarkStart w:id="30" w:name="_Toc170553825"/>
      <w:bookmarkStart w:id="31" w:name="_Toc170116465"/>
      <w:bookmarkStart w:id="32" w:name="_Toc174848269"/>
      <w:bookmarkStart w:id="33" w:name="_Toc177397980"/>
      <w:bookmarkStart w:id="34" w:name="_Toc175273008"/>
      <w:bookmarkStart w:id="35" w:name="_Toc175368007"/>
      <w:bookmarkStart w:id="36" w:name="_Toc177397549"/>
      <w:bookmarkStart w:id="37" w:name="_Toc177392792"/>
      <w:bookmarkStart w:id="38" w:name="_Toc172469736"/>
      <w:bookmarkStart w:id="39" w:name="_Toc175535864"/>
      <w:bookmarkStart w:id="40" w:name="_Toc177397606"/>
      <w:bookmarkStart w:id="41" w:name="_Toc165271216"/>
      <w:bookmarkStart w:id="42" w:name="_Toc185046244"/>
      <w:bookmarkStart w:id="43" w:name="_Toc177397924"/>
      <w:bookmarkStart w:id="44" w:name="_Toc172190413"/>
      <w:bookmarkStart w:id="45" w:name="_Toc194301836"/>
      <w:bookmarkStart w:id="46" w:name="_Toc194301916"/>
      <w:bookmarkStart w:id="47" w:name="_Toc185046144"/>
      <w:bookmarkStart w:id="48" w:name="_Toc178126639"/>
      <w:bookmarkStart w:id="49" w:name="_Toc233010543"/>
      <w:bookmarkStart w:id="50" w:name="_Toc179699235"/>
      <w:bookmarkStart w:id="51" w:name="_Toc194493766"/>
      <w:bookmarkStart w:id="52" w:name="_Toc178126904"/>
      <w:bookmarkStart w:id="53" w:name="_Toc187690230"/>
      <w:bookmarkStart w:id="54" w:name="_Toc194315288"/>
      <w:bookmarkStart w:id="55" w:name="_Toc502137997"/>
      <w:bookmarkStart w:id="56" w:name="_Toc319071055"/>
      <w:bookmarkStart w:id="57" w:name="_Toc194457586"/>
      <w:bookmarkStart w:id="58" w:name="_Toc317971718"/>
      <w:bookmarkStart w:id="59" w:name="_Toc179788263"/>
      <w:bookmarkStart w:id="60" w:name="_Toc179788438"/>
      <w:bookmarkStart w:id="61" w:name="_Toc232844045"/>
      <w:bookmarkStart w:id="62" w:name="_Toc194511908"/>
      <w:bookmarkStart w:id="63" w:name="_Toc194234955"/>
      <w:bookmarkStart w:id="64" w:name="_Toc176165822"/>
      <w:bookmarkStart w:id="65" w:name="_Toc317971854"/>
      <w:bookmarkStart w:id="66" w:name="_Toc170116507"/>
      <w:bookmarkStart w:id="67" w:name="_Toc317512208"/>
      <w:bookmarkStart w:id="68" w:name="_Toc174846388"/>
      <w:bookmarkStart w:id="69" w:name="_Toc178127149"/>
      <w:bookmarkStart w:id="70" w:name="_Toc174845991"/>
      <w:bookmarkStart w:id="71" w:name="_Toc318369873"/>
      <w:bookmarkStart w:id="72" w:name="_Toc179788366"/>
      <w:bookmarkStart w:id="73" w:name="_Toc194315159"/>
      <w:bookmarkStart w:id="74" w:name="_Toc232844020"/>
      <w:bookmarkStart w:id="75" w:name="_Toc194661018"/>
      <w:bookmarkStart w:id="76" w:name="_Toc177953048"/>
      <w:bookmarkStart w:id="77" w:name="_Toc317671136"/>
      <w:r>
        <w:rPr>
          <w:rFonts w:hint="eastAsia"/>
        </w:rPr>
        <w:t>术语和定义</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Start w:id="78" w:name="pindex41"/>
      <w:bookmarkEnd w:id="78"/>
    </w:p>
    <w:p>
      <w:pPr>
        <w:pStyle w:val="19"/>
      </w:pPr>
      <w:r>
        <w:rPr>
          <w:rFonts w:hint="eastAsia"/>
        </w:rPr>
        <w:t>LS</w:t>
      </w:r>
      <w:r>
        <w:t xml:space="preserve">/T </w:t>
      </w:r>
      <w:r>
        <w:rPr>
          <w:rFonts w:hint="eastAsia"/>
        </w:rPr>
        <w:t>1217界定的及下列术语和定义适用于本文件。</w:t>
      </w:r>
    </w:p>
    <w:p>
      <w:pPr>
        <w:pStyle w:val="21"/>
        <w:ind w:left="0"/>
      </w:pPr>
      <w:bookmarkStart w:id="79" w:name="_Toc502137998"/>
      <w:bookmarkEnd w:id="79"/>
      <w:bookmarkStart w:id="80" w:name="_Toc414978233"/>
      <w:bookmarkEnd w:id="80"/>
      <w:bookmarkStart w:id="81" w:name="_Toc304980862"/>
      <w:bookmarkEnd w:id="81"/>
      <w:bookmarkStart w:id="82" w:name="_Toc304299044"/>
      <w:bookmarkEnd w:id="82"/>
      <w:bookmarkStart w:id="83" w:name="_Toc317671137"/>
      <w:bookmarkEnd w:id="83"/>
      <w:bookmarkStart w:id="84" w:name="_Toc318369874"/>
      <w:bookmarkEnd w:id="84"/>
      <w:bookmarkStart w:id="85" w:name="pindex43"/>
      <w:bookmarkEnd w:id="85"/>
      <w:bookmarkStart w:id="86" w:name="_Toc317971855"/>
      <w:bookmarkEnd w:id="86"/>
      <w:bookmarkStart w:id="87" w:name="_Toc375943293"/>
      <w:bookmarkEnd w:id="87"/>
      <w:bookmarkStart w:id="88" w:name="_Toc400634264"/>
      <w:bookmarkEnd w:id="88"/>
      <w:bookmarkStart w:id="89" w:name="_Toc317971719"/>
      <w:bookmarkEnd w:id="89"/>
      <w:bookmarkStart w:id="90" w:name="_Toc376172287"/>
      <w:bookmarkEnd w:id="90"/>
      <w:bookmarkStart w:id="91" w:name="_Toc317512209"/>
      <w:bookmarkEnd w:id="91"/>
      <w:bookmarkStart w:id="92" w:name="_Toc317895887"/>
      <w:bookmarkEnd w:id="92"/>
      <w:bookmarkStart w:id="93" w:name="_Toc286825422"/>
      <w:bookmarkEnd w:id="93"/>
      <w:bookmarkStart w:id="94" w:name="_Toc317240268"/>
      <w:bookmarkEnd w:id="94"/>
      <w:bookmarkStart w:id="95" w:name="_Toc286825218"/>
      <w:bookmarkEnd w:id="95"/>
      <w:bookmarkStart w:id="96" w:name="_Toc376172832"/>
      <w:bookmarkEnd w:id="96"/>
      <w:bookmarkStart w:id="97" w:name="_Toc375861473"/>
      <w:bookmarkEnd w:id="97"/>
      <w:bookmarkStart w:id="98" w:name="_Toc399099146"/>
      <w:bookmarkEnd w:id="98"/>
      <w:bookmarkStart w:id="99" w:name="_Toc305658524"/>
      <w:bookmarkEnd w:id="99"/>
      <w:bookmarkStart w:id="100" w:name="_Toc319071056"/>
      <w:bookmarkEnd w:id="100"/>
    </w:p>
    <w:p>
      <w:pPr>
        <w:pStyle w:val="19"/>
        <w:rPr>
          <w:rFonts w:hAnsi="宋体" w:cs="黑体"/>
          <w:szCs w:val="21"/>
        </w:rPr>
      </w:pPr>
      <w:r>
        <w:rPr>
          <w:rFonts w:hint="eastAsia" w:hAnsi="宋体" w:cs="黑体"/>
          <w:szCs w:val="21"/>
        </w:rPr>
        <w:t>简易仓囤</w:t>
      </w:r>
      <w:r>
        <w:rPr>
          <w:rFonts w:ascii="Times New Roman"/>
          <w:szCs w:val="21"/>
        </w:rPr>
        <w:t xml:space="preserve"> temporary facitility</w:t>
      </w:r>
    </w:p>
    <w:p>
      <w:pPr>
        <w:pStyle w:val="19"/>
        <w:rPr>
          <w:rFonts w:hAnsi="宋体" w:cs="黑体"/>
          <w:szCs w:val="21"/>
        </w:rPr>
      </w:pPr>
      <w:r>
        <w:rPr>
          <w:rFonts w:hint="eastAsia" w:hAnsi="宋体" w:cs="黑体"/>
          <w:szCs w:val="21"/>
        </w:rPr>
        <w:t>能够采取技术措施，保证储粮安全的简易储粮设施，主要包括简易仓、罩棚、简易囤等。</w:t>
      </w:r>
    </w:p>
    <w:p>
      <w:pPr>
        <w:pStyle w:val="19"/>
        <w:rPr>
          <w:rFonts w:hAnsi="宋体" w:cs="黑体"/>
          <w:szCs w:val="21"/>
        </w:rPr>
      </w:pPr>
      <w:r>
        <w:rPr>
          <w:rFonts w:hint="eastAsia" w:hAnsi="宋体" w:cs="黑体"/>
          <w:szCs w:val="21"/>
        </w:rPr>
        <w:t>[</w:t>
      </w:r>
      <w:r>
        <w:rPr>
          <w:rFonts w:hAnsi="宋体" w:cs="黑体"/>
          <w:szCs w:val="21"/>
        </w:rPr>
        <w:t>LS/T 1217-2016</w:t>
      </w:r>
      <w:r>
        <w:rPr>
          <w:rFonts w:hint="eastAsia" w:hAnsi="宋体" w:cs="黑体"/>
          <w:szCs w:val="21"/>
        </w:rPr>
        <w:t>，定义3</w:t>
      </w:r>
      <w:r>
        <w:rPr>
          <w:rFonts w:hAnsi="宋体" w:cs="黑体"/>
          <w:szCs w:val="21"/>
        </w:rPr>
        <w:t>.1]</w:t>
      </w:r>
    </w:p>
    <w:p>
      <w:pPr>
        <w:pStyle w:val="19"/>
        <w:rPr>
          <w:rFonts w:hAnsi="宋体" w:cs="黑体"/>
          <w:szCs w:val="21"/>
        </w:rPr>
      </w:pPr>
    </w:p>
    <w:p>
      <w:pPr>
        <w:pStyle w:val="19"/>
        <w:ind w:firstLine="0" w:firstLineChars="0"/>
        <w:rPr>
          <w:rFonts w:ascii="黑体" w:hAnsi="黑体" w:eastAsia="黑体"/>
        </w:rPr>
      </w:pPr>
      <w:r>
        <w:rPr>
          <w:rFonts w:hint="eastAsia" w:ascii="黑体" w:hAnsi="黑体" w:eastAsia="黑体"/>
        </w:rPr>
        <w:t>3.2</w:t>
      </w:r>
    </w:p>
    <w:p>
      <w:pPr>
        <w:pStyle w:val="19"/>
        <w:rPr>
          <w:rFonts w:ascii="Times New Roman"/>
          <w:szCs w:val="21"/>
        </w:rPr>
      </w:pPr>
      <w:r>
        <w:rPr>
          <w:rFonts w:hint="eastAsia" w:hAnsi="宋体" w:cs="黑体"/>
          <w:szCs w:val="21"/>
        </w:rPr>
        <w:t xml:space="preserve">异常粮情 </w:t>
      </w:r>
      <w:r>
        <w:rPr>
          <w:rFonts w:ascii="Times New Roman"/>
          <w:szCs w:val="21"/>
        </w:rPr>
        <w:t>abnormal condition of stored-grain</w:t>
      </w:r>
    </w:p>
    <w:p>
      <w:pPr>
        <w:pStyle w:val="19"/>
      </w:pPr>
      <w:bookmarkStart w:id="101" w:name="_Toc375943294"/>
      <w:bookmarkEnd w:id="101"/>
      <w:bookmarkStart w:id="102" w:name="_Toc318369875"/>
      <w:bookmarkEnd w:id="102"/>
      <w:bookmarkStart w:id="103" w:name="_Toc286825423"/>
      <w:bookmarkEnd w:id="103"/>
      <w:bookmarkStart w:id="104" w:name="_Toc304299045"/>
      <w:bookmarkEnd w:id="104"/>
      <w:bookmarkStart w:id="105" w:name="_Toc399099147"/>
      <w:bookmarkEnd w:id="105"/>
      <w:bookmarkStart w:id="106" w:name="_Toc317512210"/>
      <w:bookmarkEnd w:id="106"/>
      <w:bookmarkStart w:id="107" w:name="_Toc376172833"/>
      <w:bookmarkEnd w:id="107"/>
      <w:bookmarkStart w:id="108" w:name="_Toc317895888"/>
      <w:bookmarkEnd w:id="108"/>
      <w:bookmarkStart w:id="109" w:name="_Toc317240269"/>
      <w:bookmarkEnd w:id="109"/>
      <w:bookmarkStart w:id="110" w:name="_Toc376172288"/>
      <w:bookmarkEnd w:id="110"/>
      <w:bookmarkStart w:id="111" w:name="_Toc317671138"/>
      <w:bookmarkEnd w:id="111"/>
      <w:bookmarkStart w:id="112" w:name="_Toc375861474"/>
      <w:bookmarkEnd w:id="112"/>
      <w:bookmarkStart w:id="113" w:name="_Toc305658525"/>
      <w:bookmarkEnd w:id="113"/>
      <w:bookmarkStart w:id="114" w:name="_Toc304980863"/>
      <w:bookmarkEnd w:id="114"/>
      <w:bookmarkStart w:id="115" w:name="_Toc414978234"/>
      <w:bookmarkEnd w:id="115"/>
      <w:bookmarkStart w:id="116" w:name="_Toc319071057"/>
      <w:bookmarkEnd w:id="116"/>
      <w:bookmarkStart w:id="117" w:name="_Toc233010545"/>
      <w:bookmarkEnd w:id="117"/>
      <w:bookmarkStart w:id="118" w:name="_Toc317971720"/>
      <w:bookmarkEnd w:id="118"/>
      <w:bookmarkStart w:id="119" w:name="_Toc286825219"/>
      <w:bookmarkEnd w:id="119"/>
      <w:bookmarkStart w:id="120" w:name="_Toc317971856"/>
      <w:bookmarkEnd w:id="120"/>
      <w:bookmarkStart w:id="121" w:name="_Toc400634265"/>
      <w:bookmarkEnd w:id="121"/>
      <w:r>
        <w:rPr>
          <w:rFonts w:hint="eastAsia"/>
        </w:rPr>
        <w:t>储粮发生结露、结块、虫害、发热、霉变的情形。</w:t>
      </w:r>
    </w:p>
    <w:p>
      <w:pPr>
        <w:pStyle w:val="21"/>
        <w:numPr>
          <w:ilvl w:val="0"/>
          <w:numId w:val="0"/>
        </w:numPr>
      </w:pPr>
      <w:r>
        <w:rPr>
          <w:rFonts w:hint="eastAsia"/>
        </w:rPr>
        <w:t>3.3</w:t>
      </w:r>
    </w:p>
    <w:p>
      <w:pPr>
        <w:pStyle w:val="19"/>
        <w:rPr>
          <w:rFonts w:hAnsi="宋体" w:cs="黑体"/>
          <w:szCs w:val="21"/>
        </w:rPr>
      </w:pPr>
      <w:r>
        <w:rPr>
          <w:rFonts w:hint="eastAsia" w:hAnsi="宋体" w:cs="黑体"/>
          <w:szCs w:val="21"/>
        </w:rPr>
        <w:t xml:space="preserve">粮堆结露 </w:t>
      </w:r>
      <w:r>
        <w:rPr>
          <w:rFonts w:ascii="Times New Roman"/>
          <w:szCs w:val="21"/>
        </w:rPr>
        <w:t>dewfall of grain mass</w:t>
      </w:r>
      <w:r>
        <w:rPr>
          <w:rFonts w:hint="eastAsia" w:hAnsi="宋体" w:cs="黑体"/>
          <w:szCs w:val="21"/>
        </w:rPr>
        <w:t xml:space="preserve"> </w:t>
      </w:r>
    </w:p>
    <w:p>
      <w:pPr>
        <w:ind w:firstLine="420"/>
      </w:pPr>
      <w:r>
        <w:rPr>
          <w:rFonts w:hint="eastAsia" w:ascii="Arial" w:hAnsi="Arial" w:cs="Arial"/>
          <w:color w:val="333333"/>
          <w:szCs w:val="21"/>
          <w:shd w:val="clear" w:color="auto" w:fill="FFFFFF"/>
        </w:rPr>
        <w:t>粮堆中水汽达到饱和状态，开始在粮粒、仓墙等</w:t>
      </w:r>
      <w:r>
        <w:rPr>
          <w:rFonts w:ascii="Arial" w:hAnsi="Arial" w:cs="Arial"/>
          <w:color w:val="333333"/>
          <w:szCs w:val="21"/>
          <w:shd w:val="clear" w:color="auto" w:fill="FFFFFF"/>
        </w:rPr>
        <w:t>物体出现凝</w:t>
      </w:r>
      <w:r>
        <w:rPr>
          <w:rFonts w:hint="eastAsia" w:ascii="Arial" w:hAnsi="Arial" w:cs="Arial"/>
          <w:color w:val="333333"/>
          <w:szCs w:val="21"/>
          <w:shd w:val="clear" w:color="auto" w:fill="FFFFFF"/>
        </w:rPr>
        <w:t>结</w:t>
      </w:r>
      <w:r>
        <w:rPr>
          <w:rFonts w:ascii="Arial" w:hAnsi="Arial" w:cs="Arial"/>
          <w:color w:val="333333"/>
          <w:szCs w:val="21"/>
          <w:shd w:val="clear" w:color="auto" w:fill="FFFFFF"/>
        </w:rPr>
        <w:t>水的现象。</w:t>
      </w:r>
    </w:p>
    <w:p>
      <w:pPr>
        <w:ind w:firstLine="0" w:firstLineChars="0"/>
      </w:pPr>
      <w:r>
        <w:rPr>
          <w:rFonts w:hint="eastAsia"/>
        </w:rPr>
        <w:t>3.4</w:t>
      </w:r>
    </w:p>
    <w:p>
      <w:pPr>
        <w:ind w:firstLine="420"/>
      </w:pPr>
      <w:r>
        <w:t>严重结露</w:t>
      </w:r>
      <w:r>
        <w:rPr>
          <w:kern w:val="0"/>
          <w:szCs w:val="21"/>
        </w:rPr>
        <w:t>severe dewfall condensation</w:t>
      </w:r>
    </w:p>
    <w:p>
      <w:pPr>
        <w:ind w:firstLine="420"/>
      </w:pPr>
      <w:r>
        <w:rPr>
          <w:rFonts w:hint="eastAsia"/>
        </w:rPr>
        <w:t>粮食吸附结露的</w:t>
      </w:r>
      <w:r>
        <w:rPr>
          <w:rFonts w:ascii="Arial" w:hAnsi="Arial" w:cs="Arial"/>
          <w:color w:val="333333"/>
          <w:szCs w:val="21"/>
          <w:shd w:val="clear" w:color="auto" w:fill="FFFFFF"/>
        </w:rPr>
        <w:t>冷凝水</w:t>
      </w:r>
      <w:r>
        <w:rPr>
          <w:rFonts w:hint="eastAsia"/>
        </w:rPr>
        <w:t>，粮食水分明显升高，超过安全水分的现象。</w:t>
      </w:r>
    </w:p>
    <w:p>
      <w:pPr>
        <w:pStyle w:val="19"/>
      </w:pPr>
    </w:p>
    <w:p>
      <w:pPr>
        <w:pStyle w:val="19"/>
        <w:ind w:firstLine="0" w:firstLineChars="0"/>
      </w:pPr>
      <w:r>
        <w:rPr>
          <w:rFonts w:hint="eastAsia"/>
        </w:rPr>
        <w:t>3.5</w:t>
      </w:r>
    </w:p>
    <w:p>
      <w:pPr>
        <w:pStyle w:val="19"/>
        <w:rPr>
          <w:rFonts w:ascii="Times New Roman"/>
          <w:szCs w:val="21"/>
        </w:rPr>
      </w:pPr>
      <w:r>
        <w:rPr>
          <w:rFonts w:hint="eastAsia"/>
          <w:bCs/>
        </w:rPr>
        <w:t>粮堆发热</w:t>
      </w:r>
      <w:r>
        <w:rPr>
          <w:rFonts w:hint="eastAsia"/>
          <w:b/>
        </w:rPr>
        <w:t xml:space="preserve"> </w:t>
      </w:r>
      <w:r>
        <w:rPr>
          <w:rFonts w:ascii="Times New Roman"/>
          <w:szCs w:val="21"/>
        </w:rPr>
        <w:t>grain mass heating</w:t>
      </w:r>
      <w:r>
        <w:fldChar w:fldCharType="begin"/>
      </w:r>
      <w:r>
        <w:instrText xml:space="preserve"> HYPERLINK "http://dict.youdao.com/javascript:void(0);" \o "未添加，点击添加到单词本" </w:instrText>
      </w:r>
      <w:r>
        <w:fldChar w:fldCharType="separate"/>
      </w:r>
      <w:r>
        <w:fldChar w:fldCharType="end"/>
      </w:r>
    </w:p>
    <w:p>
      <w:pPr>
        <w:pStyle w:val="19"/>
      </w:pPr>
      <w:r>
        <w:rPr>
          <w:rFonts w:hint="eastAsia"/>
        </w:rPr>
        <w:t>粮食储藏期间，粮堆温度出现异常升高或该降不降甚至上升的现象。</w:t>
      </w:r>
    </w:p>
    <w:p>
      <w:pPr>
        <w:pStyle w:val="20"/>
      </w:pPr>
      <w:bookmarkStart w:id="122" w:name="_Toc414978235"/>
      <w:bookmarkEnd w:id="122"/>
      <w:bookmarkStart w:id="123" w:name="_Toc317971721"/>
      <w:bookmarkEnd w:id="123"/>
      <w:bookmarkStart w:id="124" w:name="_Toc414978237"/>
      <w:bookmarkEnd w:id="124"/>
      <w:bookmarkStart w:id="125" w:name="_Toc317895889"/>
      <w:bookmarkEnd w:id="125"/>
      <w:bookmarkStart w:id="126" w:name="_Toc317240270"/>
      <w:bookmarkEnd w:id="126"/>
      <w:bookmarkStart w:id="127" w:name="_Toc317512213"/>
      <w:bookmarkEnd w:id="127"/>
      <w:bookmarkStart w:id="128" w:name="_Toc375943295"/>
      <w:bookmarkEnd w:id="128"/>
      <w:bookmarkStart w:id="129" w:name="_Toc286825221"/>
      <w:bookmarkEnd w:id="129"/>
      <w:bookmarkStart w:id="130" w:name="_Toc233010549"/>
      <w:bookmarkEnd w:id="130"/>
      <w:bookmarkStart w:id="131" w:name="_Toc233010546"/>
      <w:bookmarkEnd w:id="131"/>
      <w:bookmarkStart w:id="132" w:name="_Toc376172289"/>
      <w:bookmarkEnd w:id="132"/>
      <w:bookmarkStart w:id="133" w:name="_Toc317971857"/>
      <w:bookmarkEnd w:id="133"/>
      <w:bookmarkStart w:id="134" w:name="_Toc286825222"/>
      <w:bookmarkEnd w:id="134"/>
      <w:bookmarkStart w:id="135" w:name="_Toc318369876"/>
      <w:bookmarkEnd w:id="135"/>
      <w:bookmarkStart w:id="136" w:name="_Toc319071059"/>
      <w:bookmarkEnd w:id="136"/>
      <w:bookmarkStart w:id="137" w:name="_Toc304980864"/>
      <w:bookmarkEnd w:id="137"/>
      <w:bookmarkStart w:id="138" w:name="_Toc400634266"/>
      <w:bookmarkEnd w:id="138"/>
      <w:bookmarkStart w:id="139" w:name="_Toc375861475"/>
      <w:bookmarkEnd w:id="139"/>
      <w:bookmarkStart w:id="140" w:name="_Toc304980865"/>
      <w:bookmarkEnd w:id="140"/>
      <w:bookmarkStart w:id="141" w:name="_Toc319071060"/>
      <w:bookmarkEnd w:id="141"/>
      <w:bookmarkStart w:id="142" w:name="_Toc305658526"/>
      <w:bookmarkEnd w:id="142"/>
      <w:bookmarkStart w:id="143" w:name="_Toc233010544"/>
      <w:bookmarkEnd w:id="143"/>
      <w:bookmarkStart w:id="144" w:name="_Toc304299048"/>
      <w:bookmarkEnd w:id="144"/>
      <w:bookmarkStart w:id="145" w:name="_Toc399099148"/>
      <w:bookmarkEnd w:id="145"/>
      <w:bookmarkStart w:id="146" w:name="_Toc194301940"/>
      <w:bookmarkEnd w:id="146"/>
      <w:bookmarkStart w:id="147" w:name="_Toc305658528"/>
      <w:bookmarkEnd w:id="147"/>
      <w:bookmarkStart w:id="148" w:name="_Toc233010548"/>
      <w:bookmarkEnd w:id="148"/>
      <w:bookmarkStart w:id="149" w:name="_Toc376172834"/>
      <w:bookmarkEnd w:id="149"/>
      <w:bookmarkStart w:id="150" w:name="_Toc286825223"/>
      <w:bookmarkEnd w:id="150"/>
      <w:bookmarkStart w:id="151" w:name="_Toc304299047"/>
      <w:bookmarkEnd w:id="151"/>
      <w:bookmarkStart w:id="152" w:name="_Toc317671141"/>
      <w:bookmarkEnd w:id="152"/>
      <w:bookmarkStart w:id="153" w:name="_Toc179788462"/>
      <w:bookmarkEnd w:id="153"/>
      <w:bookmarkStart w:id="154" w:name="_Toc286825425"/>
      <w:bookmarkEnd w:id="154"/>
      <w:bookmarkStart w:id="155" w:name="_Toc185046268"/>
      <w:bookmarkEnd w:id="155"/>
      <w:bookmarkStart w:id="156" w:name="_Toc317971722"/>
      <w:bookmarkEnd w:id="156"/>
      <w:bookmarkStart w:id="157" w:name="_Toc317971859"/>
      <w:bookmarkEnd w:id="157"/>
      <w:bookmarkStart w:id="158" w:name="_Toc286825220"/>
      <w:bookmarkEnd w:id="158"/>
      <w:bookmarkStart w:id="159" w:name="_Toc317671139"/>
      <w:bookmarkEnd w:id="159"/>
      <w:bookmarkStart w:id="160" w:name="_Toc304299046"/>
      <w:bookmarkEnd w:id="160"/>
      <w:bookmarkStart w:id="161" w:name="_Toc233010547"/>
      <w:bookmarkEnd w:id="161"/>
      <w:bookmarkStart w:id="162" w:name="_Toc317240272"/>
      <w:bookmarkEnd w:id="162"/>
      <w:bookmarkStart w:id="163" w:name="_Toc317512212"/>
      <w:bookmarkEnd w:id="163"/>
      <w:bookmarkStart w:id="164" w:name="_Toc319071058"/>
      <w:bookmarkEnd w:id="164"/>
      <w:bookmarkStart w:id="165" w:name="_Toc317512211"/>
      <w:bookmarkEnd w:id="165"/>
      <w:bookmarkStart w:id="166" w:name="_Toc286825449"/>
      <w:bookmarkEnd w:id="166"/>
      <w:bookmarkStart w:id="167" w:name="_Toc194301938"/>
      <w:bookmarkEnd w:id="167"/>
      <w:bookmarkStart w:id="168" w:name="_Toc286825427"/>
      <w:bookmarkEnd w:id="168"/>
      <w:bookmarkStart w:id="169" w:name="_Toc194301858"/>
      <w:bookmarkEnd w:id="169"/>
      <w:bookmarkStart w:id="170" w:name="_Toc318369878"/>
      <w:bookmarkEnd w:id="170"/>
      <w:bookmarkStart w:id="171" w:name="_Toc318369877"/>
      <w:bookmarkEnd w:id="171"/>
      <w:bookmarkStart w:id="172" w:name="_Toc375943296"/>
      <w:bookmarkEnd w:id="172"/>
      <w:bookmarkStart w:id="173" w:name="_Toc317895891"/>
      <w:bookmarkEnd w:id="173"/>
      <w:bookmarkStart w:id="174" w:name="_Toc376172835"/>
      <w:bookmarkEnd w:id="174"/>
      <w:bookmarkStart w:id="175" w:name="_Toc194315180"/>
      <w:bookmarkEnd w:id="175"/>
      <w:bookmarkStart w:id="176" w:name="_Toc194301939"/>
      <w:bookmarkEnd w:id="176"/>
      <w:bookmarkStart w:id="177" w:name="_Toc178126927"/>
      <w:bookmarkEnd w:id="177"/>
      <w:bookmarkStart w:id="178" w:name="_Toc305658527"/>
      <w:bookmarkEnd w:id="178"/>
      <w:bookmarkStart w:id="179" w:name="_Toc187690257"/>
      <w:bookmarkEnd w:id="179"/>
      <w:bookmarkStart w:id="180" w:name="_Toc375861476"/>
      <w:bookmarkEnd w:id="180"/>
      <w:bookmarkStart w:id="181" w:name="_Toc286825426"/>
      <w:bookmarkEnd w:id="181"/>
      <w:bookmarkStart w:id="182" w:name="_Toc317971723"/>
      <w:bookmarkEnd w:id="182"/>
      <w:bookmarkStart w:id="183" w:name="_Toc376172290"/>
      <w:bookmarkEnd w:id="183"/>
      <w:bookmarkStart w:id="184" w:name="_Toc194234978"/>
      <w:bookmarkEnd w:id="184"/>
      <w:bookmarkStart w:id="185" w:name="_Toc194301861"/>
      <w:bookmarkEnd w:id="185"/>
      <w:bookmarkStart w:id="186" w:name="_Toc286825424"/>
      <w:bookmarkEnd w:id="186"/>
      <w:bookmarkStart w:id="187" w:name="_Toc317240271"/>
      <w:bookmarkEnd w:id="187"/>
      <w:bookmarkStart w:id="188" w:name="_Toc178928208"/>
      <w:bookmarkEnd w:id="188"/>
      <w:bookmarkStart w:id="189" w:name="_Toc194301860"/>
      <w:bookmarkEnd w:id="189"/>
      <w:bookmarkStart w:id="190" w:name="_Toc194234979"/>
      <w:bookmarkEnd w:id="190"/>
      <w:bookmarkStart w:id="191" w:name="_Toc177953071"/>
      <w:bookmarkEnd w:id="191"/>
      <w:bookmarkStart w:id="192" w:name="_Toc317895890"/>
      <w:bookmarkEnd w:id="192"/>
      <w:bookmarkStart w:id="193" w:name="_Toc194234977"/>
      <w:bookmarkEnd w:id="193"/>
      <w:bookmarkStart w:id="194" w:name="_Toc317971858"/>
      <w:bookmarkEnd w:id="194"/>
      <w:bookmarkStart w:id="195" w:name="_Toc194234980"/>
      <w:bookmarkEnd w:id="195"/>
      <w:bookmarkStart w:id="196" w:name="_Toc194315181"/>
      <w:bookmarkEnd w:id="196"/>
      <w:bookmarkStart w:id="197" w:name="_Toc179788390"/>
      <w:bookmarkEnd w:id="197"/>
      <w:bookmarkStart w:id="198" w:name="_Toc304980866"/>
      <w:bookmarkEnd w:id="198"/>
      <w:bookmarkStart w:id="199" w:name="_Toc178127172"/>
      <w:bookmarkEnd w:id="199"/>
      <w:bookmarkStart w:id="200" w:name="_Toc194315183"/>
      <w:bookmarkEnd w:id="200"/>
      <w:bookmarkStart w:id="201" w:name="_Toc194301937"/>
      <w:bookmarkEnd w:id="201"/>
      <w:bookmarkStart w:id="202" w:name="_Toc194315309"/>
      <w:bookmarkEnd w:id="202"/>
      <w:bookmarkStart w:id="203" w:name="_Toc179699259"/>
      <w:bookmarkEnd w:id="203"/>
      <w:bookmarkStart w:id="204" w:name="_Toc178126662"/>
      <w:bookmarkEnd w:id="204"/>
      <w:bookmarkStart w:id="205" w:name="_Toc194301859"/>
      <w:bookmarkEnd w:id="205"/>
      <w:bookmarkStart w:id="206" w:name="_Toc317671140"/>
      <w:bookmarkEnd w:id="206"/>
      <w:bookmarkStart w:id="207" w:name="_Toc286825243"/>
      <w:bookmarkEnd w:id="207"/>
      <w:bookmarkStart w:id="208" w:name="_Toc194315311"/>
      <w:bookmarkEnd w:id="208"/>
      <w:bookmarkStart w:id="209" w:name="_Toc194301942"/>
      <w:bookmarkEnd w:id="209"/>
      <w:bookmarkStart w:id="210" w:name="_Toc194315184"/>
      <w:bookmarkEnd w:id="210"/>
      <w:bookmarkStart w:id="211" w:name="_Toc194234976"/>
      <w:bookmarkEnd w:id="211"/>
      <w:bookmarkStart w:id="212" w:name="_Toc194315313"/>
      <w:bookmarkEnd w:id="212"/>
      <w:bookmarkStart w:id="213" w:name="_Toc194234981"/>
      <w:bookmarkEnd w:id="213"/>
      <w:bookmarkStart w:id="214" w:name="_Toc194301941"/>
      <w:bookmarkEnd w:id="214"/>
      <w:bookmarkStart w:id="215" w:name="_Toc194301862"/>
      <w:bookmarkEnd w:id="215"/>
      <w:bookmarkStart w:id="216" w:name="_Toc179788287"/>
      <w:bookmarkEnd w:id="216"/>
      <w:bookmarkStart w:id="217" w:name="_Toc194315312"/>
      <w:bookmarkEnd w:id="217"/>
      <w:bookmarkStart w:id="218" w:name="_Toc194315182"/>
      <w:bookmarkEnd w:id="218"/>
      <w:bookmarkStart w:id="219" w:name="_Toc194315310"/>
      <w:bookmarkEnd w:id="219"/>
      <w:bookmarkStart w:id="220" w:name="_Toc194315314"/>
      <w:bookmarkEnd w:id="220"/>
      <w:bookmarkStart w:id="221" w:name="_Toc194315185"/>
      <w:bookmarkEnd w:id="221"/>
      <w:bookmarkStart w:id="222" w:name="_Toc194301857"/>
      <w:bookmarkEnd w:id="222"/>
      <w:r>
        <w:rPr>
          <w:rFonts w:hint="eastAsia"/>
        </w:rPr>
        <w:t>异常粮情的分类</w:t>
      </w:r>
      <w:bookmarkStart w:id="223" w:name="pindex61"/>
      <w:bookmarkEnd w:id="223"/>
    </w:p>
    <w:p>
      <w:pPr>
        <w:pStyle w:val="19"/>
      </w:pPr>
      <w:r>
        <w:rPr>
          <w:rFonts w:hint="eastAsia"/>
        </w:rPr>
        <w:t>简易仓囤异常粮情按其发生的类型分为：结露、结块、虫害、发热、霉变。</w:t>
      </w:r>
    </w:p>
    <w:p>
      <w:pPr>
        <w:pStyle w:val="20"/>
      </w:pPr>
      <w:bookmarkStart w:id="224" w:name="_Toc399099160"/>
      <w:bookmarkEnd w:id="224"/>
      <w:bookmarkStart w:id="225" w:name="_Toc399099165"/>
      <w:bookmarkEnd w:id="225"/>
      <w:bookmarkStart w:id="226" w:name="_Toc399099161"/>
      <w:bookmarkEnd w:id="226"/>
      <w:bookmarkStart w:id="227" w:name="_Toc399099168"/>
      <w:bookmarkEnd w:id="227"/>
      <w:bookmarkStart w:id="228" w:name="_Toc399099159"/>
      <w:bookmarkEnd w:id="228"/>
      <w:bookmarkStart w:id="229" w:name="_Toc399099163"/>
      <w:bookmarkEnd w:id="229"/>
      <w:bookmarkStart w:id="230" w:name="_Toc399099167"/>
      <w:bookmarkEnd w:id="230"/>
      <w:bookmarkStart w:id="231" w:name="_Toc399099162"/>
      <w:bookmarkEnd w:id="231"/>
      <w:bookmarkStart w:id="232" w:name="_Toc399099166"/>
      <w:bookmarkEnd w:id="232"/>
      <w:bookmarkStart w:id="233" w:name="_Toc399099164"/>
      <w:bookmarkEnd w:id="233"/>
      <w:r>
        <w:rPr>
          <w:rFonts w:hint="eastAsia"/>
        </w:rPr>
        <w:t>异常粮情的处置</w:t>
      </w:r>
      <w:bookmarkStart w:id="234" w:name="pindex63"/>
      <w:bookmarkEnd w:id="234"/>
    </w:p>
    <w:p>
      <w:pPr>
        <w:pStyle w:val="21"/>
        <w:ind w:left="0"/>
      </w:pPr>
      <w:bookmarkStart w:id="235" w:name="_Toc233010568"/>
      <w:bookmarkStart w:id="236" w:name="_Toc233010567"/>
      <w:bookmarkStart w:id="237" w:name="_Toc233010566"/>
      <w:r>
        <w:rPr>
          <w:rFonts w:hint="eastAsia"/>
        </w:rPr>
        <w:t>粮堆发热</w:t>
      </w:r>
      <w:bookmarkStart w:id="238" w:name="pindex64"/>
      <w:bookmarkEnd w:id="238"/>
    </w:p>
    <w:p>
      <w:pPr>
        <w:pStyle w:val="29"/>
        <w:ind w:left="10" w:hanging="10" w:hangingChars="5"/>
        <w:jc w:val="both"/>
        <w:rPr>
          <w:rFonts w:ascii="黑体" w:hAnsi="黑体" w:eastAsia="黑体"/>
        </w:rPr>
      </w:pPr>
      <w:r>
        <w:rPr>
          <w:rFonts w:hint="eastAsia" w:ascii="黑体" w:hAnsi="黑体" w:eastAsia="黑体"/>
        </w:rPr>
        <w:t>判定</w:t>
      </w:r>
      <w:bookmarkStart w:id="239" w:name="pindex65"/>
      <w:bookmarkEnd w:id="239"/>
    </w:p>
    <w:p>
      <w:pPr>
        <w:pStyle w:val="29"/>
        <w:numPr>
          <w:ilvl w:val="0"/>
          <w:numId w:val="0"/>
        </w:numPr>
        <w:ind w:firstLine="420" w:firstLineChars="200"/>
        <w:jc w:val="both"/>
      </w:pPr>
      <w:r>
        <w:rPr>
          <w:rFonts w:hint="eastAsia"/>
        </w:rPr>
        <w:t>出现以下情况之一时，应判定为异常粮情：</w:t>
      </w:r>
    </w:p>
    <w:p>
      <w:pPr>
        <w:pStyle w:val="29"/>
        <w:numPr>
          <w:ilvl w:val="0"/>
          <w:numId w:val="0"/>
        </w:numPr>
        <w:ind w:firstLine="420" w:firstLineChars="200"/>
        <w:jc w:val="both"/>
      </w:pPr>
      <w:r>
        <w:rPr>
          <w:rFonts w:hint="eastAsia"/>
        </w:rPr>
        <w:t>——气温上升季节，粮温上升超过气温所能影响的范围，粮温超过日平均仓温3℃</w:t>
      </w:r>
      <w:r>
        <w:rPr>
          <w:rFonts w:ascii="Times New Roman"/>
        </w:rPr>
        <w:t>~</w:t>
      </w:r>
      <w:r>
        <w:rPr>
          <w:rFonts w:hint="eastAsia"/>
        </w:rPr>
        <w:t>5</w:t>
      </w:r>
      <w:r>
        <w:rPr>
          <w:rFonts w:hint="eastAsia" w:hAnsi="宋体"/>
        </w:rPr>
        <w:t>℃</w:t>
      </w:r>
      <w:r>
        <w:rPr>
          <w:rFonts w:hint="eastAsia"/>
        </w:rPr>
        <w:t>以上；</w:t>
      </w:r>
    </w:p>
    <w:p>
      <w:pPr>
        <w:pStyle w:val="29"/>
        <w:numPr>
          <w:ilvl w:val="0"/>
          <w:numId w:val="0"/>
        </w:numPr>
        <w:ind w:firstLine="420" w:firstLineChars="200"/>
        <w:jc w:val="both"/>
      </w:pPr>
      <w:r>
        <w:rPr>
          <w:rFonts w:hint="eastAsia"/>
        </w:rPr>
        <w:t>——气温下降季节，粮温不降或下降太慢，甚至回升；</w:t>
      </w:r>
    </w:p>
    <w:p>
      <w:pPr>
        <w:pStyle w:val="29"/>
        <w:numPr>
          <w:ilvl w:val="0"/>
          <w:numId w:val="0"/>
        </w:numPr>
        <w:ind w:firstLine="420" w:firstLineChars="200"/>
        <w:jc w:val="both"/>
      </w:pPr>
      <w:r>
        <w:rPr>
          <w:rFonts w:hint="eastAsia"/>
        </w:rPr>
        <w:t>——背阴面粮温高于向阳面粮温；</w:t>
      </w:r>
    </w:p>
    <w:p>
      <w:pPr>
        <w:pStyle w:val="29"/>
        <w:numPr>
          <w:ilvl w:val="0"/>
          <w:numId w:val="0"/>
        </w:numPr>
        <w:ind w:firstLine="420" w:firstLineChars="200"/>
        <w:jc w:val="both"/>
      </w:pPr>
      <w:r>
        <w:rPr>
          <w:rFonts w:hint="eastAsia"/>
        </w:rPr>
        <w:t>——同一部位不同层次的粮温变化不符合正常的层温度变化规律，该降的反而上升；</w:t>
      </w:r>
    </w:p>
    <w:p>
      <w:pPr>
        <w:pStyle w:val="29"/>
        <w:numPr>
          <w:ilvl w:val="0"/>
          <w:numId w:val="0"/>
        </w:numPr>
        <w:ind w:firstLine="420" w:firstLineChars="200"/>
        <w:jc w:val="both"/>
      </w:pPr>
      <w:r>
        <w:rPr>
          <w:rFonts w:hint="eastAsia"/>
        </w:rPr>
        <w:t>——同一部位的粮温与前几次检查记录比较有突然上升的现象；</w:t>
      </w:r>
    </w:p>
    <w:p>
      <w:pPr>
        <w:pStyle w:val="29"/>
        <w:numPr>
          <w:ilvl w:val="0"/>
          <w:numId w:val="0"/>
        </w:numPr>
        <w:ind w:firstLine="420" w:firstLineChars="200"/>
        <w:jc w:val="both"/>
      </w:pPr>
      <w:r>
        <w:rPr>
          <w:rFonts w:hint="eastAsia"/>
        </w:rPr>
        <w:t>——入仓时间与保管条件相同时，个别层</w:t>
      </w:r>
      <w:r>
        <w:rPr>
          <w:rFonts w:hint="eastAsia"/>
          <w:lang w:val="en-US" w:eastAsia="zh-CN"/>
        </w:rPr>
        <w:t>/点</w:t>
      </w:r>
      <w:r>
        <w:rPr>
          <w:rFonts w:hint="eastAsia"/>
        </w:rPr>
        <w:t>的粮温显著增高，温度高于</w:t>
      </w:r>
      <w:sdt>
        <w:sdtPr>
          <w:alias w:val="易错词检查"/>
          <w:id w:val="72336"/>
        </w:sdtPr>
        <w:sdtContent>
          <w:r>
            <w:rPr>
              <w:rFonts w:hint="eastAsia"/>
            </w:rPr>
            <w:t>相临</w:t>
          </w:r>
          <w:r>
            <w:rPr>
              <w:rFonts w:hint="eastAsia"/>
              <w:lang w:val="en-US" w:eastAsia="zh-CN"/>
            </w:rPr>
            <w:t>层/</w:t>
          </w:r>
        </w:sdtContent>
      </w:sdt>
      <w:r>
        <w:rPr>
          <w:rFonts w:hint="eastAsia"/>
        </w:rPr>
        <w:t>点粮温5</w:t>
      </w:r>
      <w:r>
        <w:rPr>
          <w:rFonts w:hint="eastAsia" w:hAnsi="宋体"/>
        </w:rPr>
        <w:t>℃以上</w:t>
      </w:r>
      <w:r>
        <w:rPr>
          <w:rFonts w:hint="eastAsia"/>
        </w:rPr>
        <w:t>。</w:t>
      </w:r>
    </w:p>
    <w:p>
      <w:pPr>
        <w:pStyle w:val="29"/>
        <w:numPr>
          <w:ilvl w:val="0"/>
          <w:numId w:val="0"/>
        </w:numPr>
        <w:ind w:firstLine="420" w:firstLineChars="200"/>
        <w:jc w:val="both"/>
      </w:pPr>
      <w:r>
        <w:rPr>
          <w:rFonts w:hint="eastAsia"/>
        </w:rPr>
        <w:t>或参照附录A进行判定。</w:t>
      </w:r>
    </w:p>
    <w:p>
      <w:pPr>
        <w:pStyle w:val="29"/>
        <w:ind w:left="10" w:hanging="10" w:hangingChars="5"/>
        <w:jc w:val="both"/>
        <w:rPr>
          <w:rFonts w:ascii="黑体" w:hAnsi="黑体" w:eastAsia="黑体"/>
        </w:rPr>
      </w:pPr>
      <w:r>
        <w:rPr>
          <w:rFonts w:hint="eastAsia" w:ascii="黑体" w:hAnsi="黑体" w:eastAsia="黑体"/>
        </w:rPr>
        <w:t>处置</w:t>
      </w:r>
      <w:bookmarkStart w:id="240" w:name="pindex74"/>
      <w:bookmarkEnd w:id="240"/>
    </w:p>
    <w:p>
      <w:pPr>
        <w:pStyle w:val="29"/>
        <w:numPr>
          <w:ilvl w:val="0"/>
          <w:numId w:val="0"/>
        </w:numPr>
        <w:ind w:firstLine="420" w:firstLineChars="200"/>
        <w:jc w:val="both"/>
      </w:pPr>
      <w:r>
        <w:rPr>
          <w:rFonts w:hint="eastAsia"/>
        </w:rPr>
        <w:t>查明发热原因，应根据以下不同发热原因或情况采取相应措施：</w:t>
      </w:r>
    </w:p>
    <w:p>
      <w:pPr>
        <w:pStyle w:val="29"/>
        <w:numPr>
          <w:ilvl w:val="0"/>
          <w:numId w:val="0"/>
        </w:numPr>
        <w:ind w:firstLine="420" w:firstLineChars="200"/>
        <w:jc w:val="both"/>
      </w:pPr>
      <w:r>
        <w:rPr>
          <w:rFonts w:hint="eastAsia"/>
        </w:rPr>
        <w:t>a）新粮后熟作用引起的 “乱温” “出汗”现象，整仓应通风降温散湿;</w:t>
      </w:r>
      <w:bookmarkStart w:id="241" w:name="pindex76"/>
      <w:bookmarkEnd w:id="241"/>
    </w:p>
    <w:p>
      <w:pPr>
        <w:pStyle w:val="29"/>
        <w:numPr>
          <w:ilvl w:val="0"/>
          <w:numId w:val="0"/>
        </w:numPr>
        <w:ind w:firstLine="420" w:firstLineChars="200"/>
        <w:jc w:val="both"/>
      </w:pPr>
      <w:r>
        <w:rPr>
          <w:rFonts w:hint="eastAsia"/>
        </w:rPr>
        <w:t>b）大量害虫聚集造成的“干热”,应先杀虫后通风降温；</w:t>
      </w:r>
      <w:bookmarkStart w:id="242" w:name="pindex77"/>
      <w:bookmarkEnd w:id="242"/>
    </w:p>
    <w:p>
      <w:pPr>
        <w:pStyle w:val="29"/>
        <w:numPr>
          <w:ilvl w:val="0"/>
          <w:numId w:val="0"/>
        </w:numPr>
        <w:ind w:firstLine="420" w:firstLineChars="200"/>
        <w:jc w:val="both"/>
      </w:pPr>
      <w:r>
        <w:rPr>
          <w:rFonts w:hint="eastAsia"/>
        </w:rPr>
        <w:t>c）杂质积聚、局部通风死角等造成的发热,应清理杂质或加导风管；</w:t>
      </w:r>
      <w:bookmarkStart w:id="243" w:name="pindex78"/>
      <w:bookmarkEnd w:id="243"/>
    </w:p>
    <w:p>
      <w:pPr>
        <w:pStyle w:val="29"/>
        <w:numPr>
          <w:ilvl w:val="0"/>
          <w:numId w:val="0"/>
        </w:numPr>
        <w:ind w:firstLine="420" w:firstLineChars="200"/>
        <w:jc w:val="both"/>
      </w:pPr>
      <w:r>
        <w:t>d</w:t>
      </w:r>
      <w:r>
        <w:rPr>
          <w:rFonts w:hint="eastAsia"/>
        </w:rPr>
        <w:t>）粮食水分升高微生物活动造成的“湿热”,应通风降低储粮水分从根本上预防再次发热，适时采用大剂量的熏蒸杀虫，确保储粮安全，再利用低温时机或机械制冷,降低粮堆温度,使粮食进入稳定储藏状态；</w:t>
      </w:r>
      <w:bookmarkStart w:id="244" w:name="pindex79"/>
      <w:bookmarkEnd w:id="244"/>
    </w:p>
    <w:p>
      <w:pPr>
        <w:pStyle w:val="29"/>
        <w:numPr>
          <w:ilvl w:val="0"/>
          <w:numId w:val="0"/>
        </w:numPr>
        <w:ind w:firstLine="420" w:firstLineChars="200"/>
        <w:jc w:val="both"/>
      </w:pPr>
      <w:r>
        <w:rPr>
          <w:rFonts w:hint="eastAsia"/>
        </w:rPr>
        <w:t>e）中上层发热上行压入式通风，中下层发热下行吸出式通风，粮堆局部发热可局部挖掘到粮面降温散湿，或采用单管或多管通风；</w:t>
      </w:r>
      <w:bookmarkStart w:id="245" w:name="pindex80"/>
      <w:bookmarkEnd w:id="245"/>
    </w:p>
    <w:p>
      <w:pPr>
        <w:pStyle w:val="29"/>
        <w:numPr>
          <w:ilvl w:val="0"/>
          <w:numId w:val="0"/>
        </w:numPr>
        <w:ind w:firstLine="420" w:firstLineChars="200"/>
        <w:jc w:val="both"/>
      </w:pPr>
      <w:r>
        <w:t>f</w:t>
      </w:r>
      <w:r>
        <w:rPr>
          <w:rFonts w:hint="eastAsia"/>
        </w:rPr>
        <w:t>）大面积发热</w:t>
      </w:r>
      <w:r>
        <w:rPr>
          <w:rFonts w:hint="eastAsia" w:hAnsi="宋体" w:cs="宋体"/>
        </w:rPr>
        <w:t>时，</w:t>
      </w:r>
      <w:r>
        <w:rPr>
          <w:rFonts w:hint="eastAsia"/>
        </w:rPr>
        <w:t>按LS</w:t>
      </w:r>
      <w:r>
        <w:t xml:space="preserve">/T </w:t>
      </w:r>
      <w:r>
        <w:rPr>
          <w:rFonts w:hint="eastAsia"/>
        </w:rPr>
        <w:t>1202 要求进行机械通风或谷物冷却通风，单位通风量6 m</w:t>
      </w:r>
      <w:r>
        <w:rPr>
          <w:rFonts w:hint="eastAsia"/>
          <w:vertAlign w:val="superscript"/>
        </w:rPr>
        <w:t>3</w:t>
      </w:r>
      <w:r>
        <w:rPr>
          <w:rFonts w:hint="eastAsia"/>
        </w:rPr>
        <w:t>/h·t～15 m</w:t>
      </w:r>
      <w:r>
        <w:rPr>
          <w:rFonts w:hint="eastAsia"/>
          <w:vertAlign w:val="superscript"/>
        </w:rPr>
        <w:t>3</w:t>
      </w:r>
      <w:r>
        <w:rPr>
          <w:rFonts w:hint="eastAsia"/>
        </w:rPr>
        <w:t>/h·t。不具备通风条件的</w:t>
      </w:r>
      <w:r>
        <w:rPr>
          <w:rFonts w:hint="eastAsia" w:hAnsi="宋体"/>
        </w:rPr>
        <w:t>应采取倒仓处理。</w:t>
      </w:r>
      <w:bookmarkStart w:id="246" w:name="pindex81"/>
      <w:bookmarkEnd w:id="246"/>
    </w:p>
    <w:p>
      <w:pPr>
        <w:pStyle w:val="21"/>
        <w:ind w:left="0"/>
      </w:pPr>
      <w:r>
        <w:rPr>
          <w:rFonts w:hint="eastAsia"/>
        </w:rPr>
        <w:t>虫害</w:t>
      </w:r>
      <w:bookmarkStart w:id="247" w:name="pindex82"/>
      <w:bookmarkEnd w:id="247"/>
    </w:p>
    <w:p>
      <w:pPr>
        <w:pStyle w:val="29"/>
        <w:ind w:left="10" w:hanging="10" w:hangingChars="5"/>
        <w:jc w:val="both"/>
        <w:rPr>
          <w:rFonts w:ascii="黑体" w:hAnsi="黑体" w:eastAsia="黑体" w:cs="宋体"/>
        </w:rPr>
      </w:pPr>
      <w:r>
        <w:rPr>
          <w:rFonts w:hint="eastAsia" w:ascii="黑体" w:hAnsi="黑体" w:eastAsia="黑体" w:cs="宋体"/>
        </w:rPr>
        <w:t>判定</w:t>
      </w:r>
      <w:bookmarkStart w:id="248" w:name="pindex83"/>
      <w:bookmarkEnd w:id="248"/>
    </w:p>
    <w:p>
      <w:pPr>
        <w:pStyle w:val="29"/>
        <w:numPr>
          <w:ilvl w:val="0"/>
          <w:numId w:val="0"/>
        </w:numPr>
        <w:ind w:firstLine="420" w:firstLineChars="200"/>
        <w:jc w:val="both"/>
        <w:rPr>
          <w:rFonts w:hAnsi="宋体" w:cs="宋体"/>
        </w:rPr>
      </w:pPr>
      <w:r>
        <w:rPr>
          <w:rFonts w:hint="eastAsia" w:hAnsi="宋体" w:cs="宋体"/>
        </w:rPr>
        <w:t>按GB/T 29890筛查判定储粮害虫密度达到一般虫粮。</w:t>
      </w:r>
    </w:p>
    <w:p>
      <w:pPr>
        <w:pStyle w:val="29"/>
        <w:ind w:left="10" w:hanging="10" w:hangingChars="5"/>
        <w:jc w:val="both"/>
        <w:rPr>
          <w:rFonts w:ascii="黑体" w:hAnsi="黑体" w:eastAsia="黑体" w:cs="宋体"/>
        </w:rPr>
      </w:pPr>
      <w:r>
        <w:rPr>
          <w:rFonts w:hint="eastAsia" w:ascii="黑体" w:hAnsi="黑体" w:eastAsia="黑体" w:cs="宋体"/>
        </w:rPr>
        <w:t>预防</w:t>
      </w:r>
      <w:bookmarkStart w:id="249" w:name="pindex85"/>
      <w:bookmarkEnd w:id="249"/>
    </w:p>
    <w:p>
      <w:pPr>
        <w:pStyle w:val="29"/>
        <w:numPr>
          <w:ilvl w:val="0"/>
          <w:numId w:val="0"/>
        </w:numPr>
        <w:ind w:firstLine="420" w:firstLineChars="200"/>
        <w:jc w:val="both"/>
        <w:rPr>
          <w:rFonts w:hAnsi="宋体" w:cs="宋体"/>
        </w:rPr>
      </w:pPr>
      <w:r>
        <w:rPr>
          <w:rFonts w:hint="eastAsia" w:hAnsi="宋体" w:cs="宋体"/>
        </w:rPr>
        <w:t>入仓粮食应进行清杂，按《</w:t>
      </w:r>
      <w:r>
        <w:rPr>
          <w:rFonts w:hint="eastAsia" w:hAnsi="宋体" w:cs="宋体"/>
          <w:szCs w:val="22"/>
          <w:shd w:val="clear" w:color="auto" w:fill="FFFFFF"/>
        </w:rPr>
        <w:t>粮油安全储存守则</w:t>
      </w:r>
      <w:r>
        <w:rPr>
          <w:rFonts w:hint="eastAsia" w:hAnsi="宋体" w:cs="宋体"/>
        </w:rPr>
        <w:t>》布置防虫线，宜在粮面和粮堆四周按GB/T 29890要求施用储粮防护剂。</w:t>
      </w:r>
    </w:p>
    <w:p>
      <w:pPr>
        <w:pStyle w:val="29"/>
        <w:ind w:left="10" w:hanging="10" w:hangingChars="5"/>
        <w:jc w:val="both"/>
        <w:rPr>
          <w:rFonts w:ascii="黑体" w:hAnsi="黑体" w:eastAsia="黑体" w:cs="宋体"/>
        </w:rPr>
      </w:pPr>
      <w:r>
        <w:rPr>
          <w:rFonts w:hint="eastAsia" w:ascii="黑体" w:hAnsi="黑体" w:eastAsia="黑体" w:cs="宋体"/>
        </w:rPr>
        <w:t>处置</w:t>
      </w:r>
      <w:bookmarkStart w:id="250" w:name="pindex87"/>
      <w:bookmarkEnd w:id="250"/>
    </w:p>
    <w:p>
      <w:pPr>
        <w:pStyle w:val="29"/>
        <w:numPr>
          <w:ilvl w:val="0"/>
          <w:numId w:val="0"/>
        </w:numPr>
        <w:ind w:left="-10" w:leftChars="-5"/>
        <w:jc w:val="both"/>
        <w:rPr>
          <w:rFonts w:hAnsi="宋体" w:cs="宋体"/>
        </w:rPr>
      </w:pPr>
      <w:r>
        <w:rPr>
          <w:rFonts w:hint="eastAsia" w:hAnsi="宋体" w:cs="宋体"/>
        </w:rPr>
        <w:t>5.3.3.1 发生局部虫害时，应施用硫酰氟或磷化铝进行定点熏蒸杀虫处理。施用硫酰氟熏蒸时，药剂应施用于虫部发生部位的四周和上方，用药量按15 g/m</w:t>
      </w:r>
      <w:r>
        <w:rPr>
          <w:rFonts w:hint="eastAsia" w:hAnsi="宋体" w:cs="宋体"/>
          <w:vertAlign w:val="superscript"/>
        </w:rPr>
        <w:t>3</w:t>
      </w:r>
      <w:r>
        <w:rPr>
          <w:rFonts w:ascii="Times New Roman"/>
        </w:rPr>
        <w:t>~</w:t>
      </w:r>
      <w:r>
        <w:rPr>
          <w:rFonts w:hint="eastAsia" w:hAnsi="宋体" w:cs="宋体"/>
        </w:rPr>
        <w:t>20 g/m</w:t>
      </w:r>
      <w:r>
        <w:rPr>
          <w:rFonts w:hint="eastAsia" w:hAnsi="宋体" w:cs="宋体"/>
          <w:vertAlign w:val="superscript"/>
        </w:rPr>
        <w:t>3</w:t>
      </w:r>
      <w:r>
        <w:rPr>
          <w:rFonts w:hint="eastAsia" w:hAnsi="宋体" w:cs="宋体"/>
        </w:rPr>
        <w:t>计；施用磷化铝熏蒸时，磷化氢气体应施用于虫部发生部位的四周、上下方，用药量按6 g/m</w:t>
      </w:r>
      <w:r>
        <w:rPr>
          <w:rFonts w:hint="eastAsia" w:hAnsi="宋体" w:cs="宋体"/>
          <w:vertAlign w:val="superscript"/>
        </w:rPr>
        <w:t>3</w:t>
      </w:r>
      <w:r>
        <w:rPr>
          <w:rFonts w:ascii="Times New Roman"/>
        </w:rPr>
        <w:t>~</w:t>
      </w:r>
      <w:r>
        <w:rPr>
          <w:rFonts w:hint="eastAsia" w:hAnsi="宋体" w:cs="宋体"/>
        </w:rPr>
        <w:t>9 g/m</w:t>
      </w:r>
      <w:r>
        <w:rPr>
          <w:rFonts w:hint="eastAsia" w:hAnsi="宋体" w:cs="宋体"/>
          <w:vertAlign w:val="superscript"/>
        </w:rPr>
        <w:t>3</w:t>
      </w:r>
      <w:r>
        <w:rPr>
          <w:rFonts w:hint="eastAsia" w:hAnsi="宋体" w:cs="宋体"/>
        </w:rPr>
        <w:t>计。</w:t>
      </w:r>
    </w:p>
    <w:p>
      <w:pPr>
        <w:pStyle w:val="29"/>
        <w:numPr>
          <w:ilvl w:val="0"/>
          <w:numId w:val="0"/>
        </w:numPr>
        <w:ind w:left="-10" w:leftChars="-5"/>
        <w:jc w:val="both"/>
        <w:rPr>
          <w:rFonts w:hAnsi="宋体" w:cs="宋体"/>
        </w:rPr>
      </w:pPr>
      <w:r>
        <w:rPr>
          <w:rFonts w:hint="eastAsia" w:hAnsi="宋体" w:cs="宋体"/>
        </w:rPr>
        <w:t>5.3.3.2 发生大面积虫害时，施用硫酰氟或磷化铝应按LS/T 1217 要求气密性处理后进行整仓熏蒸杀虫处理。</w:t>
      </w:r>
    </w:p>
    <w:p>
      <w:pPr>
        <w:pStyle w:val="29"/>
        <w:numPr>
          <w:ilvl w:val="0"/>
          <w:numId w:val="0"/>
        </w:numPr>
        <w:ind w:left="10"/>
        <w:jc w:val="both"/>
        <w:rPr>
          <w:rFonts w:hAnsi="宋体" w:cs="宋体"/>
        </w:rPr>
      </w:pPr>
      <w:r>
        <w:rPr>
          <w:rFonts w:hint="eastAsia" w:hAnsi="宋体" w:cs="宋体"/>
        </w:rPr>
        <w:t>5.3.3.3 钢结构散装房式简易仓、钢罩棚和简易囤熏蒸时，应在四周覆盖帐幕，并在帐幕上加盖防风网罩或防风固定绳。覆盖前，</w:t>
      </w:r>
      <w:sdt>
        <w:sdtPr>
          <w:alias w:val="易错词检查"/>
          <w:id w:val="3032412"/>
        </w:sdtPr>
        <w:sdtContent>
          <w:r>
            <w:rPr>
              <w:rFonts w:hint="eastAsia" w:hAnsi="宋体" w:cs="宋体"/>
            </w:rPr>
            <w:t>要对帐</w:t>
          </w:r>
        </w:sdtContent>
      </w:sdt>
      <w:r>
        <w:rPr>
          <w:rFonts w:hint="eastAsia" w:hAnsi="宋体" w:cs="宋体"/>
        </w:rPr>
        <w:t>幕进行检查，发现孔洞及时修补。</w:t>
      </w:r>
    </w:p>
    <w:p>
      <w:pPr>
        <w:pStyle w:val="21"/>
        <w:ind w:left="0"/>
      </w:pPr>
      <w:r>
        <w:rPr>
          <w:rFonts w:hint="eastAsia"/>
        </w:rPr>
        <w:t>结露</w:t>
      </w:r>
      <w:bookmarkStart w:id="251" w:name="pindex91"/>
      <w:bookmarkEnd w:id="251"/>
    </w:p>
    <w:p>
      <w:pPr>
        <w:pStyle w:val="29"/>
        <w:ind w:left="10" w:hanging="10" w:hangingChars="5"/>
        <w:jc w:val="both"/>
        <w:rPr>
          <w:rFonts w:ascii="黑体" w:hAnsi="黑体" w:eastAsia="黑体"/>
        </w:rPr>
      </w:pPr>
      <w:r>
        <w:rPr>
          <w:rFonts w:hint="eastAsia" w:ascii="黑体" w:hAnsi="黑体" w:eastAsia="黑体"/>
        </w:rPr>
        <w:t>结露预警</w:t>
      </w:r>
      <w:bookmarkStart w:id="252" w:name="pindex92"/>
      <w:bookmarkEnd w:id="252"/>
    </w:p>
    <w:p>
      <w:pPr>
        <w:pStyle w:val="29"/>
        <w:numPr>
          <w:ilvl w:val="0"/>
          <w:numId w:val="0"/>
        </w:numPr>
        <w:ind w:left="10" w:firstLine="420" w:firstLineChars="200"/>
        <w:jc w:val="both"/>
      </w:pPr>
      <w:r>
        <w:rPr>
          <w:rFonts w:hint="eastAsia"/>
        </w:rPr>
        <w:t>以测算粮堆内外的露点为依据，可采用露点仪、露点温度检查表（参见附录A）、粮食水分与温湿度及露点关系图。</w:t>
      </w:r>
    </w:p>
    <w:p>
      <w:pPr>
        <w:pStyle w:val="29"/>
        <w:ind w:left="10" w:hanging="10" w:hangingChars="5"/>
        <w:jc w:val="both"/>
        <w:rPr>
          <w:rFonts w:ascii="黑体" w:hAnsi="黑体" w:eastAsia="黑体"/>
        </w:rPr>
      </w:pPr>
      <w:r>
        <w:rPr>
          <w:rFonts w:hint="eastAsia" w:ascii="黑体" w:hAnsi="黑体" w:eastAsia="黑体"/>
        </w:rPr>
        <w:t>结露预防</w:t>
      </w:r>
      <w:bookmarkStart w:id="253" w:name="pindex94"/>
      <w:bookmarkEnd w:id="253"/>
    </w:p>
    <w:p>
      <w:pPr>
        <w:pStyle w:val="29"/>
        <w:numPr>
          <w:ilvl w:val="0"/>
          <w:numId w:val="0"/>
        </w:numPr>
        <w:ind w:left="10" w:firstLine="420" w:firstLineChars="200"/>
        <w:jc w:val="both"/>
      </w:pPr>
      <w:r>
        <w:rPr>
          <w:rFonts w:hint="eastAsia"/>
        </w:rPr>
        <w:t>秋冬转换季节，及时通风降温减少粮温与环境温差。为防止仓顶及仓墙内壁结露可宜采用下行吸出式通风降温，漏风严重的简易仓必要时覆膜吸出式通风。</w:t>
      </w:r>
    </w:p>
    <w:p>
      <w:pPr>
        <w:pStyle w:val="29"/>
        <w:ind w:left="10" w:hanging="10" w:hangingChars="5"/>
        <w:rPr>
          <w:rFonts w:ascii="黑体" w:hAnsi="黑体" w:eastAsia="黑体"/>
        </w:rPr>
      </w:pPr>
      <w:r>
        <w:rPr>
          <w:rFonts w:hint="eastAsia" w:ascii="黑体" w:hAnsi="黑体" w:eastAsia="黑体"/>
        </w:rPr>
        <w:t>结露检查与判断</w:t>
      </w:r>
      <w:bookmarkStart w:id="254" w:name="pindex96"/>
      <w:bookmarkEnd w:id="254"/>
    </w:p>
    <w:p>
      <w:pPr>
        <w:pStyle w:val="29"/>
        <w:numPr>
          <w:ilvl w:val="0"/>
          <w:numId w:val="0"/>
        </w:numPr>
        <w:ind w:left="10"/>
      </w:pPr>
      <w:r>
        <w:rPr>
          <w:rFonts w:hint="eastAsia" w:ascii="黑体" w:hAnsi="黑体" w:eastAsia="黑体" w:cs="黑体"/>
        </w:rPr>
        <w:t>5.3.3.1</w:t>
      </w:r>
      <w:r>
        <w:rPr>
          <w:rFonts w:hint="eastAsia"/>
        </w:rPr>
        <w:t>内壁结露：进仓查看仓墙内壁及仓顶是否存在凝结水。</w:t>
      </w:r>
    </w:p>
    <w:p>
      <w:pPr>
        <w:pStyle w:val="29"/>
        <w:numPr>
          <w:ilvl w:val="0"/>
          <w:numId w:val="0"/>
        </w:numPr>
        <w:ind w:left="10"/>
      </w:pPr>
      <w:r>
        <w:rPr>
          <w:rFonts w:hint="eastAsia" w:ascii="黑体" w:hAnsi="黑体" w:eastAsia="黑体" w:cs="黑体"/>
        </w:rPr>
        <w:t>5.3.3.2</w:t>
      </w:r>
      <w:r>
        <w:rPr>
          <w:rFonts w:hint="eastAsia"/>
        </w:rPr>
        <w:t>粮面结露：赤脚在粮面上像“涉水”一样走动，脚踏粮食感觉潮湿，散落性降低判断属于粮面结露，严重时粮面形成一层硬壳。</w:t>
      </w:r>
    </w:p>
    <w:p>
      <w:pPr>
        <w:pStyle w:val="29"/>
        <w:numPr>
          <w:ilvl w:val="0"/>
          <w:numId w:val="0"/>
        </w:numPr>
        <w:ind w:left="10"/>
      </w:pPr>
      <w:r>
        <w:rPr>
          <w:rFonts w:hint="eastAsia" w:ascii="黑体" w:hAnsi="黑体" w:eastAsia="黑体" w:cs="黑体"/>
        </w:rPr>
        <w:t>5.3.3.3</w:t>
      </w:r>
      <w:r>
        <w:rPr>
          <w:rFonts w:hint="eastAsia"/>
        </w:rPr>
        <w:t>粮堆内部：对门窗附近、墙角附近等水分较高和温差大的部位重点检查，扦取可能发生结露部位的粮食，通过眼看、手摸、牙咬等感官鉴定方法判断。</w:t>
      </w:r>
    </w:p>
    <w:p>
      <w:pPr>
        <w:pStyle w:val="29"/>
        <w:numPr>
          <w:ilvl w:val="0"/>
          <w:numId w:val="0"/>
        </w:numPr>
        <w:ind w:left="10"/>
        <w:jc w:val="both"/>
      </w:pPr>
      <w:r>
        <w:rPr>
          <w:rFonts w:hint="eastAsia" w:ascii="黑体" w:hAnsi="黑体" w:eastAsia="黑体" w:cs="黑体"/>
        </w:rPr>
        <w:t>5.3.3.4</w:t>
      </w:r>
      <w:r>
        <w:rPr>
          <w:rFonts w:hint="eastAsia"/>
        </w:rPr>
        <w:t>严重结露判定：扦取可能发生结露的粮食样品，采用GB 5009.3中的直接干燥法测定粮食水分，如粮食水分明显升高，显著超过安全水分，判定为严重结露。</w:t>
      </w:r>
    </w:p>
    <w:p>
      <w:pPr>
        <w:pStyle w:val="29"/>
        <w:ind w:left="10" w:hanging="10" w:hangingChars="5"/>
        <w:jc w:val="both"/>
        <w:rPr>
          <w:rFonts w:ascii="黑体" w:hAnsi="黑体" w:eastAsia="黑体"/>
        </w:rPr>
      </w:pPr>
      <w:r>
        <w:rPr>
          <w:rFonts w:hint="eastAsia" w:ascii="黑体" w:hAnsi="黑体" w:eastAsia="黑体"/>
        </w:rPr>
        <w:t>处置</w:t>
      </w:r>
      <w:bookmarkStart w:id="255" w:name="pindex101"/>
      <w:bookmarkEnd w:id="255"/>
    </w:p>
    <w:p>
      <w:pPr>
        <w:pStyle w:val="29"/>
        <w:numPr>
          <w:ilvl w:val="0"/>
          <w:numId w:val="0"/>
        </w:numPr>
        <w:ind w:left="-10" w:leftChars="-5"/>
        <w:jc w:val="both"/>
      </w:pPr>
      <w:r>
        <w:rPr>
          <w:rFonts w:hint="eastAsia" w:ascii="黑体" w:hAnsi="黑体" w:eastAsia="黑体" w:cs="黑体"/>
        </w:rPr>
        <w:t>5.3.4.1</w:t>
      </w:r>
      <w:r>
        <w:rPr>
          <w:rFonts w:hint="eastAsia"/>
        </w:rPr>
        <w:t>膜下或粮面</w:t>
      </w:r>
      <w:r>
        <w:t>发生轻微结露时，及时揭开苫盖物，翻动粮面，按GB/T 29890要求，自然通风</w:t>
      </w:r>
      <w:r>
        <w:rPr>
          <w:rFonts w:hint="eastAsia"/>
        </w:rPr>
        <w:t>降温</w:t>
      </w:r>
      <w:r>
        <w:t>散湿</w:t>
      </w:r>
      <w:r>
        <w:rPr>
          <w:rFonts w:hint="eastAsia"/>
        </w:rPr>
        <w:t>，并及时通风降温防止结露向粮堆内部转移形成二次结露。</w:t>
      </w:r>
    </w:p>
    <w:p>
      <w:pPr>
        <w:pStyle w:val="29"/>
        <w:numPr>
          <w:ilvl w:val="0"/>
          <w:numId w:val="0"/>
        </w:numPr>
        <w:jc w:val="both"/>
      </w:pPr>
      <w:r>
        <w:rPr>
          <w:rFonts w:hint="eastAsia" w:ascii="黑体" w:hAnsi="黑体" w:eastAsia="黑体" w:cs="黑体"/>
        </w:rPr>
        <w:t>5.3.4.2</w:t>
      </w:r>
      <w:r>
        <w:rPr>
          <w:rFonts w:hint="eastAsia"/>
        </w:rPr>
        <w:t>局部结露较严重时，在凝结部位插入风管，进行局部通风降温散湿；可定点挖掘，将粮食挖掘至粮面散湿散热。粮堆浅层结露宜上行式通风，粮堆中下部局部结露宜下行吸出式通风，排出粮堆内的湿热，将结露部位的粮食水分降到安全水分以内，消除结露。消除结露的通风宜持续进行直至结露消除为止。必要时应将严重结露湿粮移出单独晾晒或烘干。</w:t>
      </w:r>
    </w:p>
    <w:p>
      <w:pPr>
        <w:pStyle w:val="29"/>
        <w:numPr>
          <w:ilvl w:val="0"/>
          <w:numId w:val="0"/>
        </w:numPr>
        <w:ind w:left="0" w:leftChars="0"/>
        <w:jc w:val="both"/>
      </w:pPr>
      <w:bookmarkStart w:id="256" w:name="sys104083"/>
      <w:r>
        <w:rPr>
          <w:rFonts w:hint="eastAsia" w:ascii="宋体" w:hAnsi="Times New Roman" w:eastAsia="宋体" w:cs="Times New Roman"/>
        </w:rPr>
        <w:t>5.3.4.3</w:t>
      </w:r>
      <w:r>
        <w:rPr>
          <w:rFonts w:hint="eastAsia" w:hAnsi="Times New Roman" w:cs="Times New Roman"/>
        </w:rPr>
        <w:t>粮面大面积结露应翻松粮面，为防止漏风和仓顶结露，宜下行吸出式通风降温散湿，单位通风量宜6 m</w:t>
      </w:r>
      <w:r>
        <w:rPr>
          <w:rFonts w:hint="eastAsia" w:hAnsi="Times New Roman" w:cs="Times New Roman"/>
          <w:vertAlign w:val="superscript"/>
        </w:rPr>
        <w:t>3</w:t>
      </w:r>
      <w:r>
        <w:rPr>
          <w:rFonts w:hint="eastAsia" w:hAnsi="Times New Roman" w:cs="Times New Roman"/>
        </w:rPr>
        <w:t>/h·t</w:t>
      </w:r>
      <w:r>
        <w:rPr>
          <w:rFonts w:hint="default" w:ascii="Times New Roman"/>
        </w:rPr>
        <w:t xml:space="preserve"> ~</w:t>
      </w:r>
      <w:r>
        <w:rPr>
          <w:rFonts w:hint="eastAsia" w:hAnsi="Times New Roman" w:cs="Times New Roman"/>
        </w:rPr>
        <w:t>15 m</w:t>
      </w:r>
      <w:r>
        <w:rPr>
          <w:rFonts w:hint="eastAsia" w:hAnsi="Times New Roman" w:cs="Times New Roman"/>
          <w:vertAlign w:val="superscript"/>
        </w:rPr>
        <w:t>3</w:t>
      </w:r>
      <w:r>
        <w:rPr>
          <w:rFonts w:hint="eastAsia" w:hAnsi="Times New Roman" w:cs="Times New Roman"/>
        </w:rPr>
        <w:t>/h·t，持</w:t>
      </w:r>
      <w:r>
        <w:rPr>
          <w:rFonts w:hint="eastAsia"/>
        </w:rPr>
        <w:t>续通风直至整仓粮温与环境接近，结露消除。</w:t>
      </w:r>
      <w:bookmarkEnd w:id="256"/>
    </w:p>
    <w:p>
      <w:pPr>
        <w:pStyle w:val="29"/>
        <w:numPr>
          <w:ilvl w:val="0"/>
          <w:numId w:val="0"/>
        </w:numPr>
        <w:ind w:left="0" w:leftChars="0"/>
        <w:jc w:val="both"/>
      </w:pPr>
      <w:bookmarkStart w:id="257" w:name="sys105071"/>
      <w:r>
        <w:rPr>
          <w:rFonts w:hint="eastAsia" w:ascii="宋体" w:hAnsi="Times New Roman" w:eastAsia="宋体" w:cs="Times New Roman"/>
        </w:rPr>
        <w:t>5.3.4.4</w:t>
      </w:r>
      <w:r>
        <w:rPr>
          <w:rFonts w:hint="eastAsia" w:hAnsi="Times New Roman" w:cs="Times New Roman"/>
        </w:rPr>
        <w:t>简易仓囤周边大面积结露时，下行吸出式通风降温散湿，单位通风量宜5 m</w:t>
      </w:r>
      <w:r>
        <w:rPr>
          <w:rFonts w:hint="eastAsia" w:hAnsi="Times New Roman" w:cs="Times New Roman"/>
          <w:vertAlign w:val="superscript"/>
        </w:rPr>
        <w:t>3</w:t>
      </w:r>
      <w:r>
        <w:rPr>
          <w:rFonts w:hint="eastAsia" w:hAnsi="Times New Roman" w:cs="Times New Roman"/>
        </w:rPr>
        <w:t>/h·t</w:t>
      </w:r>
      <w:r>
        <w:rPr>
          <w:rFonts w:hint="eastAsia" w:ascii="宋体"/>
        </w:rPr>
        <w:t xml:space="preserve"> </w:t>
      </w:r>
      <w:r>
        <w:rPr>
          <w:rFonts w:hint="default" w:ascii="Times New Roman"/>
        </w:rPr>
        <w:t>~</w:t>
      </w:r>
      <w:r>
        <w:rPr>
          <w:rFonts w:hint="eastAsia" w:hAnsi="Times New Roman" w:cs="Times New Roman"/>
        </w:rPr>
        <w:t>10 m</w:t>
      </w:r>
      <w:r>
        <w:rPr>
          <w:rFonts w:hint="eastAsia" w:hAnsi="Times New Roman" w:cs="Times New Roman"/>
          <w:vertAlign w:val="superscript"/>
        </w:rPr>
        <w:t>3</w:t>
      </w:r>
      <w:r>
        <w:rPr>
          <w:rFonts w:hint="eastAsia" w:hAnsi="Times New Roman" w:cs="Times New Roman"/>
        </w:rPr>
        <w:t>/h·t，持</w:t>
      </w:r>
      <w:r>
        <w:rPr>
          <w:rFonts w:hint="eastAsia"/>
        </w:rPr>
        <w:t>续通风直至整仓粮温与环境接近，结露消除。</w:t>
      </w:r>
      <w:bookmarkEnd w:id="257"/>
    </w:p>
    <w:p>
      <w:pPr>
        <w:pStyle w:val="21"/>
        <w:ind w:left="0"/>
      </w:pPr>
      <w:bookmarkStart w:id="258" w:name="OLE_LINK2"/>
      <w:r>
        <w:rPr>
          <w:rFonts w:hint="eastAsia"/>
        </w:rPr>
        <w:t>霉变</w:t>
      </w:r>
      <w:bookmarkEnd w:id="258"/>
      <w:bookmarkStart w:id="259" w:name="pindex106"/>
      <w:bookmarkEnd w:id="259"/>
    </w:p>
    <w:p>
      <w:pPr>
        <w:pStyle w:val="29"/>
        <w:ind w:left="10" w:hanging="10" w:hangingChars="5"/>
        <w:jc w:val="both"/>
        <w:rPr>
          <w:rFonts w:ascii="黑体" w:hAnsi="黑体" w:eastAsia="黑体"/>
        </w:rPr>
      </w:pPr>
      <w:r>
        <w:rPr>
          <w:rFonts w:hint="eastAsia" w:ascii="黑体" w:hAnsi="黑体" w:eastAsia="黑体"/>
        </w:rPr>
        <w:t>判定</w:t>
      </w:r>
      <w:bookmarkStart w:id="260" w:name="pindex107"/>
      <w:bookmarkEnd w:id="260"/>
    </w:p>
    <w:p>
      <w:pPr>
        <w:pStyle w:val="29"/>
        <w:numPr>
          <w:ilvl w:val="0"/>
          <w:numId w:val="0"/>
        </w:numPr>
        <w:ind w:left="10" w:firstLine="630" w:firstLineChars="300"/>
        <w:jc w:val="both"/>
      </w:pPr>
      <w:r>
        <w:rPr>
          <w:rFonts w:hint="eastAsia"/>
        </w:rPr>
        <w:t>粮粒表面肉眼可见霉菌，</w:t>
      </w:r>
      <w:r>
        <w:rPr>
          <w:rFonts w:hint="eastAsia" w:hAnsi="宋体"/>
        </w:rPr>
        <w:t>采用孢子计数法</w:t>
      </w:r>
      <w:bookmarkStart w:id="261" w:name="OLE_LINK1"/>
      <w:r>
        <w:rPr>
          <w:rFonts w:hint="eastAsia" w:hAnsi="宋体"/>
        </w:rPr>
        <w:t>检测</w:t>
      </w:r>
      <w:r>
        <w:rPr>
          <w:rFonts w:hint="eastAsia"/>
        </w:rPr>
        <w:t>霉菌</w:t>
      </w:r>
      <w:r>
        <w:rPr>
          <w:rFonts w:hint="eastAsia" w:hAnsi="宋体"/>
        </w:rPr>
        <w:t>带菌量</w:t>
      </w:r>
      <w:bookmarkEnd w:id="261"/>
      <w:r>
        <w:rPr>
          <w:rFonts w:hint="eastAsia" w:hAnsi="宋体"/>
        </w:rPr>
        <w:t>达10</w:t>
      </w:r>
      <w:r>
        <w:rPr>
          <w:rFonts w:hint="eastAsia" w:hAnsi="宋体"/>
          <w:vertAlign w:val="superscript"/>
        </w:rPr>
        <w:t>6</w:t>
      </w:r>
      <w:r>
        <w:rPr>
          <w:rFonts w:hint="eastAsia" w:hAnsi="宋体"/>
        </w:rPr>
        <w:t>CFU/g以上</w:t>
      </w:r>
      <w:r>
        <w:rPr>
          <w:rFonts w:hint="eastAsia"/>
        </w:rPr>
        <w:t>。</w:t>
      </w:r>
    </w:p>
    <w:p>
      <w:pPr>
        <w:pStyle w:val="29"/>
        <w:ind w:left="10" w:hanging="10" w:hangingChars="5"/>
        <w:jc w:val="both"/>
        <w:rPr>
          <w:rFonts w:ascii="黑体" w:hAnsi="黑体" w:eastAsia="黑体"/>
        </w:rPr>
      </w:pPr>
      <w:r>
        <w:rPr>
          <w:rFonts w:hint="eastAsia" w:ascii="黑体" w:hAnsi="黑体" w:eastAsia="黑体"/>
        </w:rPr>
        <w:t>预防</w:t>
      </w:r>
      <w:bookmarkStart w:id="262" w:name="pindex109"/>
      <w:bookmarkEnd w:id="262"/>
    </w:p>
    <w:p>
      <w:pPr>
        <w:pStyle w:val="29"/>
        <w:numPr>
          <w:ilvl w:val="0"/>
          <w:numId w:val="0"/>
        </w:numPr>
        <w:jc w:val="both"/>
      </w:pPr>
      <w:r>
        <w:rPr>
          <w:rFonts w:hint="eastAsia" w:ascii="黑体" w:hAnsi="黑体" w:eastAsia="黑体" w:cs="黑体"/>
        </w:rPr>
        <w:t xml:space="preserve">5.4.2.1 </w:t>
      </w:r>
      <w:r>
        <w:rPr>
          <w:rFonts w:hint="eastAsia"/>
        </w:rPr>
        <w:t>仓房防潮、防渗漏。</w:t>
      </w:r>
    </w:p>
    <w:p>
      <w:pPr>
        <w:pStyle w:val="29"/>
        <w:numPr>
          <w:ilvl w:val="0"/>
          <w:numId w:val="0"/>
        </w:numPr>
        <w:jc w:val="both"/>
      </w:pPr>
      <w:r>
        <w:rPr>
          <w:rFonts w:hint="eastAsia" w:ascii="黑体" w:hAnsi="黑体" w:eastAsia="黑体" w:cs="黑体"/>
        </w:rPr>
        <w:t xml:space="preserve">5.4.2.2 </w:t>
      </w:r>
      <w:r>
        <w:rPr>
          <w:rFonts w:hint="eastAsia"/>
        </w:rPr>
        <w:t>入仓粮食水分不超过安全水分。</w:t>
      </w:r>
    </w:p>
    <w:p>
      <w:pPr>
        <w:pStyle w:val="29"/>
        <w:numPr>
          <w:ilvl w:val="0"/>
          <w:numId w:val="0"/>
        </w:numPr>
        <w:jc w:val="both"/>
      </w:pPr>
      <w:r>
        <w:rPr>
          <w:rFonts w:hint="eastAsia" w:ascii="黑体" w:hAnsi="黑体" w:eastAsia="黑体" w:cs="黑体"/>
        </w:rPr>
        <w:t xml:space="preserve">5.4.2.3 </w:t>
      </w:r>
      <w:r>
        <w:rPr>
          <w:rFonts w:hint="eastAsia"/>
        </w:rPr>
        <w:t>预防和及时消除结露。</w:t>
      </w:r>
    </w:p>
    <w:p>
      <w:pPr>
        <w:pStyle w:val="29"/>
        <w:numPr>
          <w:ilvl w:val="0"/>
          <w:numId w:val="0"/>
        </w:numPr>
        <w:jc w:val="both"/>
      </w:pPr>
      <w:r>
        <w:rPr>
          <w:rFonts w:hint="eastAsia" w:ascii="黑体" w:hAnsi="黑体" w:eastAsia="黑体" w:cs="黑体"/>
        </w:rPr>
        <w:t xml:space="preserve">5.4.2.4 </w:t>
      </w:r>
      <w:r>
        <w:rPr>
          <w:rFonts w:hint="eastAsia"/>
        </w:rPr>
        <w:t>粮食超过安全水分应及时通风降温降水，降至安全水分。</w:t>
      </w:r>
    </w:p>
    <w:p>
      <w:pPr>
        <w:pStyle w:val="29"/>
        <w:numPr>
          <w:ilvl w:val="0"/>
          <w:numId w:val="0"/>
        </w:numPr>
        <w:jc w:val="both"/>
      </w:pPr>
      <w:r>
        <w:rPr>
          <w:rFonts w:hint="eastAsia" w:ascii="黑体" w:hAnsi="黑体" w:eastAsia="黑体" w:cs="黑体"/>
        </w:rPr>
        <w:t xml:space="preserve">5.4.2.5 </w:t>
      </w:r>
      <w:r>
        <w:rPr>
          <w:rFonts w:hint="eastAsia"/>
        </w:rPr>
        <w:t>消除粮食发热和发热隐患。</w:t>
      </w:r>
    </w:p>
    <w:p>
      <w:pPr>
        <w:pStyle w:val="29"/>
        <w:ind w:left="10" w:hanging="10" w:hangingChars="5"/>
        <w:jc w:val="both"/>
        <w:rPr>
          <w:rFonts w:ascii="黑体" w:hAnsi="黑体" w:eastAsia="黑体"/>
        </w:rPr>
      </w:pPr>
      <w:r>
        <w:rPr>
          <w:rFonts w:hint="eastAsia" w:ascii="黑体" w:hAnsi="黑体" w:eastAsia="黑体"/>
        </w:rPr>
        <w:t>处置</w:t>
      </w:r>
      <w:bookmarkStart w:id="263" w:name="pindex115"/>
      <w:bookmarkEnd w:id="263"/>
    </w:p>
    <w:p>
      <w:pPr>
        <w:pStyle w:val="29"/>
        <w:numPr>
          <w:ilvl w:val="0"/>
          <w:numId w:val="0"/>
        </w:numPr>
        <w:ind w:left="-10" w:leftChars="-5"/>
        <w:jc w:val="both"/>
        <w:rPr>
          <w:rFonts w:ascii="黑体" w:hAnsi="黑体" w:eastAsia="黑体" w:cs="黑体"/>
        </w:rPr>
      </w:pPr>
      <w:r>
        <w:rPr>
          <w:rFonts w:hint="eastAsia" w:ascii="黑体" w:hAnsi="黑体" w:eastAsia="黑体" w:cs="黑体"/>
        </w:rPr>
        <w:t xml:space="preserve">5.4.3.1 </w:t>
      </w:r>
      <w:r>
        <w:rPr>
          <w:rFonts w:hint="eastAsia" w:hAnsi="宋体"/>
        </w:rPr>
        <w:t>应查明发霉原因，针对性消除。</w:t>
      </w:r>
    </w:p>
    <w:p>
      <w:pPr>
        <w:pStyle w:val="29"/>
        <w:numPr>
          <w:ilvl w:val="0"/>
          <w:numId w:val="0"/>
        </w:numPr>
        <w:ind w:left="-10" w:leftChars="-5"/>
        <w:jc w:val="both"/>
      </w:pPr>
      <w:r>
        <w:rPr>
          <w:rFonts w:hint="eastAsia" w:ascii="黑体" w:hAnsi="黑体" w:eastAsia="黑体" w:cs="黑体"/>
        </w:rPr>
        <w:t xml:space="preserve">5.4.3.1 </w:t>
      </w:r>
      <w:r>
        <w:rPr>
          <w:rFonts w:hint="eastAsia"/>
        </w:rPr>
        <w:t>局部霉变时，应采用定点挖掘或吸粮机定点吸粮移出仓外处理。</w:t>
      </w:r>
    </w:p>
    <w:p>
      <w:pPr>
        <w:pStyle w:val="29"/>
        <w:numPr>
          <w:ilvl w:val="0"/>
          <w:numId w:val="0"/>
        </w:numPr>
        <w:ind w:left="-10" w:leftChars="-5"/>
        <w:jc w:val="both"/>
        <w:rPr>
          <w:rFonts w:hAnsi="宋体" w:cs="宋体"/>
        </w:rPr>
      </w:pPr>
      <w:r>
        <w:rPr>
          <w:rFonts w:hint="eastAsia" w:ascii="黑体" w:hAnsi="黑体" w:eastAsia="黑体" w:cs="黑体"/>
        </w:rPr>
        <w:t xml:space="preserve">5.4.3.2 </w:t>
      </w:r>
      <w:r>
        <w:rPr>
          <w:rFonts w:hint="eastAsia" w:hAnsi="宋体" w:cs="宋体"/>
        </w:rPr>
        <w:t>轻微发霉可采用臭氧处理，霉变严重的宜及时移出仓外处理。</w:t>
      </w:r>
    </w:p>
    <w:p>
      <w:pPr>
        <w:pStyle w:val="29"/>
        <w:numPr>
          <w:ilvl w:val="0"/>
          <w:numId w:val="0"/>
        </w:numPr>
        <w:ind w:left="-10" w:leftChars="-5"/>
      </w:pPr>
      <w:r>
        <w:rPr>
          <w:rFonts w:hint="eastAsia" w:ascii="黑体" w:hAnsi="黑体" w:eastAsia="黑体" w:cs="黑体"/>
        </w:rPr>
        <w:t xml:space="preserve">5.4.3.3 </w:t>
      </w:r>
      <w:r>
        <w:rPr>
          <w:rFonts w:hint="eastAsia"/>
        </w:rPr>
        <w:t>霉变的粮食应禁止人畜食用。</w:t>
      </w:r>
      <w:bookmarkEnd w:id="235"/>
      <w:bookmarkEnd w:id="236"/>
      <w:bookmarkEnd w:id="237"/>
      <w:bookmarkStart w:id="264" w:name="_Toc178928215"/>
      <w:bookmarkStart w:id="265" w:name="_Toc177398059"/>
      <w:bookmarkStart w:id="266" w:name="_Toc179788469"/>
      <w:bookmarkStart w:id="267" w:name="_Toc185046147"/>
      <w:bookmarkStart w:id="268" w:name="_Toc177397630"/>
      <w:bookmarkStart w:id="269" w:name="_Toc177397573"/>
      <w:bookmarkStart w:id="270" w:name="_Toc179699266"/>
      <w:bookmarkStart w:id="271" w:name="_Toc319071083"/>
      <w:bookmarkStart w:id="272" w:name="_Toc179788294"/>
      <w:bookmarkStart w:id="273" w:name="_Toc187690264"/>
      <w:bookmarkStart w:id="274" w:name="_Toc177398004"/>
      <w:bookmarkStart w:id="275" w:name="_Toc177953023"/>
      <w:bookmarkStart w:id="276" w:name="_Toc317512243"/>
      <w:bookmarkStart w:id="277" w:name="_Toc194234988"/>
      <w:bookmarkStart w:id="278" w:name="_Toc317971750"/>
      <w:bookmarkStart w:id="279" w:name="_Toc194493794"/>
      <w:bookmarkStart w:id="280" w:name="_Toc317671173"/>
      <w:bookmarkStart w:id="281" w:name="_Toc317971885"/>
      <w:bookmarkStart w:id="282" w:name="_Toc185046275"/>
      <w:bookmarkStart w:id="283" w:name="_Toc318369899"/>
      <w:bookmarkStart w:id="284" w:name="_Toc194301876"/>
      <w:bookmarkStart w:id="285" w:name="_Toc194301956"/>
      <w:bookmarkStart w:id="286" w:name="_Toc194511937"/>
      <w:bookmarkStart w:id="287" w:name="_Toc194315325"/>
      <w:bookmarkStart w:id="288" w:name="_Toc177397948"/>
      <w:bookmarkStart w:id="289" w:name="_Toc179788397"/>
      <w:bookmarkStart w:id="290" w:name="_Toc177953078"/>
      <w:bookmarkStart w:id="291" w:name="_Toc178126669"/>
      <w:bookmarkStart w:id="292" w:name="_Toc317895923"/>
      <w:bookmarkStart w:id="293" w:name="_Toc178127179"/>
      <w:bookmarkStart w:id="294" w:name="_Toc178126934"/>
      <w:bookmarkStart w:id="295" w:name="_Toc194457614"/>
      <w:bookmarkStart w:id="296" w:name="_Toc233010573"/>
      <w:bookmarkStart w:id="297" w:name="_Toc194315196"/>
      <w:bookmarkStart w:id="298" w:name="_Toc194661047"/>
    </w:p>
    <w:p>
      <w:pPr>
        <w:pStyle w:val="21"/>
        <w:ind w:hanging="525" w:hangingChars="250"/>
      </w:pPr>
      <w:r>
        <w:rPr>
          <w:rFonts w:hint="eastAsia"/>
        </w:rPr>
        <w:t>粮堆结块</w:t>
      </w:r>
      <w:bookmarkStart w:id="299" w:name="pindex120"/>
      <w:bookmarkEnd w:id="299"/>
    </w:p>
    <w:p>
      <w:pPr>
        <w:pStyle w:val="29"/>
        <w:ind w:left="10" w:hanging="10" w:hangingChars="5"/>
        <w:rPr>
          <w:rFonts w:ascii="黑体" w:hAnsi="黑体" w:eastAsia="黑体"/>
        </w:rPr>
      </w:pPr>
      <w:r>
        <w:rPr>
          <w:rFonts w:hint="eastAsia" w:ascii="黑体" w:hAnsi="黑体" w:eastAsia="黑体"/>
        </w:rPr>
        <w:t>预防</w:t>
      </w:r>
      <w:bookmarkStart w:id="300" w:name="pindex121"/>
      <w:bookmarkEnd w:id="300"/>
    </w:p>
    <w:p>
      <w:pPr>
        <w:ind w:firstLine="0" w:firstLineChars="0"/>
        <w:rPr>
          <w:rFonts w:ascii="宋体" w:hAnsi="宋体" w:cs="宋体"/>
        </w:rPr>
      </w:pPr>
      <w:r>
        <w:rPr>
          <w:rFonts w:hint="eastAsia" w:ascii="宋体" w:hAnsi="宋体" w:cs="宋体"/>
        </w:rPr>
        <w:t>5.2.1.1 防潮、防渗漏。应检查仓房防潮防渗漏措施量是否到位，对旧</w:t>
      </w:r>
      <w:r>
        <w:rPr>
          <w:rFonts w:hint="eastAsia" w:ascii="宋体" w:hAnsi="宋体" w:cs="宋体"/>
          <w:color w:val="000000"/>
        </w:rPr>
        <w:t>仓房</w:t>
      </w:r>
      <w:r>
        <w:rPr>
          <w:rFonts w:hint="eastAsia" w:ascii="宋体" w:hAnsi="宋体" w:cs="宋体"/>
        </w:rPr>
        <w:t>墙壁裂缝（特别是出现过挂壁现象的墙面）要及时进行防潮防渗漏处理。</w:t>
      </w:r>
    </w:p>
    <w:p>
      <w:pPr>
        <w:ind w:firstLine="0" w:firstLineChars="0"/>
        <w:rPr>
          <w:rFonts w:ascii="宋体" w:hAnsi="宋体" w:cs="宋体"/>
        </w:rPr>
      </w:pPr>
      <w:r>
        <w:rPr>
          <w:rFonts w:hint="eastAsia" w:ascii="宋体" w:hAnsi="宋体" w:cs="宋体"/>
        </w:rPr>
        <w:t>5.2.1.2 水分较高或杂质较高的粮食，应整理合格后入仓。</w:t>
      </w:r>
    </w:p>
    <w:p>
      <w:pPr>
        <w:ind w:firstLine="0" w:firstLineChars="0"/>
        <w:rPr>
          <w:rFonts w:ascii="宋体" w:hAnsi="宋体" w:cs="宋体"/>
        </w:rPr>
      </w:pPr>
      <w:r>
        <w:rPr>
          <w:rFonts w:hint="eastAsia" w:ascii="宋体" w:hAnsi="宋体" w:cs="宋体"/>
        </w:rPr>
        <w:t>5.2.1.3 季节交替时，应进行分阶段通风，及时通风散湿，均衡粮温，消除形成温热扩散的条件，避免发生粮堆结露、结块现象。</w:t>
      </w:r>
    </w:p>
    <w:p>
      <w:pPr>
        <w:pStyle w:val="29"/>
        <w:ind w:left="10" w:hanging="10" w:hangingChars="5"/>
        <w:rPr>
          <w:rFonts w:ascii="黑体" w:hAnsi="黑体" w:eastAsia="黑体"/>
        </w:rPr>
      </w:pPr>
      <w:r>
        <w:rPr>
          <w:rFonts w:hint="eastAsia" w:ascii="黑体" w:hAnsi="黑体" w:eastAsia="黑体"/>
        </w:rPr>
        <w:t>处置</w:t>
      </w:r>
      <w:bookmarkStart w:id="301" w:name="pindex125"/>
      <w:bookmarkEnd w:id="301"/>
    </w:p>
    <w:p>
      <w:pPr>
        <w:ind w:firstLine="0" w:firstLineChars="0"/>
        <w:rPr>
          <w:rFonts w:ascii="宋体" w:hAnsi="宋体" w:cs="宋体"/>
        </w:rPr>
      </w:pPr>
      <w:r>
        <w:rPr>
          <w:rFonts w:hint="eastAsia" w:ascii="宋体" w:hAnsi="宋体" w:cs="宋体"/>
        </w:rPr>
        <w:t>5.2.2.1 粮面出现板结，应深翻松动板结的粮食，破除板结，秋冬季</w:t>
      </w:r>
      <w:r>
        <w:rPr>
          <w:rFonts w:hint="eastAsia" w:ascii="宋体" w:hAnsi="宋体" w:cs="宋体"/>
          <w:szCs w:val="21"/>
        </w:rPr>
        <w:t>下行吸出式机械通风，春夏季采用上行压入式机械制冷通风降温降水，</w:t>
      </w:r>
      <w:r>
        <w:rPr>
          <w:rFonts w:hint="eastAsia" w:ascii="宋体" w:hAnsi="宋体" w:cs="宋体"/>
        </w:rPr>
        <w:t>将结块的粮食水分降到安全水分以内。</w:t>
      </w:r>
    </w:p>
    <w:p>
      <w:pPr>
        <w:ind w:firstLine="0" w:firstLineChars="0"/>
        <w:rPr>
          <w:rFonts w:ascii="宋体" w:hAnsi="宋体" w:cs="宋体"/>
        </w:rPr>
      </w:pPr>
      <w:r>
        <w:rPr>
          <w:rFonts w:hint="eastAsia" w:ascii="宋体" w:hAnsi="宋体" w:cs="宋体"/>
        </w:rPr>
        <w:t>5.2.2.2 粮堆内局部结块，应挖掘到粮面进行降温散湿。</w:t>
      </w:r>
    </w:p>
    <w:p>
      <w:pPr>
        <w:ind w:firstLine="0" w:firstLineChars="0"/>
        <w:rPr>
          <w:rFonts w:ascii="宋体" w:hAnsi="宋体" w:cs="宋体"/>
          <w:szCs w:val="22"/>
        </w:rPr>
      </w:pPr>
      <w:r>
        <w:rPr>
          <w:rFonts w:hint="eastAsia" w:ascii="宋体" w:hAnsi="宋体" w:cs="宋体"/>
        </w:rPr>
        <w:t>5.2.2.3 如不具备通风条件或不能及时处理，应将结块粮食移出仓外晾晒或烘干处理。</w:t>
      </w:r>
    </w:p>
    <w:p>
      <w:pPr>
        <w:pStyle w:val="20"/>
        <w:rPr>
          <w:szCs w:val="22"/>
        </w:rPr>
      </w:pPr>
      <w:r>
        <w:rPr>
          <w:rFonts w:hint="eastAsia"/>
          <w:szCs w:val="22"/>
        </w:rPr>
        <w:t>安全注意事项</w:t>
      </w:r>
      <w:bookmarkStart w:id="302" w:name="pindex129"/>
      <w:bookmarkEnd w:id="302"/>
    </w:p>
    <w:p>
      <w:pPr>
        <w:pStyle w:val="19"/>
        <w:ind w:firstLine="0" w:firstLineChars="0"/>
      </w:pPr>
      <w:r>
        <w:rPr>
          <w:rFonts w:hint="eastAsia"/>
        </w:rPr>
        <w:t xml:space="preserve">6.1 </w:t>
      </w:r>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rPr>
          <w:rFonts w:hint="eastAsia"/>
        </w:rPr>
        <w:t>定点吸粮和倒仓处理应防止粮堆偏载倾倒和空洞埋人。出粮后，人员进入囤内清理资材应系安全绳，且不应少于2人，并按</w:t>
      </w:r>
      <w:r>
        <w:rPr>
          <w:rFonts w:hint="eastAsia"/>
          <w:szCs w:val="22"/>
          <w:shd w:val="clear" w:color="auto" w:fill="FFFFFF"/>
        </w:rPr>
        <w:t>《粮油安全储存守则》</w:t>
      </w:r>
      <w:r>
        <w:rPr>
          <w:rFonts w:hint="eastAsia"/>
          <w:szCs w:val="22"/>
        </w:rPr>
        <w:t>和</w:t>
      </w:r>
      <w:r>
        <w:rPr>
          <w:rFonts w:hint="eastAsia"/>
          <w:szCs w:val="22"/>
          <w:shd w:val="clear" w:color="auto" w:fill="FFFFFF"/>
        </w:rPr>
        <w:t>《粮库安全生产守则》执行</w:t>
      </w:r>
      <w:r>
        <w:rPr>
          <w:rFonts w:hint="eastAsia"/>
        </w:rPr>
        <w:t>。</w:t>
      </w:r>
    </w:p>
    <w:p>
      <w:pPr>
        <w:pStyle w:val="29"/>
        <w:numPr>
          <w:ilvl w:val="0"/>
          <w:numId w:val="0"/>
        </w:numPr>
        <w:ind w:left="10"/>
        <w:jc w:val="both"/>
      </w:pPr>
      <w:r>
        <w:rPr>
          <w:rFonts w:hint="eastAsia"/>
        </w:rPr>
        <w:t>6.2 其他按LS</w:t>
      </w:r>
      <w:r>
        <w:t xml:space="preserve"> </w:t>
      </w:r>
      <w:r>
        <w:rPr>
          <w:rFonts w:hint="eastAsia"/>
        </w:rPr>
        <w:t>1206和LS/T 1217要求执行。</w:t>
      </w:r>
    </w:p>
    <w:p>
      <w:pPr>
        <w:pStyle w:val="19"/>
        <w:ind w:firstLine="0" w:firstLineChars="0"/>
        <w:rPr>
          <w:rFonts w:hAnsi="宋体"/>
          <w:sz w:val="18"/>
        </w:rPr>
      </w:pPr>
    </w:p>
    <w:p>
      <w:pPr>
        <w:pStyle w:val="19"/>
        <w:ind w:firstLine="0" w:firstLineChars="0"/>
        <w:rPr>
          <w:rFonts w:hAnsi="宋体"/>
          <w:sz w:val="18"/>
        </w:rPr>
      </w:pPr>
    </w:p>
    <w:p>
      <w:pPr>
        <w:ind w:firstLine="420"/>
        <w:jc w:val="center"/>
      </w:pPr>
    </w:p>
    <w:p>
      <w:pPr>
        <w:ind w:firstLine="422"/>
        <w:jc w:val="center"/>
        <w:rPr>
          <w:b/>
          <w:bCs/>
        </w:rPr>
      </w:pPr>
      <w:r>
        <w:rPr>
          <w:rFonts w:hint="eastAsia"/>
          <w:b/>
          <w:bCs/>
        </w:rPr>
        <w:br w:type="page"/>
      </w:r>
      <w:bookmarkStart w:id="303" w:name="_Hlk30249583"/>
    </w:p>
    <w:bookmarkEnd w:id="303"/>
    <w:p>
      <w:pPr>
        <w:ind w:firstLine="422"/>
        <w:jc w:val="center"/>
        <w:rPr>
          <w:b/>
          <w:bCs/>
        </w:rPr>
      </w:pPr>
      <w:r>
        <w:rPr>
          <w:rFonts w:hint="eastAsia"/>
          <w:b/>
          <w:bCs/>
        </w:rPr>
        <w:t xml:space="preserve"> </w:t>
      </w:r>
    </w:p>
    <w:p>
      <w:pPr>
        <w:ind w:firstLine="422"/>
        <w:jc w:val="center"/>
        <w:rPr>
          <w:b/>
          <w:bCs/>
        </w:rPr>
      </w:pPr>
      <w:r>
        <w:rPr>
          <w:rFonts w:hint="eastAsia"/>
          <w:b/>
          <w:bCs/>
        </w:rPr>
        <w:t>附录A</w:t>
      </w:r>
      <w:bookmarkStart w:id="304" w:name="pindex137"/>
      <w:bookmarkEnd w:id="304"/>
    </w:p>
    <w:p>
      <w:pPr>
        <w:ind w:firstLine="420"/>
        <w:jc w:val="center"/>
        <w:rPr>
          <w:b/>
          <w:bCs/>
        </w:rPr>
      </w:pPr>
      <w:r>
        <w:rPr>
          <w:rFonts w:hint="eastAsia"/>
        </w:rPr>
        <w:t>（资料性附录）</w:t>
      </w:r>
    </w:p>
    <w:p>
      <w:pPr>
        <w:ind w:firstLine="422"/>
        <w:jc w:val="center"/>
        <w:rPr>
          <w:b/>
          <w:bCs/>
        </w:rPr>
      </w:pPr>
      <w:r>
        <w:rPr>
          <w:rFonts w:hint="eastAsia"/>
          <w:b/>
          <w:bCs/>
        </w:rPr>
        <w:t>粮堆发热判定公式</w:t>
      </w:r>
    </w:p>
    <w:p>
      <w:pPr>
        <w:ind w:firstLine="420"/>
        <w:jc w:val="left"/>
      </w:pPr>
    </w:p>
    <w:p>
      <w:pPr>
        <w:ind w:firstLine="420"/>
        <w:jc w:val="left"/>
        <w:rPr>
          <w:b/>
          <w:bCs/>
        </w:rPr>
      </w:pPr>
      <w:r>
        <w:rPr>
          <w:rFonts w:hint="eastAsia"/>
        </w:rPr>
        <w:t>粮堆发热判定见式（A.1）：</w:t>
      </w:r>
      <w:bookmarkStart w:id="305" w:name="pindex141"/>
      <w:bookmarkEnd w:id="305"/>
    </w:p>
    <w:tbl>
      <w:tblPr>
        <w:tblStyle w:val="8"/>
        <w:tblpPr w:leftFromText="180" w:rightFromText="180" w:vertAnchor="text" w:horzAnchor="page" w:tblpX="3913" w:tblpY="328"/>
        <w:tblOverlap w:val="never"/>
        <w:tblW w:w="42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0"/>
        <w:gridCol w:w="625"/>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80" w:type="dxa"/>
            <w:vMerge w:val="restart"/>
            <w:tcBorders>
              <w:top w:val="nil"/>
              <w:left w:val="nil"/>
              <w:right w:val="nil"/>
            </w:tcBorders>
            <w:vAlign w:val="center"/>
          </w:tcPr>
          <w:p>
            <w:pPr>
              <w:ind w:firstLine="420"/>
              <w:jc w:val="right"/>
            </w:pPr>
            <w:r>
              <w:rPr>
                <w:rFonts w:hint="eastAsia"/>
              </w:rPr>
              <w:t>日变化率</w:t>
            </w:r>
            <w:r>
              <w:rPr>
                <w:rFonts w:ascii="Arial" w:hAnsi="Arial" w:cs="Arial"/>
              </w:rPr>
              <w:t>≥</w:t>
            </w:r>
            <w:r>
              <w:rPr>
                <w:rFonts w:hint="eastAsia"/>
              </w:rPr>
              <w:t xml:space="preserve"> </w:t>
            </w:r>
            <w:r>
              <w:rPr>
                <w:i/>
              </w:rPr>
              <w:t>b</w:t>
            </w:r>
            <w:r>
              <w:rPr>
                <w:rFonts w:hint="eastAsia"/>
              </w:rPr>
              <w:t xml:space="preserve"> + </w:t>
            </w:r>
            <w:r>
              <w:rPr>
                <w:i/>
              </w:rPr>
              <w:t>A</w:t>
            </w:r>
            <w:r>
              <w:rPr>
                <w:rFonts w:hint="eastAsia"/>
              </w:rPr>
              <w:t>cos(</w:t>
            </w:r>
          </w:p>
        </w:tc>
        <w:tc>
          <w:tcPr>
            <w:tcW w:w="625" w:type="dxa"/>
            <w:tcBorders>
              <w:top w:val="nil"/>
              <w:left w:val="nil"/>
              <w:right w:val="nil"/>
            </w:tcBorders>
            <w:vAlign w:val="center"/>
          </w:tcPr>
          <w:p>
            <w:pPr>
              <w:ind w:firstLine="0" w:firstLineChars="0"/>
              <w:jc w:val="center"/>
            </w:pPr>
            <w:r>
              <w:rPr>
                <w:rFonts w:hint="eastAsia"/>
              </w:rPr>
              <w:t>2</w:t>
            </w:r>
            <w:r>
              <w:t>π</w:t>
            </w:r>
          </w:p>
        </w:tc>
        <w:tc>
          <w:tcPr>
            <w:tcW w:w="850" w:type="dxa"/>
            <w:vMerge w:val="restart"/>
            <w:tcBorders>
              <w:top w:val="nil"/>
              <w:left w:val="nil"/>
              <w:right w:val="nil"/>
            </w:tcBorders>
            <w:vAlign w:val="center"/>
          </w:tcPr>
          <w:p>
            <w:pPr>
              <w:ind w:firstLine="0" w:firstLineChars="0"/>
              <w:jc w:val="left"/>
            </w:pPr>
            <w:r>
              <w:rPr>
                <w:rFonts w:hint="eastAsia"/>
              </w:rPr>
              <w:t>-</w:t>
            </w:r>
            <w:r>
              <w:rPr>
                <w:i/>
              </w:rPr>
              <w:t>x</w:t>
            </w:r>
            <w:r>
              <w:rPr>
                <w:rFonts w:hint="eastAsia"/>
              </w:rPr>
              <w:t>)</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80" w:type="dxa"/>
            <w:vMerge w:val="continue"/>
            <w:tcBorders>
              <w:left w:val="nil"/>
              <w:bottom w:val="nil"/>
              <w:right w:val="nil"/>
            </w:tcBorders>
          </w:tcPr>
          <w:p>
            <w:pPr>
              <w:ind w:firstLine="422"/>
              <w:jc w:val="center"/>
              <w:rPr>
                <w:b/>
                <w:bCs/>
              </w:rPr>
            </w:pPr>
          </w:p>
        </w:tc>
        <w:tc>
          <w:tcPr>
            <w:tcW w:w="625" w:type="dxa"/>
            <w:tcBorders>
              <w:left w:val="nil"/>
              <w:bottom w:val="nil"/>
              <w:right w:val="nil"/>
            </w:tcBorders>
          </w:tcPr>
          <w:p>
            <w:pPr>
              <w:ind w:firstLine="0" w:firstLineChars="0"/>
              <w:jc w:val="center"/>
            </w:pPr>
            <w:r>
              <w:rPr>
                <w:rFonts w:hint="eastAsia"/>
              </w:rPr>
              <w:t>365</w:t>
            </w:r>
          </w:p>
        </w:tc>
        <w:tc>
          <w:tcPr>
            <w:tcW w:w="850" w:type="dxa"/>
            <w:vMerge w:val="continue"/>
            <w:tcBorders>
              <w:left w:val="nil"/>
              <w:bottom w:val="nil"/>
              <w:right w:val="nil"/>
            </w:tcBorders>
          </w:tcPr>
          <w:p>
            <w:pPr>
              <w:ind w:firstLine="422"/>
              <w:jc w:val="center"/>
              <w:rPr>
                <w:b/>
                <w:bCs/>
              </w:rPr>
            </w:pPr>
          </w:p>
        </w:tc>
      </w:tr>
    </w:tbl>
    <w:p>
      <w:pPr>
        <w:ind w:firstLine="422"/>
        <w:jc w:val="center"/>
        <w:rPr>
          <w:b/>
          <w:bCs/>
        </w:rPr>
      </w:pPr>
    </w:p>
    <w:p>
      <w:pPr>
        <w:ind w:firstLine="422"/>
        <w:jc w:val="center"/>
        <w:rPr>
          <w:b/>
          <w:bCs/>
        </w:rPr>
      </w:pPr>
      <w:r>
        <w:rPr>
          <w:b/>
          <w:bCs/>
        </w:rPr>
        <mc:AlternateContent>
          <mc:Choice Requires="wps">
            <w:drawing>
              <wp:anchor distT="0" distB="0" distL="114300" distR="114300" simplePos="0" relativeHeight="251659264" behindDoc="0" locked="0" layoutInCell="1" allowOverlap="1">
                <wp:simplePos x="0" y="0"/>
                <wp:positionH relativeFrom="column">
                  <wp:posOffset>4489450</wp:posOffset>
                </wp:positionH>
                <wp:positionV relativeFrom="paragraph">
                  <wp:posOffset>96520</wp:posOffset>
                </wp:positionV>
                <wp:extent cx="724535" cy="335915"/>
                <wp:effectExtent l="0" t="0" r="0" b="6985"/>
                <wp:wrapNone/>
                <wp:docPr id="6" name="文本框 6"/>
                <wp:cNvGraphicFramePr/>
                <a:graphic xmlns:a="http://schemas.openxmlformats.org/drawingml/2006/main">
                  <a:graphicData uri="http://schemas.microsoft.com/office/word/2010/wordprocessingShape">
                    <wps:wsp>
                      <wps:cNvSpPr txBox="1"/>
                      <wps:spPr>
                        <a:xfrm>
                          <a:off x="0" y="0"/>
                          <a:ext cx="724535" cy="3359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ind w:firstLine="420"/>
                            </w:pPr>
                            <w:r>
                              <w:rPr>
                                <w:rFonts w:hint="eastAsia"/>
                              </w:rPr>
                              <w:t>A.1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3.5pt;margin-top:7.6pt;height:26.45pt;width:57.05pt;z-index:251659264;mso-width-relative:page;mso-height-relative:page;" fillcolor="#FFFFFF [3201]" filled="t" stroked="f" coordsize="21600,21600" o:gfxdata="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PlOrvVAAAACQEAAA8AAAAAAAAAAQAgAAAAIgAAAGRycy9kb3ducmV2&#10;LnhtbFBLAQIUABQAAAAIAIdO4kAi4uL3OAIAAE4EAAAOAAAAAAAAAAEAIAAAACQBAABkcnMvZTJv&#10;RG9jLnhtbFBLBQYAAAAABgAGAFkBAADOBQAAAAA=&#10;">
                <v:fill on="t" focussize="0,0"/>
                <v:stroke on="f" weight="0.5pt"/>
                <v:imagedata o:title=""/>
                <o:lock v:ext="edit" aspectratio="f"/>
                <v:textbox>
                  <w:txbxContent>
                    <w:p>
                      <w:pPr>
                        <w:ind w:firstLine="420"/>
                      </w:pPr>
                      <w:r>
                        <w:rPr>
                          <w:rFonts w:hint="eastAsia"/>
                        </w:rPr>
                        <w:t>A.1</w:t>
                      </w:r>
                    </w:p>
                  </w:txbxContent>
                </v:textbox>
              </v:shape>
            </w:pict>
          </mc:Fallback>
        </mc:AlternateContent>
      </w:r>
    </w:p>
    <w:p>
      <w:pPr>
        <w:ind w:firstLine="422"/>
        <w:jc w:val="center"/>
        <w:rPr>
          <w:b/>
          <w:bCs/>
        </w:rPr>
      </w:pPr>
    </w:p>
    <w:p>
      <w:pPr>
        <w:ind w:firstLine="422"/>
        <w:rPr>
          <w:b/>
          <w:bCs/>
        </w:rPr>
      </w:pPr>
      <w:r>
        <w:rPr>
          <w:rFonts w:hint="eastAsia"/>
          <w:b/>
          <w:bCs/>
        </w:rPr>
        <w:t>式中：</w:t>
      </w:r>
    </w:p>
    <w:p>
      <w:pPr>
        <w:ind w:firstLine="420"/>
        <w:jc w:val="left"/>
      </w:pPr>
      <w:r>
        <w:rPr>
          <w:i/>
        </w:rPr>
        <w:t>b</w:t>
      </w:r>
      <w:r>
        <w:rPr>
          <w:rFonts w:hint="eastAsia"/>
        </w:rPr>
        <w:t xml:space="preserve"> --- 层平均粮温，单位为</w:t>
      </w:r>
      <w:r>
        <w:rPr>
          <w:rFonts w:hint="eastAsia" w:ascii="宋体" w:hAnsi="宋体" w:cs="宋体"/>
        </w:rPr>
        <w:t>℃</w:t>
      </w:r>
      <w:r>
        <w:rPr>
          <w:rFonts w:hint="eastAsia"/>
        </w:rPr>
        <w:t>；</w:t>
      </w:r>
    </w:p>
    <w:p>
      <w:pPr>
        <w:ind w:firstLine="420"/>
        <w:jc w:val="left"/>
        <w:rPr>
          <w:b/>
          <w:bCs/>
        </w:rPr>
      </w:pPr>
      <w:r>
        <w:rPr>
          <w:i/>
        </w:rPr>
        <w:t xml:space="preserve">A </w:t>
      </w:r>
      <w:r>
        <w:rPr>
          <w:rFonts w:hint="eastAsia"/>
        </w:rPr>
        <w:t>--- 层粮温最大变幅/2，单位为</w:t>
      </w:r>
      <w:r>
        <w:rPr>
          <w:rFonts w:hint="eastAsia" w:ascii="宋体" w:hAnsi="宋体" w:cs="宋体"/>
        </w:rPr>
        <w:t>℃;</w:t>
      </w:r>
    </w:p>
    <w:p>
      <w:pPr>
        <w:ind w:firstLine="420"/>
      </w:pPr>
      <w:r>
        <w:rPr>
          <w:i/>
        </w:rPr>
        <w:t>x</w:t>
      </w:r>
      <w:r>
        <w:rPr>
          <w:rFonts w:hint="eastAsia"/>
        </w:rPr>
        <w:t xml:space="preserve"> --- 从元月1日开始到粮温达到b值的天数。</w:t>
      </w:r>
    </w:p>
    <w:p>
      <w:pPr>
        <w:ind w:firstLine="420"/>
      </w:pPr>
      <w:r>
        <w:rPr>
          <w:rFonts w:hint="eastAsia"/>
        </w:rPr>
        <w:t>注：本公式参照本标准起草单位国家粮食和物资储备局科学研究院研究成果。</w:t>
      </w:r>
    </w:p>
    <w:p>
      <w:pPr>
        <w:ind w:firstLine="422"/>
        <w:jc w:val="center"/>
        <w:rPr>
          <w:b/>
          <w:bCs/>
        </w:rPr>
      </w:pPr>
    </w:p>
    <w:p>
      <w:pPr>
        <w:ind w:firstLine="422"/>
        <w:jc w:val="center"/>
        <w:rPr>
          <w:b/>
          <w:bCs/>
        </w:rPr>
      </w:pPr>
    </w:p>
    <w:p>
      <w:pPr>
        <w:ind w:firstLine="422"/>
        <w:jc w:val="center"/>
        <w:rPr>
          <w:b/>
          <w:bCs/>
        </w:rPr>
      </w:pPr>
    </w:p>
    <w:p>
      <w:pPr>
        <w:ind w:firstLine="422"/>
        <w:jc w:val="center"/>
        <w:rPr>
          <w:b/>
          <w:bCs/>
        </w:rPr>
      </w:pPr>
    </w:p>
    <w:p>
      <w:pPr>
        <w:ind w:firstLine="422"/>
        <w:jc w:val="center"/>
        <w:rPr>
          <w:b/>
          <w:bCs/>
        </w:rPr>
      </w:pPr>
    </w:p>
    <w:p>
      <w:pPr>
        <w:ind w:firstLine="422"/>
        <w:jc w:val="center"/>
        <w:rPr>
          <w:rFonts w:ascii="黑体" w:hAnsi="黑体" w:eastAsia="黑体"/>
          <w:b/>
          <w:bCs/>
        </w:rPr>
      </w:pPr>
      <w:r>
        <w:rPr>
          <w:b/>
          <w:bCs/>
        </w:rPr>
        <w:br w:type="page"/>
      </w:r>
      <w:r>
        <w:rPr>
          <w:rFonts w:hint="eastAsia" w:ascii="黑体" w:hAnsi="黑体" w:eastAsia="黑体"/>
          <w:b/>
          <w:bCs/>
        </w:rPr>
        <w:t xml:space="preserve">附录B </w:t>
      </w:r>
      <w:bookmarkStart w:id="306" w:name="pindex161"/>
      <w:bookmarkEnd w:id="306"/>
    </w:p>
    <w:p>
      <w:pPr>
        <w:ind w:firstLine="420"/>
        <w:jc w:val="center"/>
        <w:rPr>
          <w:rFonts w:ascii="黑体" w:hAnsi="黑体" w:eastAsia="黑体"/>
        </w:rPr>
      </w:pPr>
      <w:r>
        <w:rPr>
          <w:rFonts w:hint="eastAsia" w:ascii="黑体" w:hAnsi="黑体" w:eastAsia="黑体"/>
        </w:rPr>
        <w:t>（资料性附录）</w:t>
      </w:r>
    </w:p>
    <w:p>
      <w:pPr>
        <w:ind w:firstLine="420"/>
        <w:jc w:val="center"/>
        <w:rPr>
          <w:rFonts w:ascii="黑体" w:hAnsi="黑体" w:eastAsia="黑体"/>
        </w:rPr>
      </w:pPr>
      <w:r>
        <w:rPr>
          <w:rFonts w:hint="eastAsia" w:ascii="黑体" w:hAnsi="黑体" w:eastAsia="黑体"/>
        </w:rPr>
        <w:t>粮堆露点温度检查表</w:t>
      </w:r>
    </w:p>
    <w:p>
      <w:pPr>
        <w:ind w:firstLine="420"/>
        <w:jc w:val="center"/>
      </w:pPr>
    </w:p>
    <w:p>
      <w:pPr>
        <w:ind w:firstLine="420"/>
        <w:jc w:val="left"/>
      </w:pPr>
      <w:r>
        <w:rPr>
          <w:rFonts w:hint="eastAsia"/>
        </w:rPr>
        <w:t>粮堆露点温度检查表见表B</w:t>
      </w:r>
      <w:r>
        <w:t>.1</w:t>
      </w:r>
      <w:r>
        <w:rPr>
          <w:rFonts w:hint="eastAsia"/>
        </w:rPr>
        <w:t>。</w:t>
      </w:r>
    </w:p>
    <w:p>
      <w:pPr>
        <w:ind w:firstLine="420"/>
        <w:jc w:val="center"/>
        <w:rPr>
          <w:rFonts w:ascii="黑体" w:hAnsi="黑体" w:eastAsia="黑体"/>
        </w:rPr>
      </w:pPr>
      <w:r>
        <w:rPr>
          <w:rFonts w:hint="eastAsia" w:ascii="黑体" w:hAnsi="黑体" w:eastAsia="黑体"/>
        </w:rPr>
        <w:t>表B</w:t>
      </w:r>
      <w:r>
        <w:rPr>
          <w:rFonts w:ascii="黑体" w:hAnsi="黑体" w:eastAsia="黑体"/>
        </w:rPr>
        <w:t xml:space="preserve">.1 </w:t>
      </w:r>
      <w:r>
        <w:rPr>
          <w:rFonts w:hint="eastAsia" w:ascii="黑体" w:hAnsi="黑体" w:eastAsia="黑体"/>
        </w:rPr>
        <w:t>粮堆露点温度检查表</w:t>
      </w:r>
      <w:bookmarkStart w:id="307" w:name="pindex166"/>
      <w:bookmarkEnd w:id="307"/>
    </w:p>
    <w:tbl>
      <w:tblPr>
        <w:tblStyle w:val="8"/>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Merge w:val="restart"/>
            <w:tcBorders>
              <w:left w:val="single" w:color="auto" w:sz="4" w:space="0"/>
              <w:right w:val="single" w:color="auto" w:sz="4" w:space="0"/>
            </w:tcBorders>
            <w:vAlign w:val="center"/>
          </w:tcPr>
          <w:p>
            <w:pPr>
              <w:ind w:firstLine="0" w:firstLineChars="0"/>
              <w:jc w:val="center"/>
              <w:rPr>
                <w:b/>
                <w:bCs/>
                <w:sz w:val="18"/>
                <w:szCs w:val="18"/>
              </w:rPr>
            </w:pPr>
            <w:r>
              <w:rPr>
                <w:b/>
                <w:bCs/>
                <w:sz w:val="18"/>
                <w:szCs w:val="18"/>
              </w:rPr>
              <w:t>粮温℃</w:t>
            </w:r>
          </w:p>
        </w:tc>
        <w:tc>
          <w:tcPr>
            <w:tcW w:w="7670" w:type="dxa"/>
            <w:gridSpan w:val="9"/>
            <w:tcBorders>
              <w:left w:val="single" w:color="auto" w:sz="4" w:space="0"/>
              <w:bottom w:val="single" w:color="auto" w:sz="4" w:space="0"/>
              <w:right w:val="single" w:color="auto" w:sz="4" w:space="0"/>
            </w:tcBorders>
            <w:vAlign w:val="center"/>
          </w:tcPr>
          <w:p>
            <w:pPr>
              <w:ind w:firstLine="361"/>
              <w:jc w:val="center"/>
              <w:rPr>
                <w:b/>
                <w:bCs/>
                <w:sz w:val="18"/>
                <w:szCs w:val="18"/>
              </w:rPr>
            </w:pPr>
            <w:r>
              <w:rPr>
                <w:b/>
                <w:bCs/>
                <w:sz w:val="18"/>
                <w:szCs w:val="18"/>
              </w:rPr>
              <w:t>不同水分的粮食在不同温度时的露点温度</w:t>
            </w:r>
            <w:r>
              <w:rPr>
                <w:rFonts w:hint="eastAsia"/>
                <w:b/>
                <w:bCs/>
                <w:sz w:val="18"/>
                <w:szCs w:val="18"/>
              </w:rPr>
              <w:t>/</w:t>
            </w:r>
            <w:r>
              <w:rPr>
                <w:b/>
                <w:bCs/>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Merge w:val="continue"/>
            <w:tcBorders>
              <w:left w:val="single" w:color="auto" w:sz="4" w:space="0"/>
              <w:bottom w:val="single" w:color="auto" w:sz="4" w:space="0"/>
              <w:right w:val="single" w:color="auto" w:sz="4" w:space="0"/>
            </w:tcBorders>
            <w:vAlign w:val="center"/>
          </w:tcPr>
          <w:p>
            <w:pPr>
              <w:ind w:firstLine="361"/>
              <w:jc w:val="center"/>
              <w:rPr>
                <w:b/>
                <w:bCs/>
                <w:sz w:val="18"/>
                <w:szCs w:val="18"/>
              </w:rPr>
            </w:pP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sz w:val="18"/>
                <w:szCs w:val="18"/>
              </w:rPr>
            </w:pPr>
            <w:r>
              <w:rPr>
                <w:b/>
                <w:bCs/>
                <w:color w:val="000000"/>
                <w:sz w:val="18"/>
                <w:szCs w:val="18"/>
              </w:rPr>
              <w:t>10%</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color w:val="000000"/>
                <w:sz w:val="18"/>
                <w:szCs w:val="18"/>
              </w:rPr>
            </w:pPr>
            <w:r>
              <w:rPr>
                <w:b/>
                <w:bCs/>
                <w:color w:val="000000"/>
                <w:sz w:val="18"/>
                <w:szCs w:val="18"/>
              </w:rPr>
              <w:t>11%</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color w:val="000000"/>
                <w:sz w:val="18"/>
                <w:szCs w:val="18"/>
              </w:rPr>
            </w:pPr>
            <w:r>
              <w:rPr>
                <w:b/>
                <w:bCs/>
                <w:color w:val="000000"/>
                <w:sz w:val="18"/>
                <w:szCs w:val="18"/>
              </w:rPr>
              <w:t>12%</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color w:val="000000"/>
                <w:sz w:val="18"/>
                <w:szCs w:val="18"/>
              </w:rPr>
            </w:pPr>
            <w:r>
              <w:rPr>
                <w:b/>
                <w:bCs/>
                <w:color w:val="000000"/>
                <w:sz w:val="18"/>
                <w:szCs w:val="18"/>
              </w:rPr>
              <w:t>13%</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color w:val="000000"/>
                <w:sz w:val="18"/>
                <w:szCs w:val="18"/>
              </w:rPr>
            </w:pPr>
            <w:r>
              <w:rPr>
                <w:b/>
                <w:bCs/>
                <w:color w:val="000000"/>
                <w:sz w:val="18"/>
                <w:szCs w:val="18"/>
              </w:rPr>
              <w:t>14%</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color w:val="000000"/>
                <w:sz w:val="18"/>
                <w:szCs w:val="18"/>
              </w:rPr>
            </w:pPr>
            <w:r>
              <w:rPr>
                <w:b/>
                <w:bCs/>
                <w:color w:val="000000"/>
                <w:sz w:val="18"/>
                <w:szCs w:val="18"/>
              </w:rPr>
              <w:t>15%</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color w:val="000000"/>
                <w:sz w:val="18"/>
                <w:szCs w:val="18"/>
              </w:rPr>
            </w:pPr>
            <w:r>
              <w:rPr>
                <w:b/>
                <w:bCs/>
                <w:color w:val="000000"/>
                <w:sz w:val="18"/>
                <w:szCs w:val="18"/>
              </w:rPr>
              <w:t>16%</w:t>
            </w:r>
          </w:p>
        </w:tc>
        <w:tc>
          <w:tcPr>
            <w:tcW w:w="853"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color w:val="000000"/>
                <w:sz w:val="18"/>
                <w:szCs w:val="18"/>
              </w:rPr>
            </w:pPr>
            <w:r>
              <w:rPr>
                <w:b/>
                <w:bCs/>
                <w:color w:val="000000"/>
                <w:sz w:val="18"/>
                <w:szCs w:val="18"/>
              </w:rPr>
              <w:t>17%</w:t>
            </w:r>
          </w:p>
        </w:tc>
        <w:tc>
          <w:tcPr>
            <w:tcW w:w="853"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b/>
                <w:bCs/>
                <w:color w:val="000000"/>
                <w:sz w:val="18"/>
                <w:szCs w:val="18"/>
              </w:rPr>
            </w:pPr>
            <w:r>
              <w:rPr>
                <w:b/>
                <w:bCs/>
                <w:color w:val="000000"/>
                <w:sz w:val="18"/>
                <w:szCs w:val="18"/>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360"/>
              <w:jc w:val="center"/>
              <w:rPr>
                <w:sz w:val="18"/>
                <w:szCs w:val="18"/>
              </w:rPr>
            </w:pPr>
            <w:r>
              <w:rPr>
                <w:color w:val="000000"/>
                <w:sz w:val="18"/>
                <w:szCs w:val="18"/>
              </w:rPr>
              <w:t>0</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-14</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-11</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-9</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-7</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-6</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-4</w:t>
            </w:r>
          </w:p>
        </w:tc>
        <w:tc>
          <w:tcPr>
            <w:tcW w:w="852"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-3</w:t>
            </w:r>
          </w:p>
        </w:tc>
        <w:tc>
          <w:tcPr>
            <w:tcW w:w="853"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-2</w:t>
            </w:r>
          </w:p>
        </w:tc>
        <w:tc>
          <w:tcPr>
            <w:tcW w:w="853" w:type="dxa"/>
            <w:tcBorders>
              <w:top w:val="single" w:color="auto" w:sz="4" w:space="0"/>
              <w:left w:val="single" w:color="auto" w:sz="4" w:space="0"/>
              <w:bottom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tcBorders>
              <w:top w:val="single" w:color="auto" w:sz="4" w:space="0"/>
              <w:left w:val="single" w:color="auto" w:sz="4" w:space="0"/>
              <w:right w:val="single" w:color="auto" w:sz="4" w:space="0"/>
            </w:tcBorders>
            <w:vAlign w:val="center"/>
          </w:tcPr>
          <w:p>
            <w:pPr>
              <w:autoSpaceDE w:val="0"/>
              <w:autoSpaceDN w:val="0"/>
              <w:ind w:firstLine="360"/>
              <w:jc w:val="center"/>
              <w:rPr>
                <w:sz w:val="18"/>
                <w:szCs w:val="18"/>
              </w:rPr>
            </w:pPr>
            <w:r>
              <w:rPr>
                <w:color w:val="000000"/>
                <w:sz w:val="18"/>
                <w:szCs w:val="18"/>
              </w:rPr>
              <w:t>5</w:t>
            </w:r>
          </w:p>
        </w:tc>
        <w:tc>
          <w:tcPr>
            <w:tcW w:w="852"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-9</w:t>
            </w:r>
          </w:p>
        </w:tc>
        <w:tc>
          <w:tcPr>
            <w:tcW w:w="852"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-7</w:t>
            </w:r>
          </w:p>
        </w:tc>
        <w:tc>
          <w:tcPr>
            <w:tcW w:w="852"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-5</w:t>
            </w:r>
          </w:p>
        </w:tc>
        <w:tc>
          <w:tcPr>
            <w:tcW w:w="852"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-3</w:t>
            </w:r>
          </w:p>
        </w:tc>
        <w:tc>
          <w:tcPr>
            <w:tcW w:w="852"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-1</w:t>
            </w:r>
          </w:p>
        </w:tc>
        <w:tc>
          <w:tcPr>
            <w:tcW w:w="852"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0</w:t>
            </w:r>
          </w:p>
        </w:tc>
        <w:tc>
          <w:tcPr>
            <w:tcW w:w="852"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1</w:t>
            </w:r>
          </w:p>
        </w:tc>
        <w:tc>
          <w:tcPr>
            <w:tcW w:w="853"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3</w:t>
            </w:r>
          </w:p>
        </w:tc>
        <w:tc>
          <w:tcPr>
            <w:tcW w:w="853" w:type="dxa"/>
            <w:tcBorders>
              <w:top w:val="single" w:color="auto" w:sz="4" w:space="0"/>
              <w:left w:val="single" w:color="auto" w:sz="4" w:space="0"/>
              <w:right w:val="single" w:color="auto" w:sz="4" w:space="0"/>
            </w:tcBorders>
            <w:vAlign w:val="center"/>
          </w:tcPr>
          <w:p>
            <w:pPr>
              <w:autoSpaceDE w:val="0"/>
              <w:autoSpaceDN w:val="0"/>
              <w:ind w:firstLine="0" w:firstLineChars="0"/>
              <w:jc w:val="right"/>
              <w:rPr>
                <w:color w:val="000000"/>
                <w:sz w:val="18"/>
                <w:szCs w:val="18"/>
              </w:rPr>
            </w:pPr>
            <w:r>
              <w:rPr>
                <w:color w:val="000000"/>
                <w:sz w:val="18"/>
                <w:szCs w:val="1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10</w:t>
            </w:r>
          </w:p>
        </w:tc>
        <w:tc>
          <w:tcPr>
            <w:tcW w:w="852" w:type="dxa"/>
            <w:vAlign w:val="center"/>
          </w:tcPr>
          <w:p>
            <w:pPr>
              <w:autoSpaceDE w:val="0"/>
              <w:autoSpaceDN w:val="0"/>
              <w:ind w:firstLine="0" w:firstLineChars="0"/>
              <w:jc w:val="right"/>
              <w:rPr>
                <w:color w:val="000000"/>
                <w:sz w:val="18"/>
                <w:szCs w:val="18"/>
              </w:rPr>
            </w:pPr>
            <w:r>
              <w:rPr>
                <w:color w:val="000000"/>
                <w:sz w:val="18"/>
                <w:szCs w:val="18"/>
              </w:rPr>
              <w:t>-2</w:t>
            </w:r>
          </w:p>
        </w:tc>
        <w:tc>
          <w:tcPr>
            <w:tcW w:w="852" w:type="dxa"/>
            <w:vAlign w:val="center"/>
          </w:tcPr>
          <w:p>
            <w:pPr>
              <w:autoSpaceDE w:val="0"/>
              <w:autoSpaceDN w:val="0"/>
              <w:ind w:firstLine="0" w:firstLineChars="0"/>
              <w:jc w:val="right"/>
              <w:rPr>
                <w:color w:val="000000"/>
                <w:sz w:val="18"/>
                <w:szCs w:val="18"/>
              </w:rPr>
            </w:pPr>
            <w:r>
              <w:rPr>
                <w:color w:val="000000"/>
                <w:sz w:val="18"/>
                <w:szCs w:val="18"/>
              </w:rPr>
              <w:t>0</w:t>
            </w:r>
          </w:p>
        </w:tc>
        <w:tc>
          <w:tcPr>
            <w:tcW w:w="852" w:type="dxa"/>
            <w:vAlign w:val="center"/>
          </w:tcPr>
          <w:p>
            <w:pPr>
              <w:autoSpaceDE w:val="0"/>
              <w:autoSpaceDN w:val="0"/>
              <w:ind w:firstLine="0" w:firstLineChars="0"/>
              <w:jc w:val="right"/>
              <w:rPr>
                <w:color w:val="000000"/>
                <w:sz w:val="18"/>
                <w:szCs w:val="18"/>
              </w:rPr>
            </w:pPr>
            <w:r>
              <w:rPr>
                <w:color w:val="000000"/>
                <w:sz w:val="18"/>
                <w:szCs w:val="18"/>
              </w:rPr>
              <w:t>1</w:t>
            </w:r>
          </w:p>
        </w:tc>
        <w:tc>
          <w:tcPr>
            <w:tcW w:w="852" w:type="dxa"/>
            <w:vAlign w:val="center"/>
          </w:tcPr>
          <w:p>
            <w:pPr>
              <w:autoSpaceDE w:val="0"/>
              <w:autoSpaceDN w:val="0"/>
              <w:ind w:firstLine="0" w:firstLineChars="0"/>
              <w:jc w:val="right"/>
              <w:rPr>
                <w:color w:val="000000"/>
                <w:sz w:val="18"/>
                <w:szCs w:val="18"/>
              </w:rPr>
            </w:pPr>
            <w:r>
              <w:rPr>
                <w:color w:val="000000"/>
                <w:sz w:val="18"/>
                <w:szCs w:val="18"/>
              </w:rPr>
              <w:t>3</w:t>
            </w:r>
          </w:p>
        </w:tc>
        <w:tc>
          <w:tcPr>
            <w:tcW w:w="852" w:type="dxa"/>
            <w:vAlign w:val="center"/>
          </w:tcPr>
          <w:p>
            <w:pPr>
              <w:autoSpaceDE w:val="0"/>
              <w:autoSpaceDN w:val="0"/>
              <w:ind w:firstLine="0" w:firstLineChars="0"/>
              <w:jc w:val="right"/>
              <w:rPr>
                <w:color w:val="000000"/>
                <w:sz w:val="18"/>
                <w:szCs w:val="18"/>
              </w:rPr>
            </w:pPr>
            <w:r>
              <w:rPr>
                <w:color w:val="000000"/>
                <w:sz w:val="18"/>
                <w:szCs w:val="18"/>
              </w:rPr>
              <w:t>4</w:t>
            </w:r>
          </w:p>
        </w:tc>
        <w:tc>
          <w:tcPr>
            <w:tcW w:w="852" w:type="dxa"/>
            <w:vAlign w:val="center"/>
          </w:tcPr>
          <w:p>
            <w:pPr>
              <w:autoSpaceDE w:val="0"/>
              <w:autoSpaceDN w:val="0"/>
              <w:ind w:firstLine="0" w:firstLineChars="0"/>
              <w:jc w:val="right"/>
              <w:rPr>
                <w:color w:val="000000"/>
                <w:sz w:val="18"/>
                <w:szCs w:val="18"/>
              </w:rPr>
            </w:pPr>
            <w:r>
              <w:rPr>
                <w:color w:val="000000"/>
                <w:sz w:val="18"/>
                <w:szCs w:val="18"/>
              </w:rPr>
              <w:t>5</w:t>
            </w:r>
          </w:p>
        </w:tc>
        <w:tc>
          <w:tcPr>
            <w:tcW w:w="852" w:type="dxa"/>
            <w:vAlign w:val="center"/>
          </w:tcPr>
          <w:p>
            <w:pPr>
              <w:autoSpaceDE w:val="0"/>
              <w:autoSpaceDN w:val="0"/>
              <w:ind w:firstLine="0" w:firstLineChars="0"/>
              <w:jc w:val="right"/>
              <w:rPr>
                <w:color w:val="000000"/>
                <w:sz w:val="18"/>
                <w:szCs w:val="18"/>
              </w:rPr>
            </w:pPr>
            <w:r>
              <w:rPr>
                <w:color w:val="000000"/>
                <w:sz w:val="18"/>
                <w:szCs w:val="18"/>
              </w:rPr>
              <w:t>7</w:t>
            </w:r>
          </w:p>
        </w:tc>
        <w:tc>
          <w:tcPr>
            <w:tcW w:w="853" w:type="dxa"/>
            <w:vAlign w:val="center"/>
          </w:tcPr>
          <w:p>
            <w:pPr>
              <w:autoSpaceDE w:val="0"/>
              <w:autoSpaceDN w:val="0"/>
              <w:ind w:firstLine="0" w:firstLineChars="0"/>
              <w:jc w:val="right"/>
              <w:rPr>
                <w:color w:val="000000"/>
                <w:sz w:val="18"/>
                <w:szCs w:val="18"/>
              </w:rPr>
            </w:pPr>
            <w:r>
              <w:rPr>
                <w:color w:val="000000"/>
                <w:sz w:val="18"/>
                <w:szCs w:val="18"/>
              </w:rPr>
              <w:t>8</w:t>
            </w:r>
          </w:p>
        </w:tc>
        <w:tc>
          <w:tcPr>
            <w:tcW w:w="853" w:type="dxa"/>
            <w:vAlign w:val="center"/>
          </w:tcPr>
          <w:p>
            <w:pPr>
              <w:autoSpaceDE w:val="0"/>
              <w:autoSpaceDN w:val="0"/>
              <w:ind w:firstLine="0" w:firstLineChars="0"/>
              <w:jc w:val="right"/>
              <w:rPr>
                <w:color w:val="000000"/>
                <w:sz w:val="18"/>
                <w:szCs w:val="18"/>
              </w:rPr>
            </w:pPr>
            <w:r>
              <w:rPr>
                <w:color w:val="000000"/>
                <w:sz w:val="18"/>
                <w:szCs w:val="1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13</w:t>
            </w:r>
          </w:p>
        </w:tc>
        <w:tc>
          <w:tcPr>
            <w:tcW w:w="852" w:type="dxa"/>
            <w:vAlign w:val="center"/>
          </w:tcPr>
          <w:p>
            <w:pPr>
              <w:autoSpaceDE w:val="0"/>
              <w:autoSpaceDN w:val="0"/>
              <w:ind w:firstLine="0" w:firstLineChars="0"/>
              <w:jc w:val="right"/>
              <w:rPr>
                <w:color w:val="000000"/>
                <w:sz w:val="18"/>
                <w:szCs w:val="18"/>
              </w:rPr>
            </w:pPr>
            <w:r>
              <w:rPr>
                <w:color w:val="000000"/>
                <w:sz w:val="18"/>
                <w:szCs w:val="18"/>
              </w:rPr>
              <w:t>1</w:t>
            </w:r>
          </w:p>
        </w:tc>
        <w:tc>
          <w:tcPr>
            <w:tcW w:w="852" w:type="dxa"/>
            <w:vAlign w:val="center"/>
          </w:tcPr>
          <w:p>
            <w:pPr>
              <w:autoSpaceDE w:val="0"/>
              <w:autoSpaceDN w:val="0"/>
              <w:ind w:firstLine="0" w:firstLineChars="0"/>
              <w:jc w:val="right"/>
              <w:rPr>
                <w:color w:val="000000"/>
                <w:sz w:val="18"/>
                <w:szCs w:val="18"/>
              </w:rPr>
            </w:pPr>
            <w:r>
              <w:rPr>
                <w:color w:val="000000"/>
                <w:sz w:val="18"/>
                <w:szCs w:val="18"/>
              </w:rPr>
              <w:t>3</w:t>
            </w:r>
          </w:p>
        </w:tc>
        <w:tc>
          <w:tcPr>
            <w:tcW w:w="852" w:type="dxa"/>
            <w:vAlign w:val="center"/>
          </w:tcPr>
          <w:p>
            <w:pPr>
              <w:autoSpaceDE w:val="0"/>
              <w:autoSpaceDN w:val="0"/>
              <w:ind w:firstLine="0" w:firstLineChars="0"/>
              <w:jc w:val="right"/>
              <w:rPr>
                <w:color w:val="000000"/>
                <w:sz w:val="18"/>
                <w:szCs w:val="18"/>
              </w:rPr>
            </w:pPr>
            <w:r>
              <w:rPr>
                <w:color w:val="000000"/>
                <w:sz w:val="18"/>
                <w:szCs w:val="18"/>
              </w:rPr>
              <w:t>4</w:t>
            </w:r>
          </w:p>
        </w:tc>
        <w:tc>
          <w:tcPr>
            <w:tcW w:w="852" w:type="dxa"/>
            <w:vAlign w:val="center"/>
          </w:tcPr>
          <w:p>
            <w:pPr>
              <w:autoSpaceDE w:val="0"/>
              <w:autoSpaceDN w:val="0"/>
              <w:ind w:firstLine="0" w:firstLineChars="0"/>
              <w:jc w:val="right"/>
              <w:rPr>
                <w:color w:val="000000"/>
                <w:sz w:val="18"/>
                <w:szCs w:val="18"/>
              </w:rPr>
            </w:pPr>
            <w:r>
              <w:rPr>
                <w:color w:val="000000"/>
                <w:sz w:val="18"/>
                <w:szCs w:val="18"/>
              </w:rPr>
              <w:t>6</w:t>
            </w:r>
          </w:p>
        </w:tc>
        <w:tc>
          <w:tcPr>
            <w:tcW w:w="852" w:type="dxa"/>
            <w:vAlign w:val="center"/>
          </w:tcPr>
          <w:p>
            <w:pPr>
              <w:autoSpaceDE w:val="0"/>
              <w:autoSpaceDN w:val="0"/>
              <w:ind w:firstLine="0" w:firstLineChars="0"/>
              <w:jc w:val="right"/>
              <w:rPr>
                <w:color w:val="000000"/>
                <w:sz w:val="18"/>
                <w:szCs w:val="18"/>
              </w:rPr>
            </w:pPr>
            <w:r>
              <w:rPr>
                <w:color w:val="000000"/>
                <w:sz w:val="18"/>
                <w:szCs w:val="18"/>
              </w:rPr>
              <w:t>7</w:t>
            </w:r>
          </w:p>
        </w:tc>
        <w:tc>
          <w:tcPr>
            <w:tcW w:w="852" w:type="dxa"/>
            <w:vAlign w:val="center"/>
          </w:tcPr>
          <w:p>
            <w:pPr>
              <w:autoSpaceDE w:val="0"/>
              <w:autoSpaceDN w:val="0"/>
              <w:ind w:firstLine="0" w:firstLineChars="0"/>
              <w:jc w:val="right"/>
              <w:rPr>
                <w:color w:val="000000"/>
                <w:sz w:val="18"/>
                <w:szCs w:val="18"/>
              </w:rPr>
            </w:pPr>
            <w:r>
              <w:rPr>
                <w:color w:val="000000"/>
                <w:sz w:val="18"/>
                <w:szCs w:val="18"/>
              </w:rPr>
              <w:t>9</w:t>
            </w:r>
          </w:p>
        </w:tc>
        <w:tc>
          <w:tcPr>
            <w:tcW w:w="852" w:type="dxa"/>
            <w:vAlign w:val="center"/>
          </w:tcPr>
          <w:p>
            <w:pPr>
              <w:autoSpaceDE w:val="0"/>
              <w:autoSpaceDN w:val="0"/>
              <w:ind w:firstLine="0" w:firstLineChars="0"/>
              <w:jc w:val="right"/>
              <w:rPr>
                <w:color w:val="000000"/>
                <w:sz w:val="18"/>
                <w:szCs w:val="18"/>
              </w:rPr>
            </w:pPr>
            <w:r>
              <w:rPr>
                <w:color w:val="000000"/>
                <w:sz w:val="18"/>
                <w:szCs w:val="18"/>
              </w:rPr>
              <w:t>10</w:t>
            </w:r>
          </w:p>
        </w:tc>
        <w:tc>
          <w:tcPr>
            <w:tcW w:w="853" w:type="dxa"/>
            <w:vAlign w:val="center"/>
          </w:tcPr>
          <w:p>
            <w:pPr>
              <w:autoSpaceDE w:val="0"/>
              <w:autoSpaceDN w:val="0"/>
              <w:ind w:firstLine="0" w:firstLineChars="0"/>
              <w:jc w:val="right"/>
              <w:rPr>
                <w:color w:val="000000"/>
                <w:sz w:val="18"/>
                <w:szCs w:val="18"/>
              </w:rPr>
            </w:pPr>
            <w:r>
              <w:rPr>
                <w:color w:val="000000"/>
                <w:sz w:val="18"/>
                <w:szCs w:val="18"/>
              </w:rPr>
              <w:t>11</w:t>
            </w:r>
          </w:p>
        </w:tc>
        <w:tc>
          <w:tcPr>
            <w:tcW w:w="853" w:type="dxa"/>
            <w:vAlign w:val="center"/>
          </w:tcPr>
          <w:p>
            <w:pPr>
              <w:autoSpaceDE w:val="0"/>
              <w:autoSpaceDN w:val="0"/>
              <w:ind w:firstLine="0" w:firstLineChars="0"/>
              <w:jc w:val="right"/>
              <w:rPr>
                <w:color w:val="000000"/>
                <w:sz w:val="18"/>
                <w:szCs w:val="18"/>
              </w:rPr>
            </w:pPr>
            <w:r>
              <w:rPr>
                <w:color w:val="000000"/>
                <w:sz w:val="18"/>
                <w:szCs w:val="18"/>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14</w:t>
            </w:r>
          </w:p>
        </w:tc>
        <w:tc>
          <w:tcPr>
            <w:tcW w:w="852" w:type="dxa"/>
            <w:vAlign w:val="center"/>
          </w:tcPr>
          <w:p>
            <w:pPr>
              <w:autoSpaceDE w:val="0"/>
              <w:autoSpaceDN w:val="0"/>
              <w:ind w:firstLine="0" w:firstLineChars="0"/>
              <w:jc w:val="right"/>
              <w:rPr>
                <w:color w:val="000000"/>
                <w:sz w:val="18"/>
                <w:szCs w:val="18"/>
              </w:rPr>
            </w:pPr>
            <w:r>
              <w:rPr>
                <w:color w:val="000000"/>
                <w:sz w:val="18"/>
                <w:szCs w:val="18"/>
              </w:rPr>
              <w:t>2</w:t>
            </w:r>
          </w:p>
        </w:tc>
        <w:tc>
          <w:tcPr>
            <w:tcW w:w="852" w:type="dxa"/>
            <w:vAlign w:val="center"/>
          </w:tcPr>
          <w:p>
            <w:pPr>
              <w:autoSpaceDE w:val="0"/>
              <w:autoSpaceDN w:val="0"/>
              <w:ind w:firstLine="0" w:firstLineChars="0"/>
              <w:jc w:val="right"/>
              <w:rPr>
                <w:color w:val="000000"/>
                <w:sz w:val="18"/>
                <w:szCs w:val="18"/>
              </w:rPr>
            </w:pPr>
            <w:r>
              <w:rPr>
                <w:color w:val="000000"/>
                <w:sz w:val="18"/>
                <w:szCs w:val="18"/>
              </w:rPr>
              <w:t>4</w:t>
            </w:r>
          </w:p>
        </w:tc>
        <w:tc>
          <w:tcPr>
            <w:tcW w:w="852" w:type="dxa"/>
            <w:vAlign w:val="center"/>
          </w:tcPr>
          <w:p>
            <w:pPr>
              <w:autoSpaceDE w:val="0"/>
              <w:autoSpaceDN w:val="0"/>
              <w:ind w:firstLine="0" w:firstLineChars="0"/>
              <w:jc w:val="right"/>
              <w:rPr>
                <w:color w:val="000000"/>
                <w:sz w:val="18"/>
                <w:szCs w:val="18"/>
              </w:rPr>
            </w:pPr>
            <w:r>
              <w:rPr>
                <w:color w:val="000000"/>
                <w:sz w:val="18"/>
                <w:szCs w:val="18"/>
              </w:rPr>
              <w:t>5</w:t>
            </w:r>
          </w:p>
        </w:tc>
        <w:tc>
          <w:tcPr>
            <w:tcW w:w="852" w:type="dxa"/>
            <w:vAlign w:val="center"/>
          </w:tcPr>
          <w:p>
            <w:pPr>
              <w:autoSpaceDE w:val="0"/>
              <w:autoSpaceDN w:val="0"/>
              <w:ind w:firstLine="0" w:firstLineChars="0"/>
              <w:jc w:val="right"/>
              <w:rPr>
                <w:color w:val="000000"/>
                <w:sz w:val="18"/>
                <w:szCs w:val="18"/>
              </w:rPr>
            </w:pPr>
            <w:r>
              <w:rPr>
                <w:color w:val="000000"/>
                <w:sz w:val="18"/>
                <w:szCs w:val="18"/>
              </w:rPr>
              <w:t>7</w:t>
            </w:r>
          </w:p>
        </w:tc>
        <w:tc>
          <w:tcPr>
            <w:tcW w:w="852" w:type="dxa"/>
            <w:vAlign w:val="center"/>
          </w:tcPr>
          <w:p>
            <w:pPr>
              <w:autoSpaceDE w:val="0"/>
              <w:autoSpaceDN w:val="0"/>
              <w:ind w:firstLine="0" w:firstLineChars="0"/>
              <w:jc w:val="right"/>
              <w:rPr>
                <w:color w:val="000000"/>
                <w:sz w:val="18"/>
                <w:szCs w:val="18"/>
              </w:rPr>
            </w:pPr>
            <w:r>
              <w:rPr>
                <w:color w:val="000000"/>
                <w:sz w:val="18"/>
                <w:szCs w:val="18"/>
              </w:rPr>
              <w:t>8</w:t>
            </w:r>
          </w:p>
        </w:tc>
        <w:tc>
          <w:tcPr>
            <w:tcW w:w="852" w:type="dxa"/>
            <w:vAlign w:val="center"/>
          </w:tcPr>
          <w:p>
            <w:pPr>
              <w:autoSpaceDE w:val="0"/>
              <w:autoSpaceDN w:val="0"/>
              <w:ind w:firstLine="0" w:firstLineChars="0"/>
              <w:jc w:val="right"/>
              <w:rPr>
                <w:color w:val="000000"/>
                <w:sz w:val="18"/>
                <w:szCs w:val="18"/>
              </w:rPr>
            </w:pPr>
            <w:r>
              <w:rPr>
                <w:color w:val="000000"/>
                <w:sz w:val="18"/>
                <w:szCs w:val="18"/>
              </w:rPr>
              <w:t>10</w:t>
            </w:r>
          </w:p>
        </w:tc>
        <w:tc>
          <w:tcPr>
            <w:tcW w:w="852" w:type="dxa"/>
            <w:vAlign w:val="center"/>
          </w:tcPr>
          <w:p>
            <w:pPr>
              <w:autoSpaceDE w:val="0"/>
              <w:autoSpaceDN w:val="0"/>
              <w:ind w:firstLine="0" w:firstLineChars="0"/>
              <w:jc w:val="right"/>
              <w:rPr>
                <w:color w:val="000000"/>
                <w:sz w:val="18"/>
                <w:szCs w:val="18"/>
              </w:rPr>
            </w:pPr>
            <w:r>
              <w:rPr>
                <w:color w:val="000000"/>
                <w:sz w:val="18"/>
                <w:szCs w:val="18"/>
              </w:rPr>
              <w:t>11</w:t>
            </w:r>
          </w:p>
        </w:tc>
        <w:tc>
          <w:tcPr>
            <w:tcW w:w="853" w:type="dxa"/>
            <w:vAlign w:val="center"/>
          </w:tcPr>
          <w:p>
            <w:pPr>
              <w:autoSpaceDE w:val="0"/>
              <w:autoSpaceDN w:val="0"/>
              <w:ind w:firstLine="0" w:firstLineChars="0"/>
              <w:jc w:val="right"/>
              <w:rPr>
                <w:color w:val="000000"/>
                <w:sz w:val="18"/>
                <w:szCs w:val="18"/>
              </w:rPr>
            </w:pPr>
            <w:r>
              <w:rPr>
                <w:color w:val="000000"/>
                <w:sz w:val="18"/>
                <w:szCs w:val="18"/>
              </w:rPr>
              <w:t>12</w:t>
            </w:r>
          </w:p>
        </w:tc>
        <w:tc>
          <w:tcPr>
            <w:tcW w:w="853" w:type="dxa"/>
            <w:vAlign w:val="center"/>
          </w:tcPr>
          <w:p>
            <w:pPr>
              <w:autoSpaceDE w:val="0"/>
              <w:autoSpaceDN w:val="0"/>
              <w:ind w:firstLine="0" w:firstLineChars="0"/>
              <w:jc w:val="right"/>
              <w:rPr>
                <w:color w:val="000000"/>
                <w:sz w:val="18"/>
                <w:szCs w:val="18"/>
              </w:rPr>
            </w:pPr>
            <w:r>
              <w:rPr>
                <w:color w:val="000000"/>
                <w:sz w:val="18"/>
                <w:szCs w:val="18"/>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15</w:t>
            </w:r>
          </w:p>
        </w:tc>
        <w:tc>
          <w:tcPr>
            <w:tcW w:w="852" w:type="dxa"/>
            <w:vAlign w:val="center"/>
          </w:tcPr>
          <w:p>
            <w:pPr>
              <w:autoSpaceDE w:val="0"/>
              <w:autoSpaceDN w:val="0"/>
              <w:ind w:firstLine="0" w:firstLineChars="0"/>
              <w:jc w:val="right"/>
              <w:rPr>
                <w:color w:val="000000"/>
                <w:sz w:val="18"/>
                <w:szCs w:val="18"/>
              </w:rPr>
            </w:pPr>
            <w:r>
              <w:rPr>
                <w:color w:val="000000"/>
                <w:sz w:val="18"/>
                <w:szCs w:val="18"/>
              </w:rPr>
              <w:t>3</w:t>
            </w:r>
          </w:p>
        </w:tc>
        <w:tc>
          <w:tcPr>
            <w:tcW w:w="852" w:type="dxa"/>
            <w:vAlign w:val="center"/>
          </w:tcPr>
          <w:p>
            <w:pPr>
              <w:autoSpaceDE w:val="0"/>
              <w:autoSpaceDN w:val="0"/>
              <w:ind w:firstLine="0" w:firstLineChars="0"/>
              <w:jc w:val="right"/>
              <w:rPr>
                <w:color w:val="000000"/>
                <w:sz w:val="18"/>
                <w:szCs w:val="18"/>
              </w:rPr>
            </w:pPr>
            <w:r>
              <w:rPr>
                <w:color w:val="000000"/>
                <w:sz w:val="18"/>
                <w:szCs w:val="18"/>
              </w:rPr>
              <w:t>5</w:t>
            </w:r>
          </w:p>
        </w:tc>
        <w:tc>
          <w:tcPr>
            <w:tcW w:w="852" w:type="dxa"/>
            <w:vAlign w:val="center"/>
          </w:tcPr>
          <w:p>
            <w:pPr>
              <w:autoSpaceDE w:val="0"/>
              <w:autoSpaceDN w:val="0"/>
              <w:ind w:firstLine="0" w:firstLineChars="0"/>
              <w:jc w:val="right"/>
              <w:rPr>
                <w:color w:val="000000"/>
                <w:sz w:val="18"/>
                <w:szCs w:val="18"/>
              </w:rPr>
            </w:pPr>
            <w:r>
              <w:rPr>
                <w:color w:val="000000"/>
                <w:sz w:val="18"/>
                <w:szCs w:val="18"/>
              </w:rPr>
              <w:t>6</w:t>
            </w:r>
          </w:p>
        </w:tc>
        <w:tc>
          <w:tcPr>
            <w:tcW w:w="852" w:type="dxa"/>
            <w:vAlign w:val="center"/>
          </w:tcPr>
          <w:p>
            <w:pPr>
              <w:autoSpaceDE w:val="0"/>
              <w:autoSpaceDN w:val="0"/>
              <w:ind w:firstLine="0" w:firstLineChars="0"/>
              <w:jc w:val="right"/>
              <w:rPr>
                <w:color w:val="000000"/>
                <w:sz w:val="18"/>
                <w:szCs w:val="18"/>
              </w:rPr>
            </w:pPr>
            <w:r>
              <w:rPr>
                <w:color w:val="000000"/>
                <w:sz w:val="18"/>
                <w:szCs w:val="18"/>
              </w:rPr>
              <w:t>8</w:t>
            </w:r>
          </w:p>
        </w:tc>
        <w:tc>
          <w:tcPr>
            <w:tcW w:w="852" w:type="dxa"/>
            <w:vAlign w:val="center"/>
          </w:tcPr>
          <w:p>
            <w:pPr>
              <w:autoSpaceDE w:val="0"/>
              <w:autoSpaceDN w:val="0"/>
              <w:ind w:firstLine="0" w:firstLineChars="0"/>
              <w:jc w:val="right"/>
              <w:rPr>
                <w:color w:val="000000"/>
                <w:sz w:val="18"/>
                <w:szCs w:val="18"/>
              </w:rPr>
            </w:pPr>
            <w:r>
              <w:rPr>
                <w:color w:val="000000"/>
                <w:sz w:val="18"/>
                <w:szCs w:val="18"/>
              </w:rPr>
              <w:t>9</w:t>
            </w:r>
          </w:p>
        </w:tc>
        <w:tc>
          <w:tcPr>
            <w:tcW w:w="852" w:type="dxa"/>
            <w:vAlign w:val="center"/>
          </w:tcPr>
          <w:p>
            <w:pPr>
              <w:autoSpaceDE w:val="0"/>
              <w:autoSpaceDN w:val="0"/>
              <w:ind w:firstLine="0" w:firstLineChars="0"/>
              <w:jc w:val="right"/>
              <w:rPr>
                <w:color w:val="000000"/>
                <w:sz w:val="18"/>
                <w:szCs w:val="18"/>
              </w:rPr>
            </w:pPr>
            <w:r>
              <w:rPr>
                <w:color w:val="000000"/>
                <w:sz w:val="18"/>
                <w:szCs w:val="18"/>
              </w:rPr>
              <w:t>10</w:t>
            </w:r>
          </w:p>
        </w:tc>
        <w:tc>
          <w:tcPr>
            <w:tcW w:w="852" w:type="dxa"/>
            <w:vAlign w:val="center"/>
          </w:tcPr>
          <w:p>
            <w:pPr>
              <w:autoSpaceDE w:val="0"/>
              <w:autoSpaceDN w:val="0"/>
              <w:ind w:firstLine="0" w:firstLineChars="0"/>
              <w:jc w:val="right"/>
              <w:rPr>
                <w:color w:val="000000"/>
                <w:sz w:val="18"/>
                <w:szCs w:val="18"/>
              </w:rPr>
            </w:pPr>
            <w:r>
              <w:rPr>
                <w:color w:val="000000"/>
                <w:sz w:val="18"/>
                <w:szCs w:val="18"/>
              </w:rPr>
              <w:t>12</w:t>
            </w:r>
          </w:p>
        </w:tc>
        <w:tc>
          <w:tcPr>
            <w:tcW w:w="853" w:type="dxa"/>
            <w:vAlign w:val="center"/>
          </w:tcPr>
          <w:p>
            <w:pPr>
              <w:autoSpaceDE w:val="0"/>
              <w:autoSpaceDN w:val="0"/>
              <w:ind w:firstLine="0" w:firstLineChars="0"/>
              <w:jc w:val="right"/>
              <w:rPr>
                <w:color w:val="000000"/>
                <w:sz w:val="18"/>
                <w:szCs w:val="18"/>
              </w:rPr>
            </w:pPr>
            <w:r>
              <w:rPr>
                <w:color w:val="000000"/>
                <w:sz w:val="18"/>
                <w:szCs w:val="18"/>
              </w:rPr>
              <w:t>13</w:t>
            </w:r>
          </w:p>
        </w:tc>
        <w:tc>
          <w:tcPr>
            <w:tcW w:w="853" w:type="dxa"/>
            <w:vAlign w:val="center"/>
          </w:tcPr>
          <w:p>
            <w:pPr>
              <w:autoSpaceDE w:val="0"/>
              <w:autoSpaceDN w:val="0"/>
              <w:ind w:firstLine="0" w:firstLineChars="0"/>
              <w:jc w:val="right"/>
              <w:rPr>
                <w:color w:val="000000"/>
                <w:sz w:val="18"/>
                <w:szCs w:val="18"/>
              </w:rPr>
            </w:pPr>
            <w:r>
              <w:rPr>
                <w:color w:val="000000"/>
                <w:sz w:val="18"/>
                <w:szCs w:val="18"/>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16</w:t>
            </w:r>
          </w:p>
        </w:tc>
        <w:tc>
          <w:tcPr>
            <w:tcW w:w="852" w:type="dxa"/>
            <w:vAlign w:val="center"/>
          </w:tcPr>
          <w:p>
            <w:pPr>
              <w:autoSpaceDE w:val="0"/>
              <w:autoSpaceDN w:val="0"/>
              <w:ind w:firstLine="0" w:firstLineChars="0"/>
              <w:jc w:val="right"/>
              <w:rPr>
                <w:color w:val="000000"/>
                <w:sz w:val="18"/>
                <w:szCs w:val="18"/>
              </w:rPr>
            </w:pPr>
            <w:r>
              <w:rPr>
                <w:color w:val="000000"/>
                <w:sz w:val="18"/>
                <w:szCs w:val="18"/>
              </w:rPr>
              <w:t>3</w:t>
            </w:r>
          </w:p>
        </w:tc>
        <w:tc>
          <w:tcPr>
            <w:tcW w:w="852" w:type="dxa"/>
            <w:vAlign w:val="center"/>
          </w:tcPr>
          <w:p>
            <w:pPr>
              <w:autoSpaceDE w:val="0"/>
              <w:autoSpaceDN w:val="0"/>
              <w:ind w:firstLine="0" w:firstLineChars="0"/>
              <w:jc w:val="right"/>
              <w:rPr>
                <w:color w:val="000000"/>
                <w:sz w:val="18"/>
                <w:szCs w:val="18"/>
              </w:rPr>
            </w:pPr>
            <w:r>
              <w:rPr>
                <w:color w:val="000000"/>
                <w:sz w:val="18"/>
                <w:szCs w:val="18"/>
              </w:rPr>
              <w:t>6</w:t>
            </w:r>
          </w:p>
        </w:tc>
        <w:tc>
          <w:tcPr>
            <w:tcW w:w="852" w:type="dxa"/>
            <w:vAlign w:val="center"/>
          </w:tcPr>
          <w:p>
            <w:pPr>
              <w:autoSpaceDE w:val="0"/>
              <w:autoSpaceDN w:val="0"/>
              <w:ind w:firstLine="0" w:firstLineChars="0"/>
              <w:jc w:val="right"/>
              <w:rPr>
                <w:color w:val="000000"/>
                <w:sz w:val="18"/>
                <w:szCs w:val="18"/>
              </w:rPr>
            </w:pPr>
            <w:r>
              <w:rPr>
                <w:color w:val="000000"/>
                <w:sz w:val="18"/>
                <w:szCs w:val="18"/>
              </w:rPr>
              <w:t>7</w:t>
            </w:r>
          </w:p>
        </w:tc>
        <w:tc>
          <w:tcPr>
            <w:tcW w:w="852" w:type="dxa"/>
            <w:vAlign w:val="center"/>
          </w:tcPr>
          <w:p>
            <w:pPr>
              <w:autoSpaceDE w:val="0"/>
              <w:autoSpaceDN w:val="0"/>
              <w:ind w:firstLine="0" w:firstLineChars="0"/>
              <w:jc w:val="right"/>
              <w:rPr>
                <w:color w:val="000000"/>
                <w:sz w:val="18"/>
                <w:szCs w:val="18"/>
              </w:rPr>
            </w:pPr>
            <w:r>
              <w:rPr>
                <w:color w:val="000000"/>
                <w:sz w:val="18"/>
                <w:szCs w:val="18"/>
              </w:rPr>
              <w:t>8</w:t>
            </w:r>
          </w:p>
        </w:tc>
        <w:tc>
          <w:tcPr>
            <w:tcW w:w="852" w:type="dxa"/>
            <w:vAlign w:val="center"/>
          </w:tcPr>
          <w:p>
            <w:pPr>
              <w:autoSpaceDE w:val="0"/>
              <w:autoSpaceDN w:val="0"/>
              <w:ind w:firstLine="0" w:firstLineChars="0"/>
              <w:jc w:val="right"/>
              <w:rPr>
                <w:color w:val="000000"/>
                <w:sz w:val="18"/>
                <w:szCs w:val="18"/>
              </w:rPr>
            </w:pPr>
            <w:r>
              <w:rPr>
                <w:color w:val="000000"/>
                <w:sz w:val="18"/>
                <w:szCs w:val="18"/>
              </w:rPr>
              <w:t>10</w:t>
            </w:r>
          </w:p>
        </w:tc>
        <w:tc>
          <w:tcPr>
            <w:tcW w:w="852" w:type="dxa"/>
            <w:vAlign w:val="center"/>
          </w:tcPr>
          <w:p>
            <w:pPr>
              <w:autoSpaceDE w:val="0"/>
              <w:autoSpaceDN w:val="0"/>
              <w:ind w:firstLine="0" w:firstLineChars="0"/>
              <w:jc w:val="right"/>
              <w:rPr>
                <w:color w:val="000000"/>
                <w:sz w:val="18"/>
                <w:szCs w:val="18"/>
              </w:rPr>
            </w:pPr>
            <w:r>
              <w:rPr>
                <w:color w:val="000000"/>
                <w:sz w:val="18"/>
                <w:szCs w:val="18"/>
              </w:rPr>
              <w:t>11</w:t>
            </w:r>
          </w:p>
        </w:tc>
        <w:tc>
          <w:tcPr>
            <w:tcW w:w="852" w:type="dxa"/>
            <w:vAlign w:val="center"/>
          </w:tcPr>
          <w:p>
            <w:pPr>
              <w:autoSpaceDE w:val="0"/>
              <w:autoSpaceDN w:val="0"/>
              <w:ind w:firstLine="0" w:firstLineChars="0"/>
              <w:jc w:val="right"/>
              <w:rPr>
                <w:color w:val="000000"/>
                <w:sz w:val="18"/>
                <w:szCs w:val="18"/>
              </w:rPr>
            </w:pPr>
            <w:r>
              <w:rPr>
                <w:color w:val="000000"/>
                <w:sz w:val="18"/>
                <w:szCs w:val="18"/>
              </w:rPr>
              <w:t>13</w:t>
            </w:r>
          </w:p>
        </w:tc>
        <w:tc>
          <w:tcPr>
            <w:tcW w:w="853" w:type="dxa"/>
            <w:vAlign w:val="center"/>
          </w:tcPr>
          <w:p>
            <w:pPr>
              <w:autoSpaceDE w:val="0"/>
              <w:autoSpaceDN w:val="0"/>
              <w:ind w:firstLine="0" w:firstLineChars="0"/>
              <w:jc w:val="right"/>
              <w:rPr>
                <w:color w:val="000000"/>
                <w:sz w:val="18"/>
                <w:szCs w:val="18"/>
              </w:rPr>
            </w:pPr>
            <w:r>
              <w:rPr>
                <w:color w:val="000000"/>
                <w:sz w:val="18"/>
                <w:szCs w:val="18"/>
              </w:rPr>
              <w:t>14</w:t>
            </w:r>
          </w:p>
        </w:tc>
        <w:tc>
          <w:tcPr>
            <w:tcW w:w="853" w:type="dxa"/>
            <w:vAlign w:val="center"/>
          </w:tcPr>
          <w:p>
            <w:pPr>
              <w:autoSpaceDE w:val="0"/>
              <w:autoSpaceDN w:val="0"/>
              <w:ind w:firstLine="0" w:firstLineChars="0"/>
              <w:jc w:val="right"/>
              <w:rPr>
                <w:color w:val="000000"/>
                <w:sz w:val="18"/>
                <w:szCs w:val="18"/>
              </w:rPr>
            </w:pPr>
            <w:r>
              <w:rPr>
                <w:color w:val="000000"/>
                <w:sz w:val="18"/>
                <w:szCs w:val="1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18</w:t>
            </w:r>
          </w:p>
        </w:tc>
        <w:tc>
          <w:tcPr>
            <w:tcW w:w="852" w:type="dxa"/>
            <w:vAlign w:val="center"/>
          </w:tcPr>
          <w:p>
            <w:pPr>
              <w:autoSpaceDE w:val="0"/>
              <w:autoSpaceDN w:val="0"/>
              <w:ind w:firstLine="0" w:firstLineChars="0"/>
              <w:jc w:val="right"/>
              <w:rPr>
                <w:color w:val="000000"/>
                <w:sz w:val="18"/>
                <w:szCs w:val="18"/>
              </w:rPr>
            </w:pPr>
            <w:r>
              <w:rPr>
                <w:color w:val="000000"/>
                <w:sz w:val="18"/>
                <w:szCs w:val="18"/>
              </w:rPr>
              <w:t>4</w:t>
            </w:r>
          </w:p>
        </w:tc>
        <w:tc>
          <w:tcPr>
            <w:tcW w:w="852" w:type="dxa"/>
            <w:vAlign w:val="center"/>
          </w:tcPr>
          <w:p>
            <w:pPr>
              <w:autoSpaceDE w:val="0"/>
              <w:autoSpaceDN w:val="0"/>
              <w:ind w:firstLine="0" w:firstLineChars="0"/>
              <w:jc w:val="right"/>
              <w:rPr>
                <w:color w:val="000000"/>
                <w:sz w:val="18"/>
                <w:szCs w:val="18"/>
              </w:rPr>
            </w:pPr>
            <w:r>
              <w:rPr>
                <w:color w:val="000000"/>
                <w:sz w:val="18"/>
                <w:szCs w:val="18"/>
              </w:rPr>
              <w:t>7</w:t>
            </w:r>
          </w:p>
        </w:tc>
        <w:tc>
          <w:tcPr>
            <w:tcW w:w="852" w:type="dxa"/>
            <w:vAlign w:val="center"/>
          </w:tcPr>
          <w:p>
            <w:pPr>
              <w:autoSpaceDE w:val="0"/>
              <w:autoSpaceDN w:val="0"/>
              <w:ind w:firstLine="0" w:firstLineChars="0"/>
              <w:jc w:val="right"/>
              <w:rPr>
                <w:color w:val="000000"/>
                <w:sz w:val="18"/>
                <w:szCs w:val="18"/>
              </w:rPr>
            </w:pPr>
            <w:r>
              <w:rPr>
                <w:color w:val="000000"/>
                <w:sz w:val="18"/>
                <w:szCs w:val="18"/>
              </w:rPr>
              <w:t>8</w:t>
            </w:r>
          </w:p>
        </w:tc>
        <w:tc>
          <w:tcPr>
            <w:tcW w:w="852" w:type="dxa"/>
            <w:vAlign w:val="center"/>
          </w:tcPr>
          <w:p>
            <w:pPr>
              <w:autoSpaceDE w:val="0"/>
              <w:autoSpaceDN w:val="0"/>
              <w:ind w:firstLine="0" w:firstLineChars="0"/>
              <w:jc w:val="right"/>
              <w:rPr>
                <w:color w:val="000000"/>
                <w:sz w:val="18"/>
                <w:szCs w:val="18"/>
              </w:rPr>
            </w:pPr>
            <w:r>
              <w:rPr>
                <w:color w:val="000000"/>
                <w:sz w:val="18"/>
                <w:szCs w:val="18"/>
              </w:rPr>
              <w:t>10</w:t>
            </w:r>
          </w:p>
        </w:tc>
        <w:tc>
          <w:tcPr>
            <w:tcW w:w="852" w:type="dxa"/>
            <w:vAlign w:val="center"/>
          </w:tcPr>
          <w:p>
            <w:pPr>
              <w:autoSpaceDE w:val="0"/>
              <w:autoSpaceDN w:val="0"/>
              <w:ind w:firstLine="0" w:firstLineChars="0"/>
              <w:jc w:val="right"/>
              <w:rPr>
                <w:color w:val="000000"/>
                <w:sz w:val="18"/>
                <w:szCs w:val="18"/>
              </w:rPr>
            </w:pPr>
            <w:r>
              <w:rPr>
                <w:color w:val="000000"/>
                <w:sz w:val="18"/>
                <w:szCs w:val="18"/>
              </w:rPr>
              <w:t>12</w:t>
            </w:r>
          </w:p>
        </w:tc>
        <w:tc>
          <w:tcPr>
            <w:tcW w:w="852" w:type="dxa"/>
            <w:vAlign w:val="center"/>
          </w:tcPr>
          <w:p>
            <w:pPr>
              <w:autoSpaceDE w:val="0"/>
              <w:autoSpaceDN w:val="0"/>
              <w:ind w:firstLine="0" w:firstLineChars="0"/>
              <w:jc w:val="right"/>
              <w:rPr>
                <w:color w:val="000000"/>
                <w:sz w:val="18"/>
                <w:szCs w:val="18"/>
              </w:rPr>
            </w:pPr>
            <w:r>
              <w:rPr>
                <w:color w:val="000000"/>
                <w:sz w:val="18"/>
                <w:szCs w:val="18"/>
              </w:rPr>
              <w:t>13</w:t>
            </w:r>
          </w:p>
        </w:tc>
        <w:tc>
          <w:tcPr>
            <w:tcW w:w="852" w:type="dxa"/>
            <w:vAlign w:val="center"/>
          </w:tcPr>
          <w:p>
            <w:pPr>
              <w:autoSpaceDE w:val="0"/>
              <w:autoSpaceDN w:val="0"/>
              <w:ind w:firstLine="0" w:firstLineChars="0"/>
              <w:jc w:val="right"/>
              <w:rPr>
                <w:color w:val="000000"/>
                <w:sz w:val="18"/>
                <w:szCs w:val="18"/>
              </w:rPr>
            </w:pPr>
            <w:r>
              <w:rPr>
                <w:color w:val="000000"/>
                <w:sz w:val="18"/>
                <w:szCs w:val="18"/>
              </w:rPr>
              <w:t>15</w:t>
            </w:r>
          </w:p>
        </w:tc>
        <w:tc>
          <w:tcPr>
            <w:tcW w:w="853" w:type="dxa"/>
            <w:vAlign w:val="center"/>
          </w:tcPr>
          <w:p>
            <w:pPr>
              <w:autoSpaceDE w:val="0"/>
              <w:autoSpaceDN w:val="0"/>
              <w:ind w:firstLine="0" w:firstLineChars="0"/>
              <w:jc w:val="right"/>
              <w:rPr>
                <w:color w:val="000000"/>
                <w:sz w:val="18"/>
                <w:szCs w:val="18"/>
              </w:rPr>
            </w:pPr>
            <w:r>
              <w:rPr>
                <w:color w:val="000000"/>
                <w:sz w:val="18"/>
                <w:szCs w:val="18"/>
              </w:rPr>
              <w:t>15</w:t>
            </w:r>
          </w:p>
        </w:tc>
        <w:tc>
          <w:tcPr>
            <w:tcW w:w="853" w:type="dxa"/>
            <w:vAlign w:val="center"/>
          </w:tcPr>
          <w:p>
            <w:pPr>
              <w:autoSpaceDE w:val="0"/>
              <w:autoSpaceDN w:val="0"/>
              <w:ind w:firstLine="0" w:firstLineChars="0"/>
              <w:jc w:val="right"/>
              <w:rPr>
                <w:color w:val="000000"/>
                <w:sz w:val="18"/>
                <w:szCs w:val="18"/>
              </w:rPr>
            </w:pPr>
            <w:r>
              <w:rPr>
                <w:color w:val="000000"/>
                <w:sz w:val="18"/>
                <w:szCs w:val="18"/>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20</w:t>
            </w:r>
          </w:p>
        </w:tc>
        <w:tc>
          <w:tcPr>
            <w:tcW w:w="852" w:type="dxa"/>
            <w:vAlign w:val="center"/>
          </w:tcPr>
          <w:p>
            <w:pPr>
              <w:autoSpaceDE w:val="0"/>
              <w:autoSpaceDN w:val="0"/>
              <w:ind w:firstLine="0" w:firstLineChars="0"/>
              <w:jc w:val="right"/>
              <w:rPr>
                <w:color w:val="000000"/>
                <w:sz w:val="18"/>
                <w:szCs w:val="18"/>
              </w:rPr>
            </w:pPr>
            <w:r>
              <w:rPr>
                <w:color w:val="000000"/>
                <w:sz w:val="18"/>
                <w:szCs w:val="18"/>
              </w:rPr>
              <w:t>6</w:t>
            </w:r>
          </w:p>
        </w:tc>
        <w:tc>
          <w:tcPr>
            <w:tcW w:w="852" w:type="dxa"/>
            <w:vAlign w:val="center"/>
          </w:tcPr>
          <w:p>
            <w:pPr>
              <w:autoSpaceDE w:val="0"/>
              <w:autoSpaceDN w:val="0"/>
              <w:ind w:firstLine="0" w:firstLineChars="0"/>
              <w:jc w:val="right"/>
              <w:rPr>
                <w:color w:val="000000"/>
                <w:sz w:val="18"/>
                <w:szCs w:val="18"/>
              </w:rPr>
            </w:pPr>
            <w:r>
              <w:rPr>
                <w:color w:val="000000"/>
                <w:sz w:val="18"/>
                <w:szCs w:val="18"/>
              </w:rPr>
              <w:t>8</w:t>
            </w:r>
          </w:p>
        </w:tc>
        <w:tc>
          <w:tcPr>
            <w:tcW w:w="852" w:type="dxa"/>
            <w:vAlign w:val="center"/>
          </w:tcPr>
          <w:p>
            <w:pPr>
              <w:autoSpaceDE w:val="0"/>
              <w:autoSpaceDN w:val="0"/>
              <w:ind w:firstLine="0" w:firstLineChars="0"/>
              <w:jc w:val="right"/>
              <w:rPr>
                <w:color w:val="000000"/>
                <w:sz w:val="18"/>
                <w:szCs w:val="18"/>
              </w:rPr>
            </w:pPr>
            <w:r>
              <w:rPr>
                <w:color w:val="000000"/>
                <w:sz w:val="18"/>
                <w:szCs w:val="18"/>
              </w:rPr>
              <w:t>10</w:t>
            </w:r>
          </w:p>
        </w:tc>
        <w:tc>
          <w:tcPr>
            <w:tcW w:w="852" w:type="dxa"/>
            <w:vAlign w:val="center"/>
          </w:tcPr>
          <w:p>
            <w:pPr>
              <w:autoSpaceDE w:val="0"/>
              <w:autoSpaceDN w:val="0"/>
              <w:ind w:firstLine="0" w:firstLineChars="0"/>
              <w:jc w:val="right"/>
              <w:rPr>
                <w:color w:val="000000"/>
                <w:sz w:val="18"/>
                <w:szCs w:val="18"/>
              </w:rPr>
            </w:pPr>
            <w:r>
              <w:rPr>
                <w:color w:val="000000"/>
                <w:sz w:val="18"/>
                <w:szCs w:val="18"/>
              </w:rPr>
              <w:t>12</w:t>
            </w:r>
          </w:p>
        </w:tc>
        <w:tc>
          <w:tcPr>
            <w:tcW w:w="852" w:type="dxa"/>
            <w:vAlign w:val="center"/>
          </w:tcPr>
          <w:p>
            <w:pPr>
              <w:autoSpaceDE w:val="0"/>
              <w:autoSpaceDN w:val="0"/>
              <w:ind w:firstLine="0" w:firstLineChars="0"/>
              <w:jc w:val="right"/>
              <w:rPr>
                <w:color w:val="000000"/>
                <w:sz w:val="18"/>
                <w:szCs w:val="18"/>
              </w:rPr>
            </w:pPr>
            <w:r>
              <w:rPr>
                <w:color w:val="000000"/>
                <w:sz w:val="18"/>
                <w:szCs w:val="18"/>
              </w:rPr>
              <w:t>13</w:t>
            </w:r>
          </w:p>
        </w:tc>
        <w:tc>
          <w:tcPr>
            <w:tcW w:w="852" w:type="dxa"/>
            <w:vAlign w:val="center"/>
          </w:tcPr>
          <w:p>
            <w:pPr>
              <w:autoSpaceDE w:val="0"/>
              <w:autoSpaceDN w:val="0"/>
              <w:ind w:firstLine="0" w:firstLineChars="0"/>
              <w:jc w:val="right"/>
              <w:rPr>
                <w:color w:val="000000"/>
                <w:sz w:val="18"/>
                <w:szCs w:val="18"/>
              </w:rPr>
            </w:pPr>
            <w:r>
              <w:rPr>
                <w:color w:val="000000"/>
                <w:sz w:val="18"/>
                <w:szCs w:val="18"/>
              </w:rPr>
              <w:t>15</w:t>
            </w:r>
          </w:p>
        </w:tc>
        <w:tc>
          <w:tcPr>
            <w:tcW w:w="852" w:type="dxa"/>
            <w:vAlign w:val="center"/>
          </w:tcPr>
          <w:p>
            <w:pPr>
              <w:autoSpaceDE w:val="0"/>
              <w:autoSpaceDN w:val="0"/>
              <w:ind w:firstLine="0" w:firstLineChars="0"/>
              <w:jc w:val="right"/>
              <w:rPr>
                <w:color w:val="000000"/>
                <w:sz w:val="18"/>
                <w:szCs w:val="18"/>
              </w:rPr>
            </w:pPr>
            <w:r>
              <w:rPr>
                <w:color w:val="000000"/>
                <w:sz w:val="18"/>
                <w:szCs w:val="18"/>
              </w:rPr>
              <w:t>16</w:t>
            </w:r>
          </w:p>
        </w:tc>
        <w:tc>
          <w:tcPr>
            <w:tcW w:w="853" w:type="dxa"/>
            <w:vAlign w:val="center"/>
          </w:tcPr>
          <w:p>
            <w:pPr>
              <w:autoSpaceDE w:val="0"/>
              <w:autoSpaceDN w:val="0"/>
              <w:ind w:firstLine="0" w:firstLineChars="0"/>
              <w:jc w:val="right"/>
              <w:rPr>
                <w:color w:val="000000"/>
                <w:sz w:val="18"/>
                <w:szCs w:val="18"/>
              </w:rPr>
            </w:pPr>
            <w:r>
              <w:rPr>
                <w:color w:val="000000"/>
                <w:sz w:val="18"/>
                <w:szCs w:val="18"/>
              </w:rPr>
              <w:t>18</w:t>
            </w:r>
          </w:p>
        </w:tc>
        <w:tc>
          <w:tcPr>
            <w:tcW w:w="853" w:type="dxa"/>
            <w:vAlign w:val="center"/>
          </w:tcPr>
          <w:p>
            <w:pPr>
              <w:autoSpaceDE w:val="0"/>
              <w:autoSpaceDN w:val="0"/>
              <w:ind w:firstLine="0" w:firstLineChars="0"/>
              <w:jc w:val="right"/>
              <w:rPr>
                <w:color w:val="000000"/>
                <w:sz w:val="18"/>
                <w:szCs w:val="18"/>
              </w:rPr>
            </w:pPr>
            <w:r>
              <w:rPr>
                <w:color w:val="000000"/>
                <w:sz w:val="18"/>
                <w:szCs w:val="18"/>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22</w:t>
            </w:r>
          </w:p>
        </w:tc>
        <w:tc>
          <w:tcPr>
            <w:tcW w:w="852" w:type="dxa"/>
            <w:vAlign w:val="center"/>
          </w:tcPr>
          <w:p>
            <w:pPr>
              <w:autoSpaceDE w:val="0"/>
              <w:autoSpaceDN w:val="0"/>
              <w:ind w:firstLine="0" w:firstLineChars="0"/>
              <w:jc w:val="right"/>
              <w:rPr>
                <w:color w:val="000000"/>
                <w:sz w:val="18"/>
                <w:szCs w:val="18"/>
              </w:rPr>
            </w:pPr>
            <w:r>
              <w:rPr>
                <w:color w:val="000000"/>
                <w:sz w:val="18"/>
                <w:szCs w:val="18"/>
              </w:rPr>
              <w:t>8</w:t>
            </w:r>
          </w:p>
        </w:tc>
        <w:tc>
          <w:tcPr>
            <w:tcW w:w="852" w:type="dxa"/>
            <w:vAlign w:val="center"/>
          </w:tcPr>
          <w:p>
            <w:pPr>
              <w:autoSpaceDE w:val="0"/>
              <w:autoSpaceDN w:val="0"/>
              <w:ind w:firstLine="0" w:firstLineChars="0"/>
              <w:jc w:val="right"/>
              <w:rPr>
                <w:color w:val="000000"/>
                <w:sz w:val="18"/>
                <w:szCs w:val="18"/>
              </w:rPr>
            </w:pPr>
            <w:r>
              <w:rPr>
                <w:color w:val="000000"/>
                <w:sz w:val="18"/>
                <w:szCs w:val="18"/>
              </w:rPr>
              <w:t>10</w:t>
            </w:r>
          </w:p>
        </w:tc>
        <w:tc>
          <w:tcPr>
            <w:tcW w:w="852" w:type="dxa"/>
            <w:vAlign w:val="center"/>
          </w:tcPr>
          <w:p>
            <w:pPr>
              <w:autoSpaceDE w:val="0"/>
              <w:autoSpaceDN w:val="0"/>
              <w:ind w:firstLine="0" w:firstLineChars="0"/>
              <w:jc w:val="right"/>
              <w:rPr>
                <w:color w:val="000000"/>
                <w:sz w:val="18"/>
                <w:szCs w:val="18"/>
              </w:rPr>
            </w:pPr>
            <w:r>
              <w:rPr>
                <w:color w:val="000000"/>
                <w:sz w:val="18"/>
                <w:szCs w:val="18"/>
              </w:rPr>
              <w:t>12</w:t>
            </w:r>
          </w:p>
        </w:tc>
        <w:tc>
          <w:tcPr>
            <w:tcW w:w="852" w:type="dxa"/>
            <w:vAlign w:val="center"/>
          </w:tcPr>
          <w:p>
            <w:pPr>
              <w:autoSpaceDE w:val="0"/>
              <w:autoSpaceDN w:val="0"/>
              <w:ind w:firstLine="0" w:firstLineChars="0"/>
              <w:jc w:val="right"/>
              <w:rPr>
                <w:color w:val="000000"/>
                <w:sz w:val="18"/>
                <w:szCs w:val="18"/>
              </w:rPr>
            </w:pPr>
            <w:r>
              <w:rPr>
                <w:color w:val="000000"/>
                <w:sz w:val="18"/>
                <w:szCs w:val="18"/>
              </w:rPr>
              <w:t>14</w:t>
            </w:r>
          </w:p>
        </w:tc>
        <w:tc>
          <w:tcPr>
            <w:tcW w:w="852" w:type="dxa"/>
            <w:vAlign w:val="center"/>
          </w:tcPr>
          <w:p>
            <w:pPr>
              <w:autoSpaceDE w:val="0"/>
              <w:autoSpaceDN w:val="0"/>
              <w:ind w:firstLine="0" w:firstLineChars="0"/>
              <w:jc w:val="right"/>
              <w:rPr>
                <w:color w:val="000000"/>
                <w:sz w:val="18"/>
                <w:szCs w:val="18"/>
              </w:rPr>
            </w:pPr>
            <w:r>
              <w:rPr>
                <w:color w:val="000000"/>
                <w:sz w:val="18"/>
                <w:szCs w:val="18"/>
              </w:rPr>
              <w:t>15</w:t>
            </w:r>
          </w:p>
        </w:tc>
        <w:tc>
          <w:tcPr>
            <w:tcW w:w="852" w:type="dxa"/>
            <w:vAlign w:val="center"/>
          </w:tcPr>
          <w:p>
            <w:pPr>
              <w:autoSpaceDE w:val="0"/>
              <w:autoSpaceDN w:val="0"/>
              <w:ind w:firstLine="0" w:firstLineChars="0"/>
              <w:jc w:val="right"/>
              <w:rPr>
                <w:color w:val="000000"/>
                <w:sz w:val="18"/>
                <w:szCs w:val="18"/>
              </w:rPr>
            </w:pPr>
            <w:r>
              <w:rPr>
                <w:color w:val="000000"/>
                <w:sz w:val="18"/>
                <w:szCs w:val="18"/>
              </w:rPr>
              <w:t>17</w:t>
            </w:r>
          </w:p>
        </w:tc>
        <w:tc>
          <w:tcPr>
            <w:tcW w:w="852" w:type="dxa"/>
            <w:vAlign w:val="center"/>
          </w:tcPr>
          <w:p>
            <w:pPr>
              <w:autoSpaceDE w:val="0"/>
              <w:autoSpaceDN w:val="0"/>
              <w:ind w:firstLine="0" w:firstLineChars="0"/>
              <w:jc w:val="right"/>
              <w:rPr>
                <w:color w:val="000000"/>
                <w:sz w:val="18"/>
                <w:szCs w:val="18"/>
              </w:rPr>
            </w:pPr>
            <w:r>
              <w:rPr>
                <w:color w:val="000000"/>
                <w:sz w:val="18"/>
                <w:szCs w:val="18"/>
              </w:rPr>
              <w:t>18</w:t>
            </w:r>
          </w:p>
        </w:tc>
        <w:tc>
          <w:tcPr>
            <w:tcW w:w="853" w:type="dxa"/>
            <w:vAlign w:val="center"/>
          </w:tcPr>
          <w:p>
            <w:pPr>
              <w:autoSpaceDE w:val="0"/>
              <w:autoSpaceDN w:val="0"/>
              <w:ind w:firstLine="0" w:firstLineChars="0"/>
              <w:jc w:val="right"/>
              <w:rPr>
                <w:color w:val="000000"/>
                <w:sz w:val="18"/>
                <w:szCs w:val="18"/>
              </w:rPr>
            </w:pPr>
            <w:r>
              <w:rPr>
                <w:color w:val="000000"/>
                <w:sz w:val="18"/>
                <w:szCs w:val="18"/>
              </w:rPr>
              <w:t>20</w:t>
            </w:r>
          </w:p>
        </w:tc>
        <w:tc>
          <w:tcPr>
            <w:tcW w:w="853" w:type="dxa"/>
            <w:vAlign w:val="center"/>
          </w:tcPr>
          <w:p>
            <w:pPr>
              <w:autoSpaceDE w:val="0"/>
              <w:autoSpaceDN w:val="0"/>
              <w:ind w:firstLine="0" w:firstLineChars="0"/>
              <w:jc w:val="right"/>
              <w:rPr>
                <w:color w:val="000000"/>
                <w:sz w:val="18"/>
                <w:szCs w:val="18"/>
              </w:rPr>
            </w:pPr>
            <w:r>
              <w:rPr>
                <w:color w:val="000000"/>
                <w:sz w:val="18"/>
                <w:szCs w:val="18"/>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24</w:t>
            </w:r>
          </w:p>
        </w:tc>
        <w:tc>
          <w:tcPr>
            <w:tcW w:w="852" w:type="dxa"/>
            <w:vAlign w:val="center"/>
          </w:tcPr>
          <w:p>
            <w:pPr>
              <w:autoSpaceDE w:val="0"/>
              <w:autoSpaceDN w:val="0"/>
              <w:ind w:firstLine="0" w:firstLineChars="0"/>
              <w:jc w:val="right"/>
              <w:rPr>
                <w:color w:val="000000"/>
                <w:sz w:val="18"/>
                <w:szCs w:val="18"/>
              </w:rPr>
            </w:pPr>
            <w:r>
              <w:rPr>
                <w:color w:val="000000"/>
                <w:sz w:val="18"/>
                <w:szCs w:val="18"/>
              </w:rPr>
              <w:t>10</w:t>
            </w:r>
          </w:p>
        </w:tc>
        <w:tc>
          <w:tcPr>
            <w:tcW w:w="852" w:type="dxa"/>
            <w:vAlign w:val="center"/>
          </w:tcPr>
          <w:p>
            <w:pPr>
              <w:autoSpaceDE w:val="0"/>
              <w:autoSpaceDN w:val="0"/>
              <w:ind w:firstLine="0" w:firstLineChars="0"/>
              <w:jc w:val="right"/>
              <w:rPr>
                <w:color w:val="000000"/>
                <w:sz w:val="18"/>
                <w:szCs w:val="18"/>
              </w:rPr>
            </w:pPr>
            <w:r>
              <w:rPr>
                <w:color w:val="000000"/>
                <w:sz w:val="18"/>
                <w:szCs w:val="18"/>
              </w:rPr>
              <w:t>12</w:t>
            </w:r>
          </w:p>
        </w:tc>
        <w:tc>
          <w:tcPr>
            <w:tcW w:w="852" w:type="dxa"/>
            <w:vAlign w:val="center"/>
          </w:tcPr>
          <w:p>
            <w:pPr>
              <w:autoSpaceDE w:val="0"/>
              <w:autoSpaceDN w:val="0"/>
              <w:ind w:firstLine="0" w:firstLineChars="0"/>
              <w:jc w:val="right"/>
              <w:rPr>
                <w:color w:val="000000"/>
                <w:sz w:val="18"/>
                <w:szCs w:val="18"/>
              </w:rPr>
            </w:pPr>
            <w:r>
              <w:rPr>
                <w:color w:val="000000"/>
                <w:sz w:val="18"/>
                <w:szCs w:val="18"/>
              </w:rPr>
              <w:t>14</w:t>
            </w:r>
          </w:p>
        </w:tc>
        <w:tc>
          <w:tcPr>
            <w:tcW w:w="852" w:type="dxa"/>
            <w:vAlign w:val="center"/>
          </w:tcPr>
          <w:p>
            <w:pPr>
              <w:autoSpaceDE w:val="0"/>
              <w:autoSpaceDN w:val="0"/>
              <w:ind w:firstLine="0" w:firstLineChars="0"/>
              <w:jc w:val="right"/>
              <w:rPr>
                <w:color w:val="000000"/>
                <w:sz w:val="18"/>
                <w:szCs w:val="18"/>
              </w:rPr>
            </w:pPr>
            <w:r>
              <w:rPr>
                <w:color w:val="000000"/>
                <w:sz w:val="18"/>
                <w:szCs w:val="18"/>
              </w:rPr>
              <w:t>16</w:t>
            </w:r>
          </w:p>
        </w:tc>
        <w:tc>
          <w:tcPr>
            <w:tcW w:w="852" w:type="dxa"/>
            <w:vAlign w:val="center"/>
          </w:tcPr>
          <w:p>
            <w:pPr>
              <w:autoSpaceDE w:val="0"/>
              <w:autoSpaceDN w:val="0"/>
              <w:ind w:firstLine="0" w:firstLineChars="0"/>
              <w:jc w:val="right"/>
              <w:rPr>
                <w:color w:val="000000"/>
                <w:sz w:val="18"/>
                <w:szCs w:val="18"/>
              </w:rPr>
            </w:pPr>
            <w:r>
              <w:rPr>
                <w:color w:val="000000"/>
                <w:sz w:val="18"/>
                <w:szCs w:val="18"/>
              </w:rPr>
              <w:t>17</w:t>
            </w:r>
          </w:p>
        </w:tc>
        <w:tc>
          <w:tcPr>
            <w:tcW w:w="852" w:type="dxa"/>
            <w:vAlign w:val="center"/>
          </w:tcPr>
          <w:p>
            <w:pPr>
              <w:autoSpaceDE w:val="0"/>
              <w:autoSpaceDN w:val="0"/>
              <w:ind w:firstLine="0" w:firstLineChars="0"/>
              <w:jc w:val="right"/>
              <w:rPr>
                <w:color w:val="000000"/>
                <w:sz w:val="18"/>
                <w:szCs w:val="18"/>
              </w:rPr>
            </w:pPr>
            <w:r>
              <w:rPr>
                <w:color w:val="000000"/>
                <w:sz w:val="18"/>
                <w:szCs w:val="18"/>
              </w:rPr>
              <w:t>19</w:t>
            </w:r>
          </w:p>
        </w:tc>
        <w:tc>
          <w:tcPr>
            <w:tcW w:w="852" w:type="dxa"/>
            <w:vAlign w:val="center"/>
          </w:tcPr>
          <w:p>
            <w:pPr>
              <w:autoSpaceDE w:val="0"/>
              <w:autoSpaceDN w:val="0"/>
              <w:ind w:firstLine="0" w:firstLineChars="0"/>
              <w:jc w:val="right"/>
              <w:rPr>
                <w:color w:val="000000"/>
                <w:sz w:val="18"/>
                <w:szCs w:val="18"/>
              </w:rPr>
            </w:pPr>
            <w:r>
              <w:rPr>
                <w:color w:val="000000"/>
                <w:sz w:val="18"/>
                <w:szCs w:val="18"/>
              </w:rPr>
              <w:t>20</w:t>
            </w:r>
          </w:p>
        </w:tc>
        <w:tc>
          <w:tcPr>
            <w:tcW w:w="853" w:type="dxa"/>
            <w:vAlign w:val="center"/>
          </w:tcPr>
          <w:p>
            <w:pPr>
              <w:autoSpaceDE w:val="0"/>
              <w:autoSpaceDN w:val="0"/>
              <w:ind w:firstLine="0" w:firstLineChars="0"/>
              <w:jc w:val="right"/>
              <w:rPr>
                <w:color w:val="000000"/>
                <w:sz w:val="18"/>
                <w:szCs w:val="18"/>
              </w:rPr>
            </w:pPr>
            <w:r>
              <w:rPr>
                <w:color w:val="000000"/>
                <w:sz w:val="18"/>
                <w:szCs w:val="18"/>
              </w:rPr>
              <w:t>22</w:t>
            </w:r>
          </w:p>
        </w:tc>
        <w:tc>
          <w:tcPr>
            <w:tcW w:w="853" w:type="dxa"/>
            <w:vAlign w:val="center"/>
          </w:tcPr>
          <w:p>
            <w:pPr>
              <w:autoSpaceDE w:val="0"/>
              <w:autoSpaceDN w:val="0"/>
              <w:ind w:firstLine="0" w:firstLineChars="0"/>
              <w:jc w:val="right"/>
              <w:rPr>
                <w:color w:val="000000"/>
                <w:sz w:val="18"/>
                <w:szCs w:val="18"/>
              </w:rPr>
            </w:pPr>
            <w:r>
              <w:rPr>
                <w:color w:val="000000"/>
                <w:sz w:val="18"/>
                <w:szCs w:val="1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26</w:t>
            </w:r>
          </w:p>
        </w:tc>
        <w:tc>
          <w:tcPr>
            <w:tcW w:w="852" w:type="dxa"/>
            <w:vAlign w:val="center"/>
          </w:tcPr>
          <w:p>
            <w:pPr>
              <w:autoSpaceDE w:val="0"/>
              <w:autoSpaceDN w:val="0"/>
              <w:ind w:firstLine="0" w:firstLineChars="0"/>
              <w:jc w:val="right"/>
              <w:rPr>
                <w:color w:val="000000"/>
                <w:sz w:val="18"/>
                <w:szCs w:val="18"/>
              </w:rPr>
            </w:pPr>
            <w:r>
              <w:rPr>
                <w:color w:val="000000"/>
                <w:sz w:val="18"/>
                <w:szCs w:val="18"/>
              </w:rPr>
              <w:t>12</w:t>
            </w:r>
          </w:p>
        </w:tc>
        <w:tc>
          <w:tcPr>
            <w:tcW w:w="852" w:type="dxa"/>
            <w:vAlign w:val="center"/>
          </w:tcPr>
          <w:p>
            <w:pPr>
              <w:autoSpaceDE w:val="0"/>
              <w:autoSpaceDN w:val="0"/>
              <w:ind w:firstLine="0" w:firstLineChars="0"/>
              <w:jc w:val="right"/>
              <w:rPr>
                <w:color w:val="000000"/>
                <w:sz w:val="18"/>
                <w:szCs w:val="18"/>
              </w:rPr>
            </w:pPr>
            <w:r>
              <w:rPr>
                <w:color w:val="000000"/>
                <w:sz w:val="18"/>
                <w:szCs w:val="18"/>
              </w:rPr>
              <w:t>14</w:t>
            </w:r>
          </w:p>
        </w:tc>
        <w:tc>
          <w:tcPr>
            <w:tcW w:w="852" w:type="dxa"/>
            <w:vAlign w:val="center"/>
          </w:tcPr>
          <w:p>
            <w:pPr>
              <w:autoSpaceDE w:val="0"/>
              <w:autoSpaceDN w:val="0"/>
              <w:ind w:firstLine="0" w:firstLineChars="0"/>
              <w:jc w:val="right"/>
              <w:rPr>
                <w:color w:val="000000"/>
                <w:sz w:val="18"/>
                <w:szCs w:val="18"/>
              </w:rPr>
            </w:pPr>
            <w:r>
              <w:rPr>
                <w:color w:val="000000"/>
                <w:sz w:val="18"/>
                <w:szCs w:val="18"/>
              </w:rPr>
              <w:t>16</w:t>
            </w:r>
          </w:p>
        </w:tc>
        <w:tc>
          <w:tcPr>
            <w:tcW w:w="852" w:type="dxa"/>
            <w:vAlign w:val="center"/>
          </w:tcPr>
          <w:p>
            <w:pPr>
              <w:autoSpaceDE w:val="0"/>
              <w:autoSpaceDN w:val="0"/>
              <w:ind w:firstLine="0" w:firstLineChars="0"/>
              <w:jc w:val="right"/>
              <w:rPr>
                <w:color w:val="000000"/>
                <w:sz w:val="18"/>
                <w:szCs w:val="18"/>
              </w:rPr>
            </w:pPr>
            <w:r>
              <w:rPr>
                <w:color w:val="000000"/>
                <w:sz w:val="18"/>
                <w:szCs w:val="18"/>
              </w:rPr>
              <w:t>18</w:t>
            </w:r>
          </w:p>
        </w:tc>
        <w:tc>
          <w:tcPr>
            <w:tcW w:w="852" w:type="dxa"/>
            <w:vAlign w:val="center"/>
          </w:tcPr>
          <w:p>
            <w:pPr>
              <w:autoSpaceDE w:val="0"/>
              <w:autoSpaceDN w:val="0"/>
              <w:ind w:firstLine="0" w:firstLineChars="0"/>
              <w:jc w:val="right"/>
              <w:rPr>
                <w:color w:val="000000"/>
                <w:sz w:val="18"/>
                <w:szCs w:val="18"/>
              </w:rPr>
            </w:pPr>
            <w:r>
              <w:rPr>
                <w:color w:val="000000"/>
                <w:sz w:val="18"/>
                <w:szCs w:val="18"/>
              </w:rPr>
              <w:t>20</w:t>
            </w:r>
          </w:p>
        </w:tc>
        <w:tc>
          <w:tcPr>
            <w:tcW w:w="852" w:type="dxa"/>
            <w:vAlign w:val="center"/>
          </w:tcPr>
          <w:p>
            <w:pPr>
              <w:autoSpaceDE w:val="0"/>
              <w:autoSpaceDN w:val="0"/>
              <w:ind w:firstLine="0" w:firstLineChars="0"/>
              <w:jc w:val="right"/>
              <w:rPr>
                <w:color w:val="000000"/>
                <w:sz w:val="18"/>
                <w:szCs w:val="18"/>
              </w:rPr>
            </w:pPr>
            <w:r>
              <w:rPr>
                <w:color w:val="000000"/>
                <w:sz w:val="18"/>
                <w:szCs w:val="18"/>
              </w:rPr>
              <w:t>21</w:t>
            </w:r>
          </w:p>
        </w:tc>
        <w:tc>
          <w:tcPr>
            <w:tcW w:w="852" w:type="dxa"/>
            <w:vAlign w:val="center"/>
          </w:tcPr>
          <w:p>
            <w:pPr>
              <w:autoSpaceDE w:val="0"/>
              <w:autoSpaceDN w:val="0"/>
              <w:ind w:firstLine="0" w:firstLineChars="0"/>
              <w:jc w:val="right"/>
              <w:rPr>
                <w:color w:val="000000"/>
                <w:sz w:val="18"/>
                <w:szCs w:val="18"/>
              </w:rPr>
            </w:pPr>
            <w:r>
              <w:rPr>
                <w:color w:val="000000"/>
                <w:sz w:val="18"/>
                <w:szCs w:val="18"/>
              </w:rPr>
              <w:t>22</w:t>
            </w:r>
          </w:p>
        </w:tc>
        <w:tc>
          <w:tcPr>
            <w:tcW w:w="853" w:type="dxa"/>
            <w:vAlign w:val="center"/>
          </w:tcPr>
          <w:p>
            <w:pPr>
              <w:autoSpaceDE w:val="0"/>
              <w:autoSpaceDN w:val="0"/>
              <w:ind w:firstLine="0" w:firstLineChars="0"/>
              <w:jc w:val="right"/>
              <w:rPr>
                <w:color w:val="000000"/>
                <w:sz w:val="18"/>
                <w:szCs w:val="18"/>
              </w:rPr>
            </w:pPr>
            <w:r>
              <w:rPr>
                <w:color w:val="000000"/>
                <w:sz w:val="18"/>
                <w:szCs w:val="18"/>
              </w:rPr>
              <w:t>24</w:t>
            </w:r>
          </w:p>
        </w:tc>
        <w:tc>
          <w:tcPr>
            <w:tcW w:w="853" w:type="dxa"/>
            <w:vAlign w:val="center"/>
          </w:tcPr>
          <w:p>
            <w:pPr>
              <w:autoSpaceDE w:val="0"/>
              <w:autoSpaceDN w:val="0"/>
              <w:ind w:firstLine="0" w:firstLineChars="0"/>
              <w:jc w:val="right"/>
              <w:rPr>
                <w:color w:val="000000"/>
                <w:sz w:val="18"/>
                <w:szCs w:val="18"/>
              </w:rPr>
            </w:pPr>
            <w:r>
              <w:rPr>
                <w:color w:val="000000"/>
                <w:sz w:val="18"/>
                <w:szCs w:val="1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28</w:t>
            </w:r>
          </w:p>
        </w:tc>
        <w:tc>
          <w:tcPr>
            <w:tcW w:w="852" w:type="dxa"/>
            <w:vAlign w:val="center"/>
          </w:tcPr>
          <w:p>
            <w:pPr>
              <w:autoSpaceDE w:val="0"/>
              <w:autoSpaceDN w:val="0"/>
              <w:ind w:firstLine="0" w:firstLineChars="0"/>
              <w:jc w:val="right"/>
              <w:rPr>
                <w:color w:val="000000"/>
                <w:sz w:val="18"/>
                <w:szCs w:val="18"/>
              </w:rPr>
            </w:pPr>
            <w:r>
              <w:rPr>
                <w:color w:val="000000"/>
                <w:sz w:val="18"/>
                <w:szCs w:val="18"/>
              </w:rPr>
              <w:t>14</w:t>
            </w:r>
          </w:p>
        </w:tc>
        <w:tc>
          <w:tcPr>
            <w:tcW w:w="852" w:type="dxa"/>
            <w:vAlign w:val="center"/>
          </w:tcPr>
          <w:p>
            <w:pPr>
              <w:autoSpaceDE w:val="0"/>
              <w:autoSpaceDN w:val="0"/>
              <w:ind w:firstLine="0" w:firstLineChars="0"/>
              <w:jc w:val="right"/>
              <w:rPr>
                <w:color w:val="000000"/>
                <w:sz w:val="18"/>
                <w:szCs w:val="18"/>
              </w:rPr>
            </w:pPr>
            <w:r>
              <w:rPr>
                <w:color w:val="000000"/>
                <w:sz w:val="18"/>
                <w:szCs w:val="18"/>
              </w:rPr>
              <w:t>16</w:t>
            </w:r>
          </w:p>
        </w:tc>
        <w:tc>
          <w:tcPr>
            <w:tcW w:w="852" w:type="dxa"/>
            <w:vAlign w:val="center"/>
          </w:tcPr>
          <w:p>
            <w:pPr>
              <w:autoSpaceDE w:val="0"/>
              <w:autoSpaceDN w:val="0"/>
              <w:ind w:firstLine="0" w:firstLineChars="0"/>
              <w:jc w:val="right"/>
              <w:rPr>
                <w:color w:val="000000"/>
                <w:sz w:val="18"/>
                <w:szCs w:val="18"/>
              </w:rPr>
            </w:pPr>
            <w:r>
              <w:rPr>
                <w:color w:val="000000"/>
                <w:sz w:val="18"/>
                <w:szCs w:val="18"/>
              </w:rPr>
              <w:t>18</w:t>
            </w:r>
          </w:p>
        </w:tc>
        <w:tc>
          <w:tcPr>
            <w:tcW w:w="852" w:type="dxa"/>
            <w:vAlign w:val="center"/>
          </w:tcPr>
          <w:p>
            <w:pPr>
              <w:autoSpaceDE w:val="0"/>
              <w:autoSpaceDN w:val="0"/>
              <w:ind w:firstLine="0" w:firstLineChars="0"/>
              <w:jc w:val="right"/>
              <w:rPr>
                <w:color w:val="000000"/>
                <w:sz w:val="18"/>
                <w:szCs w:val="18"/>
              </w:rPr>
            </w:pPr>
            <w:r>
              <w:rPr>
                <w:color w:val="000000"/>
                <w:sz w:val="18"/>
                <w:szCs w:val="18"/>
              </w:rPr>
              <w:t>20</w:t>
            </w:r>
          </w:p>
        </w:tc>
        <w:tc>
          <w:tcPr>
            <w:tcW w:w="852" w:type="dxa"/>
            <w:vAlign w:val="center"/>
          </w:tcPr>
          <w:p>
            <w:pPr>
              <w:autoSpaceDE w:val="0"/>
              <w:autoSpaceDN w:val="0"/>
              <w:ind w:firstLine="0" w:firstLineChars="0"/>
              <w:jc w:val="right"/>
              <w:rPr>
                <w:color w:val="000000"/>
                <w:sz w:val="18"/>
                <w:szCs w:val="18"/>
              </w:rPr>
            </w:pPr>
            <w:r>
              <w:rPr>
                <w:color w:val="000000"/>
                <w:sz w:val="18"/>
                <w:szCs w:val="18"/>
              </w:rPr>
              <w:t>22</w:t>
            </w:r>
          </w:p>
        </w:tc>
        <w:tc>
          <w:tcPr>
            <w:tcW w:w="852" w:type="dxa"/>
            <w:vAlign w:val="center"/>
          </w:tcPr>
          <w:p>
            <w:pPr>
              <w:autoSpaceDE w:val="0"/>
              <w:autoSpaceDN w:val="0"/>
              <w:ind w:firstLine="0" w:firstLineChars="0"/>
              <w:jc w:val="right"/>
              <w:rPr>
                <w:color w:val="000000"/>
                <w:sz w:val="18"/>
                <w:szCs w:val="18"/>
              </w:rPr>
            </w:pPr>
            <w:r>
              <w:rPr>
                <w:color w:val="000000"/>
                <w:sz w:val="18"/>
                <w:szCs w:val="18"/>
              </w:rPr>
              <w:t>23</w:t>
            </w:r>
          </w:p>
        </w:tc>
        <w:tc>
          <w:tcPr>
            <w:tcW w:w="852" w:type="dxa"/>
            <w:vAlign w:val="center"/>
          </w:tcPr>
          <w:p>
            <w:pPr>
              <w:autoSpaceDE w:val="0"/>
              <w:autoSpaceDN w:val="0"/>
              <w:ind w:firstLine="0" w:firstLineChars="0"/>
              <w:jc w:val="right"/>
              <w:rPr>
                <w:color w:val="000000"/>
                <w:sz w:val="18"/>
                <w:szCs w:val="18"/>
              </w:rPr>
            </w:pPr>
            <w:r>
              <w:rPr>
                <w:color w:val="000000"/>
                <w:sz w:val="18"/>
                <w:szCs w:val="18"/>
              </w:rPr>
              <w:t>24</w:t>
            </w:r>
          </w:p>
        </w:tc>
        <w:tc>
          <w:tcPr>
            <w:tcW w:w="853" w:type="dxa"/>
            <w:vAlign w:val="center"/>
          </w:tcPr>
          <w:p>
            <w:pPr>
              <w:autoSpaceDE w:val="0"/>
              <w:autoSpaceDN w:val="0"/>
              <w:ind w:firstLine="0" w:firstLineChars="0"/>
              <w:jc w:val="right"/>
              <w:rPr>
                <w:color w:val="000000"/>
                <w:sz w:val="18"/>
                <w:szCs w:val="18"/>
              </w:rPr>
            </w:pPr>
            <w:r>
              <w:rPr>
                <w:color w:val="000000"/>
                <w:sz w:val="18"/>
                <w:szCs w:val="18"/>
              </w:rPr>
              <w:t>26</w:t>
            </w:r>
          </w:p>
        </w:tc>
        <w:tc>
          <w:tcPr>
            <w:tcW w:w="853" w:type="dxa"/>
            <w:vAlign w:val="center"/>
          </w:tcPr>
          <w:p>
            <w:pPr>
              <w:autoSpaceDE w:val="0"/>
              <w:autoSpaceDN w:val="0"/>
              <w:ind w:firstLine="0" w:firstLineChars="0"/>
              <w:jc w:val="right"/>
              <w:rPr>
                <w:color w:val="000000"/>
                <w:sz w:val="18"/>
                <w:szCs w:val="18"/>
              </w:rPr>
            </w:pPr>
            <w:r>
              <w:rPr>
                <w:color w:val="000000"/>
                <w:sz w:val="18"/>
                <w:szCs w:val="18"/>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30</w:t>
            </w:r>
          </w:p>
        </w:tc>
        <w:tc>
          <w:tcPr>
            <w:tcW w:w="852" w:type="dxa"/>
            <w:vAlign w:val="center"/>
          </w:tcPr>
          <w:p>
            <w:pPr>
              <w:autoSpaceDE w:val="0"/>
              <w:autoSpaceDN w:val="0"/>
              <w:ind w:firstLine="0" w:firstLineChars="0"/>
              <w:jc w:val="right"/>
              <w:rPr>
                <w:color w:val="000000"/>
                <w:sz w:val="18"/>
                <w:szCs w:val="18"/>
              </w:rPr>
            </w:pPr>
            <w:r>
              <w:rPr>
                <w:color w:val="000000"/>
                <w:sz w:val="18"/>
                <w:szCs w:val="18"/>
              </w:rPr>
              <w:t>16</w:t>
            </w:r>
          </w:p>
        </w:tc>
        <w:tc>
          <w:tcPr>
            <w:tcW w:w="852" w:type="dxa"/>
            <w:vAlign w:val="center"/>
          </w:tcPr>
          <w:p>
            <w:pPr>
              <w:autoSpaceDE w:val="0"/>
              <w:autoSpaceDN w:val="0"/>
              <w:ind w:firstLine="0" w:firstLineChars="0"/>
              <w:jc w:val="right"/>
              <w:rPr>
                <w:color w:val="000000"/>
                <w:sz w:val="18"/>
                <w:szCs w:val="18"/>
              </w:rPr>
            </w:pPr>
            <w:r>
              <w:rPr>
                <w:color w:val="000000"/>
                <w:sz w:val="18"/>
                <w:szCs w:val="18"/>
              </w:rPr>
              <w:t>18</w:t>
            </w:r>
          </w:p>
        </w:tc>
        <w:tc>
          <w:tcPr>
            <w:tcW w:w="852" w:type="dxa"/>
            <w:vAlign w:val="center"/>
          </w:tcPr>
          <w:p>
            <w:pPr>
              <w:autoSpaceDE w:val="0"/>
              <w:autoSpaceDN w:val="0"/>
              <w:ind w:firstLine="0" w:firstLineChars="0"/>
              <w:jc w:val="right"/>
              <w:rPr>
                <w:color w:val="000000"/>
                <w:sz w:val="18"/>
                <w:szCs w:val="18"/>
              </w:rPr>
            </w:pPr>
            <w:r>
              <w:rPr>
                <w:color w:val="000000"/>
                <w:sz w:val="18"/>
                <w:szCs w:val="18"/>
              </w:rPr>
              <w:t>20</w:t>
            </w:r>
          </w:p>
        </w:tc>
        <w:tc>
          <w:tcPr>
            <w:tcW w:w="852" w:type="dxa"/>
            <w:vAlign w:val="center"/>
          </w:tcPr>
          <w:p>
            <w:pPr>
              <w:autoSpaceDE w:val="0"/>
              <w:autoSpaceDN w:val="0"/>
              <w:ind w:firstLine="0" w:firstLineChars="0"/>
              <w:jc w:val="right"/>
              <w:rPr>
                <w:color w:val="000000"/>
                <w:sz w:val="18"/>
                <w:szCs w:val="18"/>
              </w:rPr>
            </w:pPr>
            <w:r>
              <w:rPr>
                <w:color w:val="000000"/>
                <w:sz w:val="18"/>
                <w:szCs w:val="18"/>
              </w:rPr>
              <w:t>22</w:t>
            </w:r>
          </w:p>
        </w:tc>
        <w:tc>
          <w:tcPr>
            <w:tcW w:w="852" w:type="dxa"/>
            <w:vAlign w:val="center"/>
          </w:tcPr>
          <w:p>
            <w:pPr>
              <w:autoSpaceDE w:val="0"/>
              <w:autoSpaceDN w:val="0"/>
              <w:ind w:firstLine="0" w:firstLineChars="0"/>
              <w:jc w:val="right"/>
              <w:rPr>
                <w:color w:val="000000"/>
                <w:sz w:val="18"/>
                <w:szCs w:val="18"/>
              </w:rPr>
            </w:pPr>
            <w:r>
              <w:rPr>
                <w:color w:val="000000"/>
                <w:sz w:val="18"/>
                <w:szCs w:val="18"/>
              </w:rPr>
              <w:t>24</w:t>
            </w:r>
          </w:p>
        </w:tc>
        <w:tc>
          <w:tcPr>
            <w:tcW w:w="852" w:type="dxa"/>
            <w:vAlign w:val="center"/>
          </w:tcPr>
          <w:p>
            <w:pPr>
              <w:autoSpaceDE w:val="0"/>
              <w:autoSpaceDN w:val="0"/>
              <w:ind w:firstLine="0" w:firstLineChars="0"/>
              <w:jc w:val="right"/>
              <w:rPr>
                <w:color w:val="000000"/>
                <w:sz w:val="18"/>
                <w:szCs w:val="18"/>
              </w:rPr>
            </w:pPr>
            <w:r>
              <w:rPr>
                <w:color w:val="000000"/>
                <w:sz w:val="18"/>
                <w:szCs w:val="18"/>
              </w:rPr>
              <w:t>25</w:t>
            </w:r>
          </w:p>
        </w:tc>
        <w:tc>
          <w:tcPr>
            <w:tcW w:w="852" w:type="dxa"/>
            <w:vAlign w:val="center"/>
          </w:tcPr>
          <w:p>
            <w:pPr>
              <w:autoSpaceDE w:val="0"/>
              <w:autoSpaceDN w:val="0"/>
              <w:ind w:firstLine="0" w:firstLineChars="0"/>
              <w:jc w:val="right"/>
              <w:rPr>
                <w:color w:val="000000"/>
                <w:sz w:val="18"/>
                <w:szCs w:val="18"/>
              </w:rPr>
            </w:pPr>
            <w:r>
              <w:rPr>
                <w:color w:val="000000"/>
                <w:sz w:val="18"/>
                <w:szCs w:val="18"/>
              </w:rPr>
              <w:t>26</w:t>
            </w:r>
          </w:p>
        </w:tc>
        <w:tc>
          <w:tcPr>
            <w:tcW w:w="853" w:type="dxa"/>
            <w:vAlign w:val="center"/>
          </w:tcPr>
          <w:p>
            <w:pPr>
              <w:autoSpaceDE w:val="0"/>
              <w:autoSpaceDN w:val="0"/>
              <w:ind w:firstLine="0" w:firstLineChars="0"/>
              <w:jc w:val="right"/>
              <w:rPr>
                <w:color w:val="000000"/>
                <w:sz w:val="18"/>
                <w:szCs w:val="18"/>
              </w:rPr>
            </w:pPr>
            <w:r>
              <w:rPr>
                <w:color w:val="000000"/>
                <w:sz w:val="18"/>
                <w:szCs w:val="18"/>
              </w:rPr>
              <w:t>28</w:t>
            </w:r>
          </w:p>
        </w:tc>
        <w:tc>
          <w:tcPr>
            <w:tcW w:w="853" w:type="dxa"/>
            <w:vAlign w:val="center"/>
          </w:tcPr>
          <w:p>
            <w:pPr>
              <w:autoSpaceDE w:val="0"/>
              <w:autoSpaceDN w:val="0"/>
              <w:ind w:firstLine="0" w:firstLineChars="0"/>
              <w:jc w:val="right"/>
              <w:rPr>
                <w:color w:val="000000"/>
                <w:sz w:val="18"/>
                <w:szCs w:val="18"/>
              </w:rPr>
            </w:pPr>
            <w:r>
              <w:rPr>
                <w:color w:val="000000"/>
                <w:sz w:val="18"/>
                <w:szCs w:val="18"/>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32</w:t>
            </w:r>
          </w:p>
        </w:tc>
        <w:tc>
          <w:tcPr>
            <w:tcW w:w="852" w:type="dxa"/>
            <w:vAlign w:val="center"/>
          </w:tcPr>
          <w:p>
            <w:pPr>
              <w:autoSpaceDE w:val="0"/>
              <w:autoSpaceDN w:val="0"/>
              <w:ind w:firstLine="0" w:firstLineChars="0"/>
              <w:jc w:val="right"/>
              <w:rPr>
                <w:color w:val="000000"/>
                <w:sz w:val="18"/>
                <w:szCs w:val="18"/>
              </w:rPr>
            </w:pPr>
            <w:r>
              <w:rPr>
                <w:color w:val="000000"/>
                <w:sz w:val="18"/>
                <w:szCs w:val="18"/>
              </w:rPr>
              <w:t>18</w:t>
            </w:r>
          </w:p>
        </w:tc>
        <w:tc>
          <w:tcPr>
            <w:tcW w:w="852" w:type="dxa"/>
            <w:vAlign w:val="center"/>
          </w:tcPr>
          <w:p>
            <w:pPr>
              <w:autoSpaceDE w:val="0"/>
              <w:autoSpaceDN w:val="0"/>
              <w:ind w:firstLine="0" w:firstLineChars="0"/>
              <w:jc w:val="right"/>
              <w:rPr>
                <w:color w:val="000000"/>
                <w:sz w:val="18"/>
                <w:szCs w:val="18"/>
              </w:rPr>
            </w:pPr>
            <w:r>
              <w:rPr>
                <w:color w:val="000000"/>
                <w:sz w:val="18"/>
                <w:szCs w:val="18"/>
              </w:rPr>
              <w:t>20</w:t>
            </w:r>
          </w:p>
        </w:tc>
        <w:tc>
          <w:tcPr>
            <w:tcW w:w="852" w:type="dxa"/>
            <w:vAlign w:val="center"/>
          </w:tcPr>
          <w:p>
            <w:pPr>
              <w:autoSpaceDE w:val="0"/>
              <w:autoSpaceDN w:val="0"/>
              <w:ind w:firstLine="0" w:firstLineChars="0"/>
              <w:jc w:val="right"/>
              <w:rPr>
                <w:color w:val="000000"/>
                <w:sz w:val="18"/>
                <w:szCs w:val="18"/>
              </w:rPr>
            </w:pPr>
            <w:r>
              <w:rPr>
                <w:color w:val="000000"/>
                <w:sz w:val="18"/>
                <w:szCs w:val="18"/>
              </w:rPr>
              <w:t>22</w:t>
            </w:r>
          </w:p>
        </w:tc>
        <w:tc>
          <w:tcPr>
            <w:tcW w:w="852" w:type="dxa"/>
            <w:vAlign w:val="center"/>
          </w:tcPr>
          <w:p>
            <w:pPr>
              <w:autoSpaceDE w:val="0"/>
              <w:autoSpaceDN w:val="0"/>
              <w:ind w:firstLine="0" w:firstLineChars="0"/>
              <w:jc w:val="right"/>
              <w:rPr>
                <w:color w:val="000000"/>
                <w:sz w:val="18"/>
                <w:szCs w:val="18"/>
              </w:rPr>
            </w:pPr>
            <w:r>
              <w:rPr>
                <w:color w:val="000000"/>
                <w:sz w:val="18"/>
                <w:szCs w:val="18"/>
              </w:rPr>
              <w:t>24</w:t>
            </w:r>
          </w:p>
        </w:tc>
        <w:tc>
          <w:tcPr>
            <w:tcW w:w="852" w:type="dxa"/>
            <w:vAlign w:val="center"/>
          </w:tcPr>
          <w:p>
            <w:pPr>
              <w:autoSpaceDE w:val="0"/>
              <w:autoSpaceDN w:val="0"/>
              <w:ind w:firstLine="0" w:firstLineChars="0"/>
              <w:jc w:val="right"/>
              <w:rPr>
                <w:color w:val="000000"/>
                <w:sz w:val="18"/>
                <w:szCs w:val="18"/>
              </w:rPr>
            </w:pPr>
            <w:r>
              <w:rPr>
                <w:color w:val="000000"/>
                <w:sz w:val="18"/>
                <w:szCs w:val="18"/>
              </w:rPr>
              <w:t>26</w:t>
            </w:r>
          </w:p>
        </w:tc>
        <w:tc>
          <w:tcPr>
            <w:tcW w:w="852" w:type="dxa"/>
            <w:vAlign w:val="center"/>
          </w:tcPr>
          <w:p>
            <w:pPr>
              <w:autoSpaceDE w:val="0"/>
              <w:autoSpaceDN w:val="0"/>
              <w:ind w:firstLine="0" w:firstLineChars="0"/>
              <w:jc w:val="right"/>
              <w:rPr>
                <w:color w:val="000000"/>
                <w:sz w:val="18"/>
                <w:szCs w:val="18"/>
              </w:rPr>
            </w:pPr>
            <w:r>
              <w:rPr>
                <w:color w:val="000000"/>
                <w:sz w:val="18"/>
                <w:szCs w:val="18"/>
              </w:rPr>
              <w:t>27</w:t>
            </w:r>
          </w:p>
        </w:tc>
        <w:tc>
          <w:tcPr>
            <w:tcW w:w="852" w:type="dxa"/>
            <w:vAlign w:val="center"/>
          </w:tcPr>
          <w:p>
            <w:pPr>
              <w:autoSpaceDE w:val="0"/>
              <w:autoSpaceDN w:val="0"/>
              <w:ind w:firstLine="0" w:firstLineChars="0"/>
              <w:jc w:val="right"/>
              <w:rPr>
                <w:color w:val="000000"/>
                <w:sz w:val="18"/>
                <w:szCs w:val="18"/>
              </w:rPr>
            </w:pPr>
            <w:r>
              <w:rPr>
                <w:color w:val="000000"/>
                <w:sz w:val="18"/>
                <w:szCs w:val="18"/>
              </w:rPr>
              <w:t>28</w:t>
            </w:r>
          </w:p>
        </w:tc>
        <w:tc>
          <w:tcPr>
            <w:tcW w:w="853" w:type="dxa"/>
            <w:vAlign w:val="center"/>
          </w:tcPr>
          <w:p>
            <w:pPr>
              <w:autoSpaceDE w:val="0"/>
              <w:autoSpaceDN w:val="0"/>
              <w:ind w:firstLine="0" w:firstLineChars="0"/>
              <w:jc w:val="right"/>
              <w:rPr>
                <w:color w:val="000000"/>
                <w:sz w:val="18"/>
                <w:szCs w:val="18"/>
              </w:rPr>
            </w:pPr>
            <w:r>
              <w:rPr>
                <w:color w:val="000000"/>
                <w:sz w:val="18"/>
                <w:szCs w:val="18"/>
              </w:rPr>
              <w:t>30</w:t>
            </w:r>
          </w:p>
        </w:tc>
        <w:tc>
          <w:tcPr>
            <w:tcW w:w="853" w:type="dxa"/>
            <w:vAlign w:val="center"/>
          </w:tcPr>
          <w:p>
            <w:pPr>
              <w:autoSpaceDE w:val="0"/>
              <w:autoSpaceDN w:val="0"/>
              <w:ind w:firstLine="0" w:firstLineChars="0"/>
              <w:jc w:val="right"/>
              <w:rPr>
                <w:color w:val="000000"/>
                <w:sz w:val="18"/>
                <w:szCs w:val="18"/>
              </w:rPr>
            </w:pPr>
            <w:r>
              <w:rPr>
                <w:color w:val="000000"/>
                <w:sz w:val="18"/>
                <w:szCs w:val="18"/>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 w:type="dxa"/>
            <w:vAlign w:val="center"/>
          </w:tcPr>
          <w:p>
            <w:pPr>
              <w:autoSpaceDE w:val="0"/>
              <w:autoSpaceDN w:val="0"/>
              <w:ind w:firstLine="360"/>
              <w:jc w:val="center"/>
              <w:rPr>
                <w:sz w:val="18"/>
                <w:szCs w:val="18"/>
              </w:rPr>
            </w:pPr>
            <w:r>
              <w:rPr>
                <w:color w:val="000000"/>
                <w:sz w:val="18"/>
                <w:szCs w:val="18"/>
              </w:rPr>
              <w:t>34</w:t>
            </w:r>
          </w:p>
        </w:tc>
        <w:tc>
          <w:tcPr>
            <w:tcW w:w="852" w:type="dxa"/>
            <w:vAlign w:val="center"/>
          </w:tcPr>
          <w:p>
            <w:pPr>
              <w:autoSpaceDE w:val="0"/>
              <w:autoSpaceDN w:val="0"/>
              <w:ind w:firstLine="0" w:firstLineChars="0"/>
              <w:jc w:val="right"/>
              <w:rPr>
                <w:color w:val="000000"/>
                <w:sz w:val="18"/>
                <w:szCs w:val="18"/>
              </w:rPr>
            </w:pPr>
            <w:r>
              <w:rPr>
                <w:color w:val="000000"/>
                <w:sz w:val="18"/>
                <w:szCs w:val="18"/>
              </w:rPr>
              <w:t>20</w:t>
            </w:r>
          </w:p>
        </w:tc>
        <w:tc>
          <w:tcPr>
            <w:tcW w:w="852" w:type="dxa"/>
            <w:vAlign w:val="center"/>
          </w:tcPr>
          <w:p>
            <w:pPr>
              <w:autoSpaceDE w:val="0"/>
              <w:autoSpaceDN w:val="0"/>
              <w:ind w:firstLine="0" w:firstLineChars="0"/>
              <w:jc w:val="right"/>
              <w:rPr>
                <w:color w:val="000000"/>
                <w:sz w:val="18"/>
                <w:szCs w:val="18"/>
              </w:rPr>
            </w:pPr>
            <w:r>
              <w:rPr>
                <w:color w:val="000000"/>
                <w:sz w:val="18"/>
                <w:szCs w:val="18"/>
              </w:rPr>
              <w:t>22</w:t>
            </w:r>
          </w:p>
        </w:tc>
        <w:tc>
          <w:tcPr>
            <w:tcW w:w="852" w:type="dxa"/>
            <w:vAlign w:val="center"/>
          </w:tcPr>
          <w:p>
            <w:pPr>
              <w:autoSpaceDE w:val="0"/>
              <w:autoSpaceDN w:val="0"/>
              <w:ind w:firstLine="0" w:firstLineChars="0"/>
              <w:jc w:val="right"/>
              <w:rPr>
                <w:color w:val="000000"/>
                <w:sz w:val="18"/>
                <w:szCs w:val="18"/>
              </w:rPr>
            </w:pPr>
            <w:r>
              <w:rPr>
                <w:color w:val="000000"/>
                <w:sz w:val="18"/>
                <w:szCs w:val="18"/>
              </w:rPr>
              <w:t>24</w:t>
            </w:r>
          </w:p>
        </w:tc>
        <w:tc>
          <w:tcPr>
            <w:tcW w:w="852" w:type="dxa"/>
            <w:vAlign w:val="center"/>
          </w:tcPr>
          <w:p>
            <w:pPr>
              <w:autoSpaceDE w:val="0"/>
              <w:autoSpaceDN w:val="0"/>
              <w:ind w:firstLine="0" w:firstLineChars="0"/>
              <w:jc w:val="right"/>
              <w:rPr>
                <w:color w:val="000000"/>
                <w:sz w:val="18"/>
                <w:szCs w:val="18"/>
              </w:rPr>
            </w:pPr>
            <w:r>
              <w:rPr>
                <w:color w:val="000000"/>
                <w:sz w:val="18"/>
                <w:szCs w:val="18"/>
              </w:rPr>
              <w:t>26</w:t>
            </w:r>
          </w:p>
        </w:tc>
        <w:tc>
          <w:tcPr>
            <w:tcW w:w="852" w:type="dxa"/>
            <w:vAlign w:val="center"/>
          </w:tcPr>
          <w:p>
            <w:pPr>
              <w:autoSpaceDE w:val="0"/>
              <w:autoSpaceDN w:val="0"/>
              <w:ind w:firstLine="0" w:firstLineChars="0"/>
              <w:jc w:val="right"/>
              <w:rPr>
                <w:color w:val="000000"/>
                <w:sz w:val="18"/>
                <w:szCs w:val="18"/>
              </w:rPr>
            </w:pPr>
            <w:r>
              <w:rPr>
                <w:color w:val="000000"/>
                <w:sz w:val="18"/>
                <w:szCs w:val="18"/>
              </w:rPr>
              <w:t>28</w:t>
            </w:r>
          </w:p>
        </w:tc>
        <w:tc>
          <w:tcPr>
            <w:tcW w:w="852" w:type="dxa"/>
            <w:vAlign w:val="center"/>
          </w:tcPr>
          <w:p>
            <w:pPr>
              <w:autoSpaceDE w:val="0"/>
              <w:autoSpaceDN w:val="0"/>
              <w:ind w:firstLine="0" w:firstLineChars="0"/>
              <w:jc w:val="right"/>
              <w:rPr>
                <w:color w:val="000000"/>
                <w:sz w:val="18"/>
                <w:szCs w:val="18"/>
              </w:rPr>
            </w:pPr>
            <w:r>
              <w:rPr>
                <w:color w:val="000000"/>
                <w:sz w:val="18"/>
                <w:szCs w:val="18"/>
              </w:rPr>
              <w:t>29</w:t>
            </w:r>
          </w:p>
        </w:tc>
        <w:tc>
          <w:tcPr>
            <w:tcW w:w="852" w:type="dxa"/>
            <w:vAlign w:val="center"/>
          </w:tcPr>
          <w:p>
            <w:pPr>
              <w:autoSpaceDE w:val="0"/>
              <w:autoSpaceDN w:val="0"/>
              <w:ind w:firstLine="0" w:firstLineChars="0"/>
              <w:jc w:val="right"/>
              <w:rPr>
                <w:color w:val="000000"/>
                <w:sz w:val="18"/>
                <w:szCs w:val="18"/>
              </w:rPr>
            </w:pPr>
            <w:r>
              <w:rPr>
                <w:color w:val="000000"/>
                <w:sz w:val="18"/>
                <w:szCs w:val="18"/>
              </w:rPr>
              <w:t>30</w:t>
            </w:r>
          </w:p>
        </w:tc>
        <w:tc>
          <w:tcPr>
            <w:tcW w:w="853" w:type="dxa"/>
            <w:vAlign w:val="center"/>
          </w:tcPr>
          <w:p>
            <w:pPr>
              <w:autoSpaceDE w:val="0"/>
              <w:autoSpaceDN w:val="0"/>
              <w:ind w:firstLine="0" w:firstLineChars="0"/>
              <w:jc w:val="right"/>
              <w:rPr>
                <w:color w:val="000000"/>
                <w:sz w:val="18"/>
                <w:szCs w:val="18"/>
              </w:rPr>
            </w:pPr>
            <w:r>
              <w:rPr>
                <w:color w:val="000000"/>
                <w:sz w:val="18"/>
                <w:szCs w:val="18"/>
              </w:rPr>
              <w:t>32</w:t>
            </w:r>
          </w:p>
        </w:tc>
        <w:tc>
          <w:tcPr>
            <w:tcW w:w="853" w:type="dxa"/>
            <w:vAlign w:val="center"/>
          </w:tcPr>
          <w:p>
            <w:pPr>
              <w:autoSpaceDE w:val="0"/>
              <w:autoSpaceDN w:val="0"/>
              <w:ind w:firstLine="0" w:firstLineChars="0"/>
              <w:jc w:val="right"/>
              <w:rPr>
                <w:color w:val="000000"/>
                <w:sz w:val="18"/>
                <w:szCs w:val="18"/>
              </w:rPr>
            </w:pPr>
            <w:r>
              <w:rPr>
                <w:color w:val="000000"/>
                <w:sz w:val="18"/>
                <w:szCs w:val="18"/>
              </w:rPr>
              <w:t>33</w:t>
            </w:r>
          </w:p>
        </w:tc>
      </w:tr>
    </w:tbl>
    <w:p>
      <w:pPr>
        <w:ind w:firstLine="420"/>
      </w:pPr>
    </w:p>
    <w:p>
      <w:pPr>
        <w:ind w:firstLine="420"/>
      </w:pPr>
      <w:r>
        <mc:AlternateContent>
          <mc:Choice Requires="wps">
            <w:drawing>
              <wp:anchor distT="0" distB="0" distL="114300" distR="114300" simplePos="0" relativeHeight="251658240" behindDoc="0" locked="0" layoutInCell="1" allowOverlap="1">
                <wp:simplePos x="0" y="0"/>
                <wp:positionH relativeFrom="column">
                  <wp:posOffset>1821815</wp:posOffset>
                </wp:positionH>
                <wp:positionV relativeFrom="paragraph">
                  <wp:posOffset>858520</wp:posOffset>
                </wp:positionV>
                <wp:extent cx="2333625" cy="635"/>
                <wp:effectExtent l="12065" t="10795" r="6985" b="7620"/>
                <wp:wrapNone/>
                <wp:docPr id="3" name="直线 4"/>
                <wp:cNvGraphicFramePr/>
                <a:graphic xmlns:a="http://schemas.openxmlformats.org/drawingml/2006/main">
                  <a:graphicData uri="http://schemas.microsoft.com/office/word/2010/wordprocessingShape">
                    <wps:wsp>
                      <wps:cNvCnPr>
                        <a:cxnSpLocks noChangeShapeType="1"/>
                      </wps:cNvCnPr>
                      <wps:spPr bwMode="auto">
                        <a:xfrm>
                          <a:off x="0" y="0"/>
                          <a:ext cx="2333625" cy="635"/>
                        </a:xfrm>
                        <a:prstGeom prst="line">
                          <a:avLst/>
                        </a:prstGeom>
                        <a:noFill/>
                        <a:ln w="12700">
                          <a:solidFill>
                            <a:srgbClr val="000000"/>
                          </a:solidFill>
                          <a:round/>
                        </a:ln>
                      </wps:spPr>
                      <wps:bodyPr/>
                    </wps:wsp>
                  </a:graphicData>
                </a:graphic>
              </wp:anchor>
            </w:drawing>
          </mc:Choice>
          <mc:Fallback>
            <w:pict>
              <v:line id="直线 4" o:spid="_x0000_s1026" o:spt="20" style="position:absolute;left:0pt;margin-left:143.45pt;margin-top:67.6pt;height:0.05pt;width:183.75pt;z-index:251658240;mso-width-relative:page;mso-height-relative:page;" filled="f" stroked="t" coordsize="21600,21600" o:gfxdata="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1Kjtv2gAAAAsBAAAPAAAAAAAAAAEAIAAAACIAAABkcnMvZG93bnJldi54&#10;bWxQSwECFAAUAAAACACHTuJAFdqxb78BAABWAwAADgAAAAAAAAABACAAAAApAQAAZHJzL2Uyb0Rv&#10;Yy54bWxQSwUGAAAAAAYABgBZAQAAWgUAAAAA&#10;">
                <v:fill on="f" focussize="0,0"/>
                <v:stroke weight="1pt" color="#000000" joinstyle="round"/>
                <v:imagedata o:title=""/>
                <o:lock v:ext="edit" aspectratio="f"/>
              </v:line>
            </w:pict>
          </mc:Fallback>
        </mc:AlternateContent>
      </w:r>
    </w:p>
    <w:sectPr>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altName w:val="宋体"/>
    <w:panose1 w:val="02010600040101010101"/>
    <w:charset w:val="86"/>
    <w:family w:val="auto"/>
    <w:pitch w:val="default"/>
    <w:sig w:usb0="00000000" w:usb1="0000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pPr>
    <w:r>
      <mc:AlternateContent>
        <mc:Choice Requires="wps">
          <w:drawing>
            <wp:anchor distT="0" distB="0" distL="114300" distR="114300" simplePos="0" relativeHeight="251657216" behindDoc="0" locked="0" layoutInCell="1" allowOverlap="1">
              <wp:simplePos x="0" y="0"/>
              <wp:positionH relativeFrom="margin">
                <wp:align>outside</wp:align>
              </wp:positionH>
              <wp:positionV relativeFrom="paragraph">
                <wp:posOffset>0</wp:posOffset>
              </wp:positionV>
              <wp:extent cx="286385" cy="131445"/>
              <wp:effectExtent l="0" t="0" r="0" b="1905"/>
              <wp:wrapNone/>
              <wp:docPr id="2" name="文本框4"/>
              <wp:cNvGraphicFramePr/>
              <a:graphic xmlns:a="http://schemas.openxmlformats.org/drawingml/2006/main">
                <a:graphicData uri="http://schemas.microsoft.com/office/word/2010/wordprocessingShape">
                  <wps:wsp>
                    <wps:cNvSpPr txBox="1">
                      <a:spLocks noChangeArrowheads="1"/>
                    </wps:cNvSpPr>
                    <wps:spPr bwMode="auto">
                      <a:xfrm>
                        <a:off x="0" y="0"/>
                        <a:ext cx="286385" cy="131445"/>
                      </a:xfrm>
                      <a:prstGeom prst="rect">
                        <a:avLst/>
                      </a:prstGeom>
                      <a:noFill/>
                      <a:ln>
                        <a:noFill/>
                      </a:ln>
                    </wps:spPr>
                    <wps:txbx>
                      <w:txbxContent>
                        <w:p>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II</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4" o:spid="_x0000_s1026" o:spt="202" type="#_x0000_t202" style="position:absolute;left:0pt;margin-top:0pt;height:10.35pt;width:22.55pt;mso-position-horizontal:outside;mso-position-horizontal-relative:margin;mso-wrap-style:none;z-index:251657216;mso-width-relative:page;mso-height-relative:page;" filled="f" stroked="f" coordsize="21600,21600" o:gfxdata="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3v9p3&#10;0QAAAAMBAAAPAAAAAAAAAAEAIAAAACIAAABkcnMvZG93bnJldi54bWxQSwECFAAUAAAACACHTuJA&#10;elUsRe8BAACzAwAADgAAAAAAAAABACAAAAAgAQAAZHJzL2Uyb0RvYy54bWxQSwUGAAAAAAYABgBZ&#10;AQAAgQUAAAAA&#10;">
              <v:fill on="f" focussize="0,0"/>
              <v:stroke on="f"/>
              <v:imagedata o:title=""/>
              <o:lock v:ext="edit" aspectratio="f"/>
              <v:textbox inset="0mm,0mm,0mm,0mm" style="mso-fit-shape-to-text:t;">
                <w:txbxContent>
                  <w:p>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II</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286385" cy="131445"/>
              <wp:effectExtent l="0" t="0" r="0" b="1905"/>
              <wp:wrapNone/>
              <wp:docPr id="1" name="文本框5"/>
              <wp:cNvGraphicFramePr/>
              <a:graphic xmlns:a="http://schemas.openxmlformats.org/drawingml/2006/main">
                <a:graphicData uri="http://schemas.microsoft.com/office/word/2010/wordprocessingShape">
                  <wps:wsp>
                    <wps:cNvSpPr txBox="1">
                      <a:spLocks noChangeArrowheads="1"/>
                    </wps:cNvSpPr>
                    <wps:spPr bwMode="auto">
                      <a:xfrm>
                        <a:off x="0" y="0"/>
                        <a:ext cx="286385" cy="131445"/>
                      </a:xfrm>
                      <a:prstGeom prst="rect">
                        <a:avLst/>
                      </a:prstGeom>
                      <a:noFill/>
                      <a:ln>
                        <a:noFill/>
                      </a:ln>
                    </wps:spPr>
                    <wps:txbx>
                      <w:txbxContent>
                        <w:p>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5" o:spid="_x0000_s1026" o:spt="202" type="#_x0000_t202" style="position:absolute;left:0pt;margin-top:0pt;height:10.35pt;width:22.55pt;mso-position-horizontal:outside;mso-position-horizontal-relative:margin;mso-wrap-style:none;z-index:251658240;mso-width-relative:page;mso-height-relative:page;" filled="f" stroked="f" coordsize="21600,21600" o:gfxdata="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e/2nfR&#10;AAAAAwEAAA8AAAAAAAAAAQAgAAAAIgAAAGRycy9kb3ducmV2LnhtbFBLAQIUABQAAAAIAIdO4kBT&#10;Dc3N7gEAALMDAAAOAAAAAAAAAAEAIAAAACABAABkcnMvZTJvRG9jLnhtbFBLBQYAAAAABgAGAFkB&#10;AACABQAAAAA=&#10;">
              <v:fill on="f" focussize="0,0"/>
              <v:stroke on="f"/>
              <v:imagedata o:title=""/>
              <o:lock v:ext="edit" aspectratio="f"/>
              <v:textbox inset="0mm,0mm,0mm,0mm" style="mso-fit-shape-to-text:t;">
                <w:txbxContent>
                  <w:p>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91163"/>
    <w:multiLevelType w:val="multilevel"/>
    <w:tmpl w:val="1FC91163"/>
    <w:lvl w:ilvl="0" w:tentative="0">
      <w:start w:val="1"/>
      <w:numFmt w:val="decimal"/>
      <w:pStyle w:val="20"/>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21"/>
      <w:suff w:val="nothing"/>
      <w:lvlText w:val="%1.%2　"/>
      <w:lvlJc w:val="left"/>
      <w:pPr>
        <w:ind w:left="525"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22"/>
      <w:suff w:val="nothing"/>
      <w:lvlText w:val="%1.%2.%3　"/>
      <w:lvlJc w:val="left"/>
      <w:pPr>
        <w:ind w:left="1134" w:firstLine="0"/>
      </w:pPr>
      <w:rPr>
        <w:rFonts w:hint="default" w:ascii="宋体" w:hAnsi="宋体" w:eastAsia="宋体" w:cs="宋体"/>
        <w:b w:val="0"/>
        <w:bCs w:val="0"/>
        <w:i w:val="0"/>
        <w:sz w:val="21"/>
      </w:rPr>
    </w:lvl>
    <w:lvl w:ilvl="3" w:tentative="0">
      <w:start w:val="1"/>
      <w:numFmt w:val="decimal"/>
      <w:suff w:val="nothing"/>
      <w:lvlText w:val="%1.%2.%3.%4　"/>
      <w:lvlJc w:val="left"/>
      <w:pPr>
        <w:ind w:left="0" w:firstLine="0"/>
      </w:pPr>
      <w:rPr>
        <w:rFonts w:hint="default" w:ascii="宋体" w:hAnsi="宋体" w:eastAsia="宋体" w:cs="宋体"/>
        <w:b w:val="0"/>
        <w:i w:val="0"/>
        <w:sz w:val="21"/>
      </w:rPr>
    </w:lvl>
    <w:lvl w:ilvl="4" w:tentative="0">
      <w:start w:val="1"/>
      <w:numFmt w:val="decimal"/>
      <w:suff w:val="nothing"/>
      <w:lvlText w:val="%1.%2.%3.%4.%5　"/>
      <w:lvlJc w:val="left"/>
      <w:pPr>
        <w:ind w:left="1134" w:firstLine="0"/>
      </w:pPr>
      <w:rPr>
        <w:rFonts w:hint="eastAsia" w:ascii="黑体" w:hAnsi="Times New Roman" w:eastAsia="黑体"/>
        <w:b w:val="0"/>
        <w:i w:val="0"/>
        <w:color w:val="auto"/>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21B0"/>
    <w:rsid w:val="00015061"/>
    <w:rsid w:val="000366A8"/>
    <w:rsid w:val="00041377"/>
    <w:rsid w:val="00061688"/>
    <w:rsid w:val="00062337"/>
    <w:rsid w:val="0009379B"/>
    <w:rsid w:val="000A5B02"/>
    <w:rsid w:val="000E1DDE"/>
    <w:rsid w:val="000E2F43"/>
    <w:rsid w:val="000E5E11"/>
    <w:rsid w:val="00100452"/>
    <w:rsid w:val="0011645B"/>
    <w:rsid w:val="001341A9"/>
    <w:rsid w:val="00160597"/>
    <w:rsid w:val="00167915"/>
    <w:rsid w:val="00172A27"/>
    <w:rsid w:val="00173FA6"/>
    <w:rsid w:val="00176C6E"/>
    <w:rsid w:val="001803DC"/>
    <w:rsid w:val="001B00C2"/>
    <w:rsid w:val="001C4B75"/>
    <w:rsid w:val="001C7EAB"/>
    <w:rsid w:val="00210F2B"/>
    <w:rsid w:val="00244FCF"/>
    <w:rsid w:val="0025784F"/>
    <w:rsid w:val="00260B99"/>
    <w:rsid w:val="00271B65"/>
    <w:rsid w:val="00273A27"/>
    <w:rsid w:val="00282078"/>
    <w:rsid w:val="002C6F5E"/>
    <w:rsid w:val="002D17BA"/>
    <w:rsid w:val="002F1FE9"/>
    <w:rsid w:val="00303E23"/>
    <w:rsid w:val="0036158A"/>
    <w:rsid w:val="0036689F"/>
    <w:rsid w:val="00381D59"/>
    <w:rsid w:val="003A0DF4"/>
    <w:rsid w:val="003B5AD1"/>
    <w:rsid w:val="00414A1F"/>
    <w:rsid w:val="00420D59"/>
    <w:rsid w:val="00423A97"/>
    <w:rsid w:val="0042485B"/>
    <w:rsid w:val="00435BA6"/>
    <w:rsid w:val="004378A6"/>
    <w:rsid w:val="00440123"/>
    <w:rsid w:val="00443465"/>
    <w:rsid w:val="0045025F"/>
    <w:rsid w:val="004556A7"/>
    <w:rsid w:val="004641D9"/>
    <w:rsid w:val="0048398E"/>
    <w:rsid w:val="00485E06"/>
    <w:rsid w:val="004C508F"/>
    <w:rsid w:val="004D0035"/>
    <w:rsid w:val="005130E8"/>
    <w:rsid w:val="005509B5"/>
    <w:rsid w:val="00551412"/>
    <w:rsid w:val="00556634"/>
    <w:rsid w:val="005618C5"/>
    <w:rsid w:val="005B094C"/>
    <w:rsid w:val="005B2411"/>
    <w:rsid w:val="005C1FDD"/>
    <w:rsid w:val="005D49C9"/>
    <w:rsid w:val="0062506B"/>
    <w:rsid w:val="0063136A"/>
    <w:rsid w:val="006460C2"/>
    <w:rsid w:val="00691B52"/>
    <w:rsid w:val="006B494D"/>
    <w:rsid w:val="006C4621"/>
    <w:rsid w:val="006D625C"/>
    <w:rsid w:val="00700046"/>
    <w:rsid w:val="0071046F"/>
    <w:rsid w:val="00766B3C"/>
    <w:rsid w:val="0076765E"/>
    <w:rsid w:val="00781410"/>
    <w:rsid w:val="007946B4"/>
    <w:rsid w:val="007A24BB"/>
    <w:rsid w:val="007A2F8D"/>
    <w:rsid w:val="007E33B9"/>
    <w:rsid w:val="007F7C97"/>
    <w:rsid w:val="00861D22"/>
    <w:rsid w:val="00866789"/>
    <w:rsid w:val="008718DB"/>
    <w:rsid w:val="00926DD4"/>
    <w:rsid w:val="0092714D"/>
    <w:rsid w:val="0095040C"/>
    <w:rsid w:val="009727F4"/>
    <w:rsid w:val="009743F1"/>
    <w:rsid w:val="0097462F"/>
    <w:rsid w:val="009B05EB"/>
    <w:rsid w:val="009C1B67"/>
    <w:rsid w:val="009E0278"/>
    <w:rsid w:val="009F0232"/>
    <w:rsid w:val="009F156A"/>
    <w:rsid w:val="00A40678"/>
    <w:rsid w:val="00A42EC9"/>
    <w:rsid w:val="00A56240"/>
    <w:rsid w:val="00A924D2"/>
    <w:rsid w:val="00A95798"/>
    <w:rsid w:val="00A96821"/>
    <w:rsid w:val="00AB078F"/>
    <w:rsid w:val="00AC0017"/>
    <w:rsid w:val="00AD2D55"/>
    <w:rsid w:val="00AE23D4"/>
    <w:rsid w:val="00B41D78"/>
    <w:rsid w:val="00B45412"/>
    <w:rsid w:val="00B51827"/>
    <w:rsid w:val="00B84C92"/>
    <w:rsid w:val="00B939B5"/>
    <w:rsid w:val="00B964FB"/>
    <w:rsid w:val="00BA1157"/>
    <w:rsid w:val="00BC7BC0"/>
    <w:rsid w:val="00BD7FD6"/>
    <w:rsid w:val="00BE0106"/>
    <w:rsid w:val="00C10D7E"/>
    <w:rsid w:val="00C16FFB"/>
    <w:rsid w:val="00C36844"/>
    <w:rsid w:val="00C40BF3"/>
    <w:rsid w:val="00C50AAE"/>
    <w:rsid w:val="00C72034"/>
    <w:rsid w:val="00C91D03"/>
    <w:rsid w:val="00CA0DA5"/>
    <w:rsid w:val="00CB140D"/>
    <w:rsid w:val="00CB4834"/>
    <w:rsid w:val="00CE4338"/>
    <w:rsid w:val="00D10286"/>
    <w:rsid w:val="00D17B07"/>
    <w:rsid w:val="00D81EB2"/>
    <w:rsid w:val="00DA592E"/>
    <w:rsid w:val="00DC344D"/>
    <w:rsid w:val="00DC62A1"/>
    <w:rsid w:val="00DE7F50"/>
    <w:rsid w:val="00E01A2C"/>
    <w:rsid w:val="00E26323"/>
    <w:rsid w:val="00E26B7E"/>
    <w:rsid w:val="00E31199"/>
    <w:rsid w:val="00E54D87"/>
    <w:rsid w:val="00E76229"/>
    <w:rsid w:val="00E84B51"/>
    <w:rsid w:val="00EA1413"/>
    <w:rsid w:val="00EA278B"/>
    <w:rsid w:val="00EB4461"/>
    <w:rsid w:val="00EE1120"/>
    <w:rsid w:val="00EF5E44"/>
    <w:rsid w:val="00F1316E"/>
    <w:rsid w:val="00F27068"/>
    <w:rsid w:val="00F27C66"/>
    <w:rsid w:val="00F807E1"/>
    <w:rsid w:val="00F930BD"/>
    <w:rsid w:val="00FA200C"/>
    <w:rsid w:val="00FB34BD"/>
    <w:rsid w:val="00FB521D"/>
    <w:rsid w:val="01487863"/>
    <w:rsid w:val="080644EC"/>
    <w:rsid w:val="08802A35"/>
    <w:rsid w:val="0A232D15"/>
    <w:rsid w:val="0B485336"/>
    <w:rsid w:val="0BDA0711"/>
    <w:rsid w:val="0F1C43D1"/>
    <w:rsid w:val="0F913151"/>
    <w:rsid w:val="0FA103C9"/>
    <w:rsid w:val="14D32F24"/>
    <w:rsid w:val="1A4C4B69"/>
    <w:rsid w:val="1B9F18D1"/>
    <w:rsid w:val="1D17310E"/>
    <w:rsid w:val="1FB41EDE"/>
    <w:rsid w:val="224C30D2"/>
    <w:rsid w:val="24CF65A6"/>
    <w:rsid w:val="281C7DF4"/>
    <w:rsid w:val="2C2B0A58"/>
    <w:rsid w:val="2CF92DD7"/>
    <w:rsid w:val="2DC9201F"/>
    <w:rsid w:val="2F6A197D"/>
    <w:rsid w:val="2FDA6FD8"/>
    <w:rsid w:val="30F57731"/>
    <w:rsid w:val="31A11CF0"/>
    <w:rsid w:val="33F866E1"/>
    <w:rsid w:val="348C37DB"/>
    <w:rsid w:val="35342BBE"/>
    <w:rsid w:val="3E316F08"/>
    <w:rsid w:val="3F683DFD"/>
    <w:rsid w:val="40FA2204"/>
    <w:rsid w:val="415575B9"/>
    <w:rsid w:val="421D4C59"/>
    <w:rsid w:val="42544EA5"/>
    <w:rsid w:val="43083AC6"/>
    <w:rsid w:val="430E7574"/>
    <w:rsid w:val="44E04FB1"/>
    <w:rsid w:val="47DE2523"/>
    <w:rsid w:val="48EF5E54"/>
    <w:rsid w:val="491D555F"/>
    <w:rsid w:val="4B604215"/>
    <w:rsid w:val="4BAB0459"/>
    <w:rsid w:val="4C4D7B1F"/>
    <w:rsid w:val="51B1169D"/>
    <w:rsid w:val="52351AFA"/>
    <w:rsid w:val="53AF5E89"/>
    <w:rsid w:val="54E96AEC"/>
    <w:rsid w:val="550C29EC"/>
    <w:rsid w:val="568F2BD7"/>
    <w:rsid w:val="57B24105"/>
    <w:rsid w:val="58FB6B6E"/>
    <w:rsid w:val="59662B1F"/>
    <w:rsid w:val="5C99455F"/>
    <w:rsid w:val="609B27E3"/>
    <w:rsid w:val="60E26C75"/>
    <w:rsid w:val="62347EC6"/>
    <w:rsid w:val="638C6BA7"/>
    <w:rsid w:val="67E15D4D"/>
    <w:rsid w:val="686817DE"/>
    <w:rsid w:val="697926DA"/>
    <w:rsid w:val="6AC4204B"/>
    <w:rsid w:val="6EC424B4"/>
    <w:rsid w:val="6F316F7A"/>
    <w:rsid w:val="705A49B7"/>
    <w:rsid w:val="73946243"/>
    <w:rsid w:val="77B8787A"/>
    <w:rsid w:val="788C7612"/>
    <w:rsid w:val="7AE903AD"/>
    <w:rsid w:val="7B100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2">
    <w:name w:val="annotation text"/>
    <w:basedOn w:val="1"/>
    <w:link w:val="15"/>
    <w:unhideWhenUsed/>
    <w:uiPriority w:val="99"/>
    <w:pPr>
      <w:jc w:val="left"/>
    </w:pPr>
  </w:style>
  <w:style w:type="paragraph" w:styleId="3">
    <w:name w:val="Balloon Text"/>
    <w:basedOn w:val="1"/>
    <w:link w:val="14"/>
    <w:unhideWhenUsed/>
    <w:uiPriority w:val="99"/>
    <w:rPr>
      <w:sz w:val="18"/>
      <w:szCs w:val="18"/>
    </w:rPr>
  </w:style>
  <w:style w:type="paragraph" w:styleId="4">
    <w:name w:val="footer"/>
    <w:basedOn w:val="1"/>
    <w:unhideWhenUsed/>
    <w:uiPriority w:val="0"/>
    <w:pPr>
      <w:tabs>
        <w:tab w:val="center" w:pos="4153"/>
        <w:tab w:val="right" w:pos="8306"/>
      </w:tabs>
      <w:snapToGrid w:val="0"/>
      <w:jc w:val="left"/>
    </w:pPr>
    <w:rPr>
      <w:sz w:val="18"/>
    </w:rPr>
  </w:style>
  <w:style w:type="paragraph" w:styleId="5">
    <w:name w:val="header"/>
    <w:basedOn w:val="1"/>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Subtitle"/>
    <w:basedOn w:val="1"/>
    <w:next w:val="1"/>
    <w:link w:val="16"/>
    <w:qFormat/>
    <w:uiPriority w:val="11"/>
    <w:pPr>
      <w:spacing w:before="240" w:after="60" w:line="312" w:lineRule="auto"/>
      <w:jc w:val="center"/>
      <w:outlineLvl w:val="1"/>
    </w:pPr>
    <w:rPr>
      <w:rFonts w:ascii="Cambria" w:hAnsi="Cambria"/>
      <w:b/>
      <w:bCs/>
      <w:kern w:val="28"/>
      <w:sz w:val="32"/>
      <w:szCs w:val="32"/>
    </w:rPr>
  </w:style>
  <w:style w:type="paragraph" w:styleId="7">
    <w:name w:val="annotation subject"/>
    <w:basedOn w:val="2"/>
    <w:next w:val="2"/>
    <w:link w:val="17"/>
    <w:unhideWhenUsed/>
    <w:qFormat/>
    <w:uiPriority w:val="99"/>
    <w:rPr>
      <w:b/>
      <w:bCs/>
    </w:rPr>
  </w:style>
  <w:style w:type="table" w:styleId="9">
    <w:name w:val="Table Grid"/>
    <w:basedOn w:val="8"/>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11">
    <w:name w:val="page number"/>
    <w:basedOn w:val="10"/>
    <w:unhideWhenUsed/>
    <w:uiPriority w:val="99"/>
  </w:style>
  <w:style w:type="character" w:styleId="12">
    <w:name w:val="Hyperlink"/>
    <w:unhideWhenUsed/>
    <w:uiPriority w:val="99"/>
    <w:rPr>
      <w:color w:val="0000FF"/>
      <w:u w:val="single"/>
    </w:rPr>
  </w:style>
  <w:style w:type="character" w:styleId="13">
    <w:name w:val="annotation reference"/>
    <w:unhideWhenUsed/>
    <w:qFormat/>
    <w:uiPriority w:val="99"/>
    <w:rPr>
      <w:sz w:val="21"/>
      <w:szCs w:val="21"/>
    </w:rPr>
  </w:style>
  <w:style w:type="character" w:customStyle="1" w:styleId="14">
    <w:name w:val="批注框文本 Char"/>
    <w:link w:val="3"/>
    <w:semiHidden/>
    <w:qFormat/>
    <w:uiPriority w:val="99"/>
    <w:rPr>
      <w:kern w:val="2"/>
      <w:sz w:val="18"/>
      <w:szCs w:val="18"/>
    </w:rPr>
  </w:style>
  <w:style w:type="character" w:customStyle="1" w:styleId="15">
    <w:name w:val="批注文字 Char"/>
    <w:link w:val="2"/>
    <w:semiHidden/>
    <w:uiPriority w:val="99"/>
    <w:rPr>
      <w:kern w:val="2"/>
      <w:sz w:val="21"/>
      <w:szCs w:val="24"/>
    </w:rPr>
  </w:style>
  <w:style w:type="character" w:customStyle="1" w:styleId="16">
    <w:name w:val="副标题 Char"/>
    <w:link w:val="6"/>
    <w:uiPriority w:val="11"/>
    <w:rPr>
      <w:rFonts w:ascii="Cambria" w:hAnsi="Cambria" w:cs="Times New Roman"/>
      <w:b/>
      <w:bCs/>
      <w:kern w:val="28"/>
      <w:sz w:val="32"/>
      <w:szCs w:val="32"/>
    </w:rPr>
  </w:style>
  <w:style w:type="character" w:customStyle="1" w:styleId="17">
    <w:name w:val="批注主题 Char"/>
    <w:link w:val="7"/>
    <w:semiHidden/>
    <w:qFormat/>
    <w:uiPriority w:val="99"/>
    <w:rPr>
      <w:b/>
      <w:bCs/>
      <w:kern w:val="2"/>
      <w:sz w:val="21"/>
      <w:szCs w:val="24"/>
    </w:rPr>
  </w:style>
  <w:style w:type="paragraph" w:customStyle="1" w:styleId="18">
    <w:name w:val="前言、引言标题"/>
    <w:next w:val="19"/>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9">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0">
    <w:name w:val="章标题"/>
    <w:next w:val="19"/>
    <w:uiPriority w:val="0"/>
    <w:pPr>
      <w:numPr>
        <w:ilvl w:val="0"/>
        <w:numId w:val="1"/>
      </w:num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21">
    <w:name w:val="一级条标题"/>
    <w:next w:val="19"/>
    <w:qFormat/>
    <w:uiPriority w:val="0"/>
    <w:pPr>
      <w:numPr>
        <w:ilvl w:val="1"/>
        <w:numId w:val="1"/>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22">
    <w:name w:val="二级条标题"/>
    <w:basedOn w:val="21"/>
    <w:next w:val="19"/>
    <w:qFormat/>
    <w:uiPriority w:val="0"/>
    <w:pPr>
      <w:numPr>
        <w:ilvl w:val="2"/>
      </w:numPr>
      <w:spacing w:before="50" w:beforeLines="0" w:after="50" w:afterLines="0"/>
      <w:outlineLvl w:val="3"/>
    </w:pPr>
  </w:style>
  <w:style w:type="paragraph" w:customStyle="1" w:styleId="23">
    <w:name w:val="目次、标准名称标题"/>
    <w:basedOn w:val="1"/>
    <w:next w:val="19"/>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4">
    <w:name w:val="文献分类号"/>
    <w:qFormat/>
    <w:uiPriority w:val="0"/>
    <w:pPr>
      <w:widowControl w:val="0"/>
    </w:pPr>
    <w:rPr>
      <w:rFonts w:ascii="Times New Roman" w:hAnsi="Times New Roman" w:eastAsia="黑体" w:cs="Times New Roman"/>
      <w:lang w:val="en-US" w:eastAsia="zh-CN" w:bidi="ar-SA"/>
    </w:rPr>
  </w:style>
  <w:style w:type="paragraph" w:customStyle="1" w:styleId="25">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26">
    <w:name w:val="修订1"/>
    <w:unhideWhenUsed/>
    <w:uiPriority w:val="99"/>
    <w:rPr>
      <w:rFonts w:ascii="Times New Roman" w:hAnsi="Times New Roman" w:eastAsia="宋体" w:cs="Times New Roman"/>
      <w:kern w:val="2"/>
      <w:sz w:val="21"/>
      <w:szCs w:val="24"/>
      <w:lang w:val="en-US" w:eastAsia="zh-CN" w:bidi="ar-SA"/>
    </w:rPr>
  </w:style>
  <w:style w:type="paragraph" w:customStyle="1" w:styleId="27">
    <w:name w:val="一级无"/>
    <w:basedOn w:val="21"/>
    <w:qFormat/>
    <w:uiPriority w:val="0"/>
    <w:pPr>
      <w:spacing w:before="0" w:beforeLines="0" w:after="0" w:afterLines="0"/>
    </w:pPr>
    <w:rPr>
      <w:rFonts w:ascii="宋体" w:eastAsia="宋体"/>
    </w:rPr>
  </w:style>
  <w:style w:type="paragraph" w:customStyle="1" w:styleId="28">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29">
    <w:name w:val="二级无"/>
    <w:basedOn w:val="22"/>
    <w:uiPriority w:val="0"/>
    <w:pPr>
      <w:spacing w:before="0" w:after="0"/>
    </w:pPr>
    <w:rPr>
      <w:rFonts w:ascii="宋体" w:eastAsia="宋体"/>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ReviewRoot xmlns="http://www.founder.com/review">
  <DuplicateChecking Path="C:\Users\fdfds\AppData\Local\Temp\44949e8a-579e-47c4-8d16-f98715ac243b.xml"/>
  <Review inspectType="易错词检查" inspectCategory="可疑" rule="" lookup="相邻" content="相临" source="" context="温显著增高，温度高于相临点粮温5℃以上。" id="72336"/>
  <Review inspectType="易错词检查" inspectCategory="可疑" rule="" lookup="要对账" content="要对帐" source="" context="防风固定绳。覆盖前，要对帐幕进行检查，发现孔洞" id="3032412"/>
</ReviewRoot>
</file>

<file path=customXml/item3.xml><?xml version="1.0" encoding="utf-8"?>
<ReviewRoot xmlns="http://www.founder.com/operation">
  <CorrigendumButton current="71735" previous="142153"/>
</ReviewRoo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958722-9768-4DC1-BD32-EC556EF26BA2}">
  <ds:schemaRefs/>
</ds:datastoreItem>
</file>

<file path=customXml/itemProps3.xml><?xml version="1.0" encoding="utf-8"?>
<ds:datastoreItem xmlns:ds="http://schemas.openxmlformats.org/officeDocument/2006/customXml" ds:itemID="{65867984-5B60-4BDA-BE4E-39A1390EF81F}">
  <ds:schemaRefs/>
</ds:datastoreItem>
</file>

<file path=docProps/app.xml><?xml version="1.0" encoding="utf-8"?>
<Properties xmlns="http://schemas.openxmlformats.org/officeDocument/2006/extended-properties" xmlns:vt="http://schemas.openxmlformats.org/officeDocument/2006/docPropsVTypes">
  <Template>Normal.dotm</Template>
  <Company>cdlks</Company>
  <Pages>8</Pages>
  <Words>700</Words>
  <Characters>3991</Characters>
  <Lines>33</Lines>
  <Paragraphs>9</Paragraphs>
  <TotalTime>3</TotalTime>
  <ScaleCrop>false</ScaleCrop>
  <LinksUpToDate>false</LinksUpToDate>
  <CharactersWithSpaces>4682</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2020-03-03T05:52:00Z</dcterms:created>
  <dc:creator>yxp</dc:creator>
  <cp:lastModifiedBy>Lenovo</cp:lastModifiedBy>
  <dcterms:modified xsi:type="dcterms:W3CDTF">2021-01-18T01:41:22Z</dcterms:modified>
  <dc:title>ICS  13.120.00</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ies>
</file>