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A766C" w:rsidRDefault="007A766C">
      <w:pPr>
        <w:pStyle w:val="afff"/>
        <w:spacing w:line="500" w:lineRule="exact"/>
        <w:sectPr w:rsidR="007A766C">
          <w:headerReference w:type="even" r:id="rId7"/>
          <w:headerReference w:type="default" r:id="rId8"/>
          <w:footerReference w:type="even" r:id="rId9"/>
          <w:footerReference w:type="default" r:id="rId10"/>
          <w:headerReference w:type="first" r:id="rId11"/>
          <w:footerReference w:type="first" r:id="rId12"/>
          <w:pgSz w:w="11907" w:h="16839"/>
          <w:pgMar w:top="567" w:right="851" w:bottom="1361" w:left="1418" w:header="0" w:footer="0" w:gutter="0"/>
          <w:pgNumType w:start="1"/>
          <w:cols w:space="425"/>
          <w:titlePg/>
          <w:docGrid w:type="lines" w:linePitch="312"/>
        </w:sectPr>
      </w:pPr>
      <w:bookmarkStart w:id="0" w:name="SectionMark0"/>
      <w:bookmarkStart w:id="1" w:name="_GoBack"/>
      <w:bookmarkEnd w:id="1"/>
      <w:r>
        <w:rPr>
          <w:noProof/>
        </w:rPr>
        <w:pict>
          <v:line id="_x0000_s1035" style="position:absolute;left:0;text-align:left;z-index:251662336" from="0,700pt" to="482pt,700pt" strokecolor="none" strokeweight="1pt"/>
        </w:pict>
      </w:r>
      <w:r>
        <w:rPr>
          <w:noProof/>
        </w:rPr>
        <w:pict>
          <v:line id="_x0000_s1034" style="position:absolute;left:0;text-align:left;z-index:251661312" from="0,179pt" to="482pt,179pt" strokecolor="none" strokeweight="1pt"/>
        </w:pict>
      </w:r>
      <w:r>
        <w:rPr>
          <w:noProof/>
        </w:rPr>
        <w:pict>
          <v:shapetype id="_x0000_t202" coordsize="21600,21600" o:spt="202" path="m,l,21600r21600,l21600,xe">
            <v:stroke joinstyle="miter"/>
            <v:path gradientshapeok="t" o:connecttype="rect"/>
          </v:shapetype>
          <v:shape id="fmFrame7" o:spid="_x0000_s1033" type="#_x0000_t202" style="position:absolute;left:0;text-align:left;margin-left:0;margin-top:717.2pt;width:481.9pt;height:28.6pt;z-index:251660288;mso-position-horizontal-relative:margin;mso-position-vertical-relative:margin" stroked="f">
            <v:textbox style="mso-next-textbox:#fmFrame7" inset="0,0,0,0">
              <w:txbxContent>
                <w:p w:rsidR="007A766C" w:rsidRDefault="007A766C">
                  <w:pPr>
                    <w:pStyle w:val="aff7"/>
                  </w:pPr>
                  <w:r>
                    <w:rPr>
                      <w:rFonts w:hint="eastAsia"/>
                    </w:rPr>
                    <w:t>中国储备粮管理总公司</w:t>
                  </w:r>
                  <w:r>
                    <w:rPr>
                      <w:rStyle w:val="aff6"/>
                      <w:rFonts w:hint="eastAsia"/>
                    </w:rPr>
                    <w:t>发布</w:t>
                  </w:r>
                </w:p>
              </w:txbxContent>
            </v:textbox>
            <w10:wrap anchorx="margin" anchory="margin"/>
            <w10:anchorlock/>
          </v:shape>
        </w:pict>
      </w:r>
      <w:r>
        <w:rPr>
          <w:noProof/>
        </w:rPr>
        <w:pict>
          <v:shape id="fmFrame6" o:spid="_x0000_s1032" type="#_x0000_t202" style="position:absolute;left:0;text-align:left;margin-left:322.9pt;margin-top:674.3pt;width:159pt;height:24.6pt;z-index:251659264;mso-position-horizontal-relative:margin;mso-position-vertical-relative:margin" stroked="f">
            <v:textbox style="mso-next-textbox:#fmFrame6" inset="0,0,0,0">
              <w:txbxContent>
                <w:p w:rsidR="007A766C" w:rsidRDefault="007A766C">
                  <w:pPr>
                    <w:pStyle w:val="afff8"/>
                  </w:pPr>
                  <w:r>
                    <w:rPr>
                      <w:rFonts w:hint="eastAsia"/>
                    </w:rPr>
                    <w:t>2008-02-20</w:t>
                  </w:r>
                  <w:r>
                    <w:rPr>
                      <w:rFonts w:hint="eastAsia"/>
                    </w:rPr>
                    <w:t>实施</w:t>
                  </w:r>
                </w:p>
              </w:txbxContent>
            </v:textbox>
            <w10:wrap anchorx="margin" anchory="margin"/>
            <w10:anchorlock/>
          </v:shape>
        </w:pict>
      </w:r>
      <w:r>
        <w:rPr>
          <w:noProof/>
        </w:rPr>
        <w:pict>
          <v:shape id="fmFrame5" o:spid="_x0000_s1031" type="#_x0000_t202" style="position:absolute;left:0;text-align:left;margin-left:0;margin-top:674.3pt;width:159pt;height:24.6pt;z-index:251658240;mso-position-horizontal-relative:margin;mso-position-vertical-relative:margin" stroked="f">
            <v:textbox style="mso-next-textbox:#fmFrame5" inset="0,0,0,0">
              <w:txbxContent>
                <w:p w:rsidR="007A766C" w:rsidRDefault="007A766C">
                  <w:pPr>
                    <w:pStyle w:val="aff8"/>
                  </w:pPr>
                  <w:r>
                    <w:rPr>
                      <w:rFonts w:hint="eastAsia"/>
                    </w:rPr>
                    <w:t>2008-02-20</w:t>
                  </w:r>
                  <w:r>
                    <w:rPr>
                      <w:rFonts w:hint="eastAsia"/>
                    </w:rPr>
                    <w:t>发布</w:t>
                  </w:r>
                </w:p>
              </w:txbxContent>
            </v:textbox>
            <w10:wrap anchorx="margin" anchory="margin"/>
            <w10:anchorlock/>
          </v:shape>
        </w:pict>
      </w:r>
      <w:r>
        <w:rPr>
          <w:noProof/>
        </w:rPr>
        <w:pict>
          <v:shape id="fmFrame4" o:spid="_x0000_s1030" type="#_x0000_t202" style="position:absolute;left:0;text-align:left;margin-left:0;margin-top:286.25pt;width:470pt;height:368.6pt;z-index:251657216;mso-position-horizontal-relative:margin;mso-position-vertical-relative:margin" stroked="f">
            <v:textbox style="mso-next-textbox:#fmFrame4" inset="0,0,0,0">
              <w:txbxContent>
                <w:p w:rsidR="007A766C" w:rsidRDefault="007A766C">
                  <w:pPr>
                    <w:pStyle w:val="affa"/>
                    <w:rPr>
                      <w:rFonts w:hint="eastAsia"/>
                    </w:rPr>
                  </w:pPr>
                  <w:r>
                    <w:rPr>
                      <w:rFonts w:hint="eastAsia"/>
                    </w:rPr>
                    <w:t>稻谷控温储藏技术规程</w:t>
                  </w:r>
                </w:p>
                <w:p w:rsidR="007A766C" w:rsidRDefault="007A766C">
                  <w:pPr>
                    <w:pStyle w:val="affd"/>
                  </w:pPr>
                  <w:r>
                    <w:rPr>
                      <w:rFonts w:hint="eastAsia"/>
                    </w:rPr>
                    <w:t xml:space="preserve">Technical </w:t>
                  </w:r>
                  <w:r>
                    <w:t>regulation of temperture control</w:t>
                  </w:r>
                  <w:r>
                    <w:rPr>
                      <w:rFonts w:hint="eastAsia"/>
                    </w:rPr>
                    <w:t xml:space="preserve"> of</w:t>
                  </w:r>
                  <w:r>
                    <w:t xml:space="preserve"> paddy storage</w:t>
                  </w:r>
                </w:p>
                <w:p w:rsidR="007A766C" w:rsidRDefault="007A766C">
                  <w:pPr>
                    <w:pStyle w:val="affe"/>
                    <w:rPr>
                      <w:rFonts w:hint="eastAsia"/>
                      <w:sz w:val="24"/>
                    </w:rPr>
                  </w:pPr>
                  <w:r>
                    <w:rPr>
                      <w:rFonts w:hint="eastAsia"/>
                      <w:sz w:val="24"/>
                    </w:rPr>
                    <w:t>（试行）</w:t>
                  </w:r>
                </w:p>
                <w:p w:rsidR="007A766C" w:rsidRDefault="007A766C">
                  <w:pPr>
                    <w:pStyle w:val="affc"/>
                    <w:rPr>
                      <w:rFonts w:hint="eastAsia"/>
                    </w:rPr>
                  </w:pPr>
                </w:p>
                <w:p w:rsidR="007A766C" w:rsidRDefault="007A766C">
                  <w:pPr>
                    <w:pStyle w:val="affb"/>
                  </w:pPr>
                </w:p>
              </w:txbxContent>
            </v:textbox>
            <w10:wrap anchorx="margin" anchory="margin"/>
            <w10:anchorlock/>
          </v:shape>
        </w:pict>
      </w:r>
      <w:r>
        <w:rPr>
          <w:noProof/>
        </w:rPr>
        <w:pict>
          <v:shape id="fmFrame3" o:spid="_x0000_s1029" type="#_x0000_t202" style="position:absolute;left:0;text-align:left;margin-left:0;margin-top:110.35pt;width:456.9pt;height:67.75pt;z-index:251656192;mso-position-horizontal-relative:margin;mso-position-vertical-relative:margin" stroked="f">
            <v:textbox style="mso-next-textbox:#fmFrame3" inset="0,0,0,0">
              <w:txbxContent>
                <w:p w:rsidR="007A766C" w:rsidRDefault="007A766C">
                  <w:pPr>
                    <w:pStyle w:val="10"/>
                  </w:pPr>
                  <w:r>
                    <w:t>Q/ZCL T6—2008</w:t>
                  </w:r>
                </w:p>
              </w:txbxContent>
            </v:textbox>
            <w10:wrap anchorx="margin" anchory="margin"/>
            <w10:anchorlock/>
          </v:shape>
        </w:pict>
      </w:r>
      <w:r>
        <w:rPr>
          <w:noProof/>
        </w:rPr>
        <w:pict>
          <v:shape id="fmFrame8" o:spid="_x0000_s1028" type="#_x0000_t202" style="position:absolute;left:0;text-align:left;margin-left:200.75pt;margin-top:8.45pt;width:250pt;height:56.7pt;z-index:251655168;mso-position-horizontal-relative:margin;mso-position-vertical-relative:margin" stroked="f">
            <v:textbox style="mso-next-textbox:#fmFrame8" inset="0,0,0,0">
              <w:txbxContent>
                <w:p w:rsidR="007A766C" w:rsidRDefault="007A766C">
                  <w:pPr>
                    <w:pStyle w:val="afc"/>
                  </w:pPr>
                  <w:r>
                    <w:t>Q/ZCL</w:t>
                  </w:r>
                </w:p>
              </w:txbxContent>
            </v:textbox>
            <w10:wrap anchorx="margin" anchory="margin"/>
            <w10:anchorlock/>
          </v:shape>
        </w:pict>
      </w:r>
      <w:r>
        <w:rPr>
          <w:noProof/>
        </w:rPr>
        <w:pict>
          <v:shape id="fmFrame2" o:spid="_x0000_s1027" type="#_x0000_t202" style="position:absolute;left:0;text-align:left;margin-left:0;margin-top:79.6pt;width:481.9pt;height:30.8pt;z-index:251654144;mso-position-horizontal-relative:margin;mso-position-vertical-relative:margin" stroked="f">
            <v:textbox style="mso-next-textbox:#fmFrame2" inset="0,0,0,0">
              <w:txbxContent>
                <w:p w:rsidR="007A766C" w:rsidRDefault="007A766C">
                  <w:pPr>
                    <w:pStyle w:val="afff6"/>
                  </w:pPr>
                  <w:r>
                    <w:rPr>
                      <w:rFonts w:hint="eastAsia"/>
                    </w:rPr>
                    <w:t>中国储备粮管理总公司企业标准</w:t>
                  </w:r>
                </w:p>
              </w:txbxContent>
            </v:textbox>
            <w10:wrap anchorx="margin" anchory="margin"/>
            <w10:anchorlock/>
          </v:shape>
        </w:pict>
      </w:r>
      <w:r>
        <w:rPr>
          <w:noProof/>
        </w:rPr>
        <w:pict>
          <v:shape id="fmFrame1" o:spid="_x0000_s1026" type="#_x0000_t202" style="position:absolute;left:0;text-align:left;margin-left:0;margin-top:0;width:200pt;height:51.8pt;z-index:251653120;mso-position-horizontal-relative:margin;mso-position-vertical-relative:margin" stroked="f">
            <v:textbox style="mso-next-textbox:#fmFrame1" inset="0,0,0,0">
              <w:txbxContent>
                <w:p w:rsidR="007A766C" w:rsidRDefault="007A766C">
                  <w:pPr>
                    <w:pStyle w:val="afffc"/>
                    <w:rPr>
                      <w:rFonts w:hint="eastAsia"/>
                    </w:rPr>
                  </w:pPr>
                </w:p>
                <w:p w:rsidR="007A766C" w:rsidRDefault="007A766C">
                  <w:pPr>
                    <w:pStyle w:val="afffc"/>
                  </w:pPr>
                </w:p>
                <w:p w:rsidR="007A766C" w:rsidRDefault="007A766C">
                  <w:pPr>
                    <w:pStyle w:val="afffc"/>
                  </w:pPr>
                </w:p>
              </w:txbxContent>
            </v:textbox>
            <w10:wrap anchorx="margin" anchory="margin"/>
            <w10:anchorlock/>
          </v:shape>
        </w:pict>
      </w:r>
    </w:p>
    <w:p w:rsidR="007A766C" w:rsidRDefault="007A766C">
      <w:pPr>
        <w:spacing w:line="500" w:lineRule="exact"/>
        <w:jc w:val="center"/>
        <w:rPr>
          <w:rFonts w:ascii="仿宋_GB2312" w:eastAsia="黑体"/>
          <w:bCs/>
          <w:sz w:val="32"/>
          <w:szCs w:val="36"/>
        </w:rPr>
      </w:pPr>
      <w:bookmarkStart w:id="2" w:name="SectionMark4"/>
      <w:bookmarkEnd w:id="0"/>
      <w:r>
        <w:rPr>
          <w:rFonts w:ascii="仿宋_GB2312" w:eastAsia="黑体" w:hint="eastAsia"/>
          <w:bCs/>
          <w:sz w:val="32"/>
          <w:szCs w:val="36"/>
        </w:rPr>
        <w:lastRenderedPageBreak/>
        <w:t>前</w:t>
      </w:r>
      <w:r>
        <w:rPr>
          <w:rFonts w:ascii="仿宋_GB2312" w:eastAsia="黑体" w:hint="eastAsia"/>
          <w:bCs/>
          <w:sz w:val="32"/>
          <w:szCs w:val="36"/>
        </w:rPr>
        <w:t xml:space="preserve">     </w:t>
      </w:r>
      <w:r>
        <w:rPr>
          <w:rFonts w:ascii="仿宋_GB2312" w:eastAsia="黑体" w:hint="eastAsia"/>
          <w:bCs/>
          <w:sz w:val="32"/>
          <w:szCs w:val="36"/>
        </w:rPr>
        <w:t>言</w:t>
      </w:r>
    </w:p>
    <w:p w:rsidR="007A766C" w:rsidRDefault="007A766C">
      <w:pPr>
        <w:pStyle w:val="10"/>
        <w:spacing w:line="500" w:lineRule="exact"/>
        <w:ind w:right="1075" w:firstLineChars="200" w:firstLine="420"/>
        <w:jc w:val="both"/>
        <w:rPr>
          <w:rFonts w:ascii="仿宋_GB2312"/>
          <w:sz w:val="21"/>
        </w:rPr>
      </w:pPr>
      <w:r>
        <w:rPr>
          <w:rFonts w:ascii="仿宋_GB2312" w:hint="eastAsia"/>
          <w:sz w:val="21"/>
          <w:szCs w:val="28"/>
        </w:rPr>
        <w:t>本规程是针对华南高温高湿储粮生态区、华中华东热湿储粮生态区和云贵中温低湿储粮生态区的地理、气候特点，为实现这些地区稻谷控温储藏而制定的。</w:t>
      </w:r>
    </w:p>
    <w:p w:rsidR="007A766C" w:rsidRDefault="007A766C">
      <w:pPr>
        <w:suppressAutoHyphens/>
        <w:spacing w:line="500" w:lineRule="exact"/>
        <w:ind w:firstLineChars="200" w:firstLine="420"/>
        <w:rPr>
          <w:rFonts w:ascii="仿宋_GB2312" w:hAnsi="宋体"/>
          <w:kern w:val="0"/>
          <w:szCs w:val="28"/>
        </w:rPr>
      </w:pPr>
      <w:r>
        <w:rPr>
          <w:rFonts w:ascii="仿宋_GB2312" w:hAnsi="宋体" w:hint="eastAsia"/>
          <w:kern w:val="0"/>
          <w:szCs w:val="28"/>
        </w:rPr>
        <w:t>本</w:t>
      </w:r>
      <w:r>
        <w:rPr>
          <w:rFonts w:ascii="仿宋_GB2312" w:hAnsi="宋体" w:hint="eastAsia"/>
          <w:szCs w:val="28"/>
        </w:rPr>
        <w:t>规程</w:t>
      </w:r>
      <w:r>
        <w:rPr>
          <w:rFonts w:ascii="仿宋_GB2312" w:hAnsi="宋体" w:hint="eastAsia"/>
          <w:kern w:val="0"/>
          <w:szCs w:val="28"/>
        </w:rPr>
        <w:t>由中国储备粮管理总公司提出并归口管理。</w:t>
      </w:r>
    </w:p>
    <w:p w:rsidR="007A766C" w:rsidRDefault="007A766C">
      <w:pPr>
        <w:suppressAutoHyphens/>
        <w:spacing w:line="500" w:lineRule="exact"/>
        <w:ind w:firstLineChars="200" w:firstLine="420"/>
        <w:rPr>
          <w:rFonts w:ascii="仿宋_GB2312" w:hAnsi="宋体" w:hint="eastAsia"/>
          <w:kern w:val="0"/>
          <w:szCs w:val="28"/>
        </w:rPr>
      </w:pPr>
      <w:r>
        <w:rPr>
          <w:rFonts w:ascii="仿宋_GB2312" w:hAnsi="宋体" w:hint="eastAsia"/>
          <w:kern w:val="0"/>
          <w:szCs w:val="28"/>
        </w:rPr>
        <w:t>本</w:t>
      </w:r>
      <w:r>
        <w:rPr>
          <w:rFonts w:ascii="仿宋_GB2312" w:hAnsi="宋体" w:hint="eastAsia"/>
          <w:szCs w:val="28"/>
        </w:rPr>
        <w:t>规程</w:t>
      </w:r>
      <w:r>
        <w:rPr>
          <w:rFonts w:ascii="仿宋_GB2312" w:hAnsi="宋体" w:hint="eastAsia"/>
          <w:kern w:val="0"/>
          <w:szCs w:val="28"/>
        </w:rPr>
        <w:t>负责起草单位：中国储备粮管理总公司仓储管理部；参加起草单位：中储粮湖北、</w:t>
      </w:r>
    </w:p>
    <w:p w:rsidR="007A766C" w:rsidRDefault="007A766C">
      <w:pPr>
        <w:suppressAutoHyphens/>
        <w:spacing w:line="500" w:lineRule="exact"/>
        <w:rPr>
          <w:rFonts w:ascii="仿宋_GB2312" w:hAnsi="宋体" w:hint="eastAsia"/>
          <w:kern w:val="0"/>
          <w:szCs w:val="28"/>
        </w:rPr>
      </w:pPr>
      <w:r>
        <w:rPr>
          <w:rFonts w:ascii="仿宋_GB2312" w:hAnsi="宋体" w:hint="eastAsia"/>
          <w:kern w:val="0"/>
          <w:szCs w:val="28"/>
        </w:rPr>
        <w:t>上海、江苏、浙江、安徽、福建、江西、湖南、广州、广西、成都、贵州、云南分公司。</w:t>
      </w:r>
    </w:p>
    <w:p w:rsidR="007A766C" w:rsidRDefault="007A766C">
      <w:pPr>
        <w:suppressAutoHyphens/>
        <w:spacing w:line="500" w:lineRule="exact"/>
        <w:ind w:rightChars="511" w:right="1073"/>
        <w:rPr>
          <w:rFonts w:ascii="仿宋_GB2312" w:hAnsi="宋体"/>
          <w:kern w:val="0"/>
          <w:szCs w:val="28"/>
        </w:rPr>
      </w:pPr>
      <w:r>
        <w:rPr>
          <w:rFonts w:ascii="仿宋_GB2312" w:hAnsi="宋体" w:hint="eastAsia"/>
          <w:kern w:val="0"/>
          <w:szCs w:val="28"/>
        </w:rPr>
        <w:t xml:space="preserve">    </w:t>
      </w:r>
      <w:r>
        <w:rPr>
          <w:rFonts w:ascii="仿宋_GB2312" w:hAnsi="宋体" w:hint="eastAsia"/>
          <w:kern w:val="0"/>
          <w:szCs w:val="28"/>
        </w:rPr>
        <w:t>本规程主要起草人：熊鹤鸣、谢军、周天智、付文忠、李火金、高素芬、汪喜波、陈明伟、李克强、游海洋、陈萍、李传荣、赫治安、李延柱、郑伟、张重咏、罗明、陈超胜、高兴志、牟庆忠、罗智洪。</w:t>
      </w:r>
    </w:p>
    <w:p w:rsidR="007A766C" w:rsidRDefault="007A766C">
      <w:pPr>
        <w:pStyle w:val="aff5"/>
        <w:spacing w:line="500" w:lineRule="exact"/>
        <w:ind w:firstLine="420"/>
        <w:rPr>
          <w:rFonts w:ascii="仿宋_GB2312"/>
        </w:rPr>
      </w:pPr>
    </w:p>
    <w:p w:rsidR="007A766C" w:rsidRDefault="007A766C">
      <w:pPr>
        <w:spacing w:line="500" w:lineRule="exact"/>
        <w:jc w:val="center"/>
        <w:rPr>
          <w:rFonts w:ascii="仿宋_GB2312"/>
          <w:b/>
          <w:szCs w:val="36"/>
        </w:rPr>
      </w:pPr>
    </w:p>
    <w:p w:rsidR="007A766C" w:rsidRDefault="007A766C">
      <w:pPr>
        <w:spacing w:line="500" w:lineRule="exact"/>
        <w:jc w:val="center"/>
        <w:rPr>
          <w:rFonts w:ascii="仿宋_GB2312"/>
          <w:b/>
          <w:szCs w:val="36"/>
        </w:rPr>
      </w:pPr>
    </w:p>
    <w:p w:rsidR="007A766C" w:rsidRDefault="007A766C">
      <w:pPr>
        <w:pStyle w:val="afff4"/>
        <w:spacing w:line="500" w:lineRule="exact"/>
        <w:rPr>
          <w:rFonts w:eastAsia="宋体" w:hint="eastAsia"/>
          <w:sz w:val="21"/>
        </w:rPr>
      </w:pPr>
    </w:p>
    <w:p w:rsidR="007A766C" w:rsidRDefault="007A766C">
      <w:pPr>
        <w:pStyle w:val="afff4"/>
        <w:spacing w:line="500" w:lineRule="exact"/>
        <w:rPr>
          <w:rFonts w:eastAsia="宋体" w:hint="eastAsia"/>
          <w:sz w:val="21"/>
        </w:rPr>
      </w:pPr>
    </w:p>
    <w:p w:rsidR="007A766C" w:rsidRDefault="007A766C">
      <w:pPr>
        <w:pStyle w:val="afff4"/>
        <w:spacing w:line="500" w:lineRule="exact"/>
        <w:rPr>
          <w:rFonts w:hint="eastAsia"/>
        </w:rPr>
      </w:pPr>
    </w:p>
    <w:p w:rsidR="007A766C" w:rsidRDefault="007A766C">
      <w:pPr>
        <w:pStyle w:val="afff4"/>
        <w:spacing w:line="500" w:lineRule="exact"/>
        <w:rPr>
          <w:rFonts w:hint="eastAsia"/>
        </w:rPr>
      </w:pPr>
    </w:p>
    <w:p w:rsidR="007A766C" w:rsidRDefault="007A766C">
      <w:pPr>
        <w:pStyle w:val="afff4"/>
        <w:spacing w:line="500" w:lineRule="exact"/>
        <w:rPr>
          <w:rFonts w:hint="eastAsia"/>
        </w:rPr>
      </w:pPr>
    </w:p>
    <w:p w:rsidR="007A766C" w:rsidRDefault="007A766C">
      <w:pPr>
        <w:pStyle w:val="aff5"/>
        <w:ind w:firstLine="420"/>
        <w:rPr>
          <w:rFonts w:hint="eastAsia"/>
        </w:rPr>
      </w:pPr>
    </w:p>
    <w:p w:rsidR="007A766C" w:rsidRDefault="007A766C">
      <w:pPr>
        <w:pStyle w:val="afff4"/>
        <w:spacing w:line="500" w:lineRule="exact"/>
        <w:rPr>
          <w:rFonts w:hint="eastAsia"/>
        </w:rPr>
      </w:pPr>
      <w:r>
        <w:rPr>
          <w:rFonts w:hint="eastAsia"/>
        </w:rPr>
        <w:t>稻谷控温储藏技术规程</w:t>
      </w:r>
    </w:p>
    <w:p w:rsidR="007A766C" w:rsidRDefault="007A766C">
      <w:pPr>
        <w:pStyle w:val="af"/>
        <w:spacing w:before="156" w:after="156" w:line="500" w:lineRule="exact"/>
        <w:rPr>
          <w:rFonts w:hint="eastAsia"/>
        </w:rPr>
      </w:pPr>
      <w:r>
        <w:rPr>
          <w:rFonts w:hint="eastAsia"/>
        </w:rPr>
        <w:t>范围</w:t>
      </w:r>
    </w:p>
    <w:p w:rsidR="007A766C" w:rsidRDefault="007A766C">
      <w:pPr>
        <w:pStyle w:val="aff5"/>
        <w:spacing w:line="500" w:lineRule="exact"/>
        <w:ind w:firstLine="420"/>
        <w:rPr>
          <w:rFonts w:hint="eastAsia"/>
        </w:rPr>
      </w:pPr>
      <w:r>
        <w:rPr>
          <w:rFonts w:hint="eastAsia"/>
        </w:rPr>
        <w:t>本规程规定了稻谷控温储藏技术的路线、目标、操作工艺与管理要求等内容。</w:t>
      </w:r>
    </w:p>
    <w:p w:rsidR="007A766C" w:rsidRDefault="007A766C">
      <w:pPr>
        <w:pStyle w:val="aff5"/>
        <w:spacing w:line="500" w:lineRule="exact"/>
        <w:ind w:firstLine="420"/>
        <w:rPr>
          <w:rFonts w:hint="eastAsia"/>
        </w:rPr>
      </w:pPr>
      <w:r>
        <w:rPr>
          <w:rFonts w:hint="eastAsia"/>
        </w:rPr>
        <w:t>本规程适用于华南高温高湿储粮生态区、华东热湿储粮生态区和云贵高原地区稻谷的控温储藏。</w:t>
      </w:r>
    </w:p>
    <w:p w:rsidR="007A766C" w:rsidRDefault="007A766C">
      <w:pPr>
        <w:pStyle w:val="af"/>
        <w:spacing w:before="156" w:after="156" w:line="500" w:lineRule="exact"/>
        <w:rPr>
          <w:rFonts w:hint="eastAsia"/>
        </w:rPr>
      </w:pPr>
      <w:r>
        <w:rPr>
          <w:rFonts w:hint="eastAsia"/>
        </w:rPr>
        <w:t>规范性引用文件</w:t>
      </w:r>
    </w:p>
    <w:p w:rsidR="007A766C" w:rsidRDefault="007A766C">
      <w:pPr>
        <w:pStyle w:val="aff5"/>
        <w:spacing w:line="500" w:lineRule="exact"/>
        <w:ind w:firstLineChars="210" w:firstLine="441"/>
        <w:rPr>
          <w:rFonts w:hint="eastAsia"/>
        </w:rPr>
      </w:pPr>
      <w:r>
        <w:rPr>
          <w:rFonts w:hint="eastAsia"/>
        </w:rPr>
        <w:t>下列文件中的条款通过本标准的引用而成为本标准的条款。凡是注日期的引用文件，其随后所有的修改单（不包括勘误的内容）或修订版均不适用于本标准，然而，鼓励根据本标准达成协议的各方研究是否可使用这些文件的最新版本。凡是不注日期的引用文件，其最新版本适用于本标准。</w:t>
      </w:r>
    </w:p>
    <w:p w:rsidR="007A766C" w:rsidRDefault="007A766C">
      <w:pPr>
        <w:pStyle w:val="aff5"/>
        <w:spacing w:line="500" w:lineRule="exact"/>
        <w:ind w:firstLineChars="210" w:firstLine="441"/>
        <w:rPr>
          <w:rFonts w:hint="eastAsia"/>
        </w:rPr>
      </w:pPr>
      <w:r>
        <w:rPr>
          <w:rFonts w:hint="eastAsia"/>
        </w:rPr>
        <w:t>GB 50320-2001    粮食平房仓设计规范</w:t>
      </w:r>
    </w:p>
    <w:p w:rsidR="007A766C" w:rsidRDefault="007A766C">
      <w:pPr>
        <w:pStyle w:val="aff5"/>
        <w:spacing w:line="500" w:lineRule="exact"/>
        <w:ind w:firstLineChars="210" w:firstLine="441"/>
        <w:rPr>
          <w:rFonts w:hint="eastAsia"/>
        </w:rPr>
      </w:pPr>
      <w:r>
        <w:rPr>
          <w:rFonts w:hint="eastAsia"/>
        </w:rPr>
        <w:t>GB 50345-2004    屋面工程技术规范</w:t>
      </w:r>
    </w:p>
    <w:p w:rsidR="007A766C" w:rsidRDefault="007A766C">
      <w:pPr>
        <w:pStyle w:val="aff5"/>
        <w:spacing w:line="500" w:lineRule="exact"/>
        <w:ind w:firstLineChars="210" w:firstLine="441"/>
        <w:rPr>
          <w:rFonts w:hint="eastAsia"/>
        </w:rPr>
      </w:pPr>
      <w:r>
        <w:rPr>
          <w:rFonts w:hint="eastAsia"/>
        </w:rPr>
        <w:t>GB 50176-1993    民用建筑热工设计规范</w:t>
      </w:r>
    </w:p>
    <w:p w:rsidR="007A766C" w:rsidRDefault="007A766C">
      <w:pPr>
        <w:pStyle w:val="aff5"/>
        <w:spacing w:line="500" w:lineRule="exact"/>
        <w:ind w:firstLineChars="210" w:firstLine="441"/>
        <w:rPr>
          <w:rFonts w:hint="eastAsia"/>
        </w:rPr>
      </w:pPr>
      <w:r>
        <w:rPr>
          <w:rFonts w:hint="eastAsia"/>
        </w:rPr>
        <w:t>GB 50222-1995    建筑内部装修设计防火规范</w:t>
      </w:r>
    </w:p>
    <w:p w:rsidR="007A766C" w:rsidRDefault="007A766C">
      <w:pPr>
        <w:pStyle w:val="aff5"/>
        <w:spacing w:line="500" w:lineRule="exact"/>
        <w:ind w:firstLineChars="210" w:firstLine="441"/>
        <w:rPr>
          <w:rFonts w:hint="eastAsia"/>
        </w:rPr>
      </w:pPr>
      <w:r>
        <w:rPr>
          <w:rFonts w:hint="eastAsia"/>
        </w:rPr>
        <w:t>GB 50057         建筑物防雷设计规范</w:t>
      </w:r>
    </w:p>
    <w:p w:rsidR="007A766C" w:rsidRDefault="007A766C">
      <w:pPr>
        <w:pStyle w:val="aff5"/>
        <w:spacing w:line="500" w:lineRule="exact"/>
        <w:ind w:firstLineChars="210" w:firstLine="441"/>
        <w:rPr>
          <w:rFonts w:hint="eastAsia"/>
        </w:rPr>
      </w:pPr>
      <w:r>
        <w:rPr>
          <w:rFonts w:hint="eastAsia"/>
        </w:rPr>
        <w:t>GB 50327-2001    住宅装饰装修工程施工规范</w:t>
      </w:r>
    </w:p>
    <w:p w:rsidR="007A766C" w:rsidRDefault="007A766C">
      <w:pPr>
        <w:pStyle w:val="aff5"/>
        <w:spacing w:line="500" w:lineRule="exact"/>
        <w:ind w:firstLineChars="210" w:firstLine="441"/>
        <w:rPr>
          <w:rFonts w:hint="eastAsia"/>
        </w:rPr>
      </w:pPr>
      <w:r>
        <w:rPr>
          <w:rFonts w:hint="eastAsia"/>
        </w:rPr>
        <w:t>GB/T 17913       粮食仓库磷化氢环流熏蒸装备</w:t>
      </w:r>
    </w:p>
    <w:p w:rsidR="007A766C" w:rsidRDefault="007A766C">
      <w:pPr>
        <w:pStyle w:val="aff5"/>
        <w:spacing w:line="500" w:lineRule="exact"/>
        <w:ind w:firstLineChars="210" w:firstLine="441"/>
        <w:rPr>
          <w:rFonts w:hint="eastAsia"/>
        </w:rPr>
      </w:pPr>
      <w:r>
        <w:rPr>
          <w:rFonts w:hint="eastAsia"/>
        </w:rPr>
        <w:t>GB/T 18835       谷物冷却机</w:t>
      </w:r>
    </w:p>
    <w:p w:rsidR="007A766C" w:rsidRDefault="007A766C">
      <w:pPr>
        <w:pStyle w:val="aff5"/>
        <w:spacing w:line="500" w:lineRule="exact"/>
        <w:ind w:firstLineChars="210" w:firstLine="441"/>
        <w:rPr>
          <w:rFonts w:hint="eastAsia"/>
        </w:rPr>
      </w:pPr>
      <w:r>
        <w:rPr>
          <w:rFonts w:hint="eastAsia"/>
        </w:rPr>
        <w:t>GB 8946          塑料编织袋</w:t>
      </w:r>
    </w:p>
    <w:p w:rsidR="007A766C" w:rsidRDefault="007A766C">
      <w:pPr>
        <w:pStyle w:val="aff5"/>
        <w:spacing w:line="500" w:lineRule="exact"/>
        <w:ind w:firstLineChars="210" w:firstLine="441"/>
        <w:rPr>
          <w:rFonts w:hint="eastAsia"/>
        </w:rPr>
      </w:pPr>
      <w:r>
        <w:rPr>
          <w:rFonts w:hint="eastAsia"/>
        </w:rPr>
        <w:t>GB/T 20569       稻谷储存品质判定规则</w:t>
      </w:r>
    </w:p>
    <w:p w:rsidR="007A766C" w:rsidRDefault="007A766C">
      <w:pPr>
        <w:pStyle w:val="aff5"/>
        <w:spacing w:line="500" w:lineRule="exact"/>
        <w:ind w:firstLineChars="210" w:firstLine="441"/>
        <w:rPr>
          <w:rFonts w:hint="eastAsia"/>
        </w:rPr>
      </w:pPr>
      <w:r>
        <w:rPr>
          <w:rFonts w:hint="eastAsia"/>
        </w:rPr>
        <w:t>GB/T 20570       玉米储存品质判定规则</w:t>
      </w:r>
    </w:p>
    <w:p w:rsidR="007A766C" w:rsidRDefault="007A766C">
      <w:pPr>
        <w:pStyle w:val="aff5"/>
        <w:spacing w:line="500" w:lineRule="exact"/>
        <w:ind w:firstLineChars="210" w:firstLine="441"/>
        <w:rPr>
          <w:rFonts w:hint="eastAsia"/>
        </w:rPr>
      </w:pPr>
      <w:r>
        <w:rPr>
          <w:rFonts w:hint="eastAsia"/>
        </w:rPr>
        <w:t>GB/T 20571       小麦储存品质判定规则</w:t>
      </w:r>
    </w:p>
    <w:p w:rsidR="007A766C" w:rsidRDefault="007A766C">
      <w:pPr>
        <w:pStyle w:val="aff5"/>
        <w:spacing w:line="500" w:lineRule="exact"/>
        <w:ind w:firstLineChars="210" w:firstLine="441"/>
        <w:rPr>
          <w:rFonts w:hint="eastAsia"/>
        </w:rPr>
      </w:pPr>
      <w:r>
        <w:rPr>
          <w:rFonts w:hint="eastAsia"/>
        </w:rPr>
        <w:t>LS/T 1204-2002   谷物冷却机低温储粮技术规程</w:t>
      </w:r>
    </w:p>
    <w:p w:rsidR="007A766C" w:rsidRDefault="007A766C">
      <w:pPr>
        <w:pStyle w:val="aff5"/>
        <w:spacing w:line="500" w:lineRule="exact"/>
        <w:ind w:firstLineChars="210" w:firstLine="441"/>
        <w:rPr>
          <w:rFonts w:hint="eastAsia"/>
        </w:rPr>
      </w:pPr>
      <w:r>
        <w:rPr>
          <w:rFonts w:hint="eastAsia"/>
        </w:rPr>
        <w:t>LS/T 1202-2002   储粮机械通风技术规程</w:t>
      </w:r>
    </w:p>
    <w:p w:rsidR="007A766C" w:rsidRDefault="007A766C">
      <w:pPr>
        <w:pStyle w:val="aff5"/>
        <w:spacing w:line="500" w:lineRule="exact"/>
        <w:ind w:firstLineChars="210" w:firstLine="441"/>
        <w:rPr>
          <w:rFonts w:hint="eastAsia"/>
        </w:rPr>
      </w:pPr>
      <w:r>
        <w:rPr>
          <w:rFonts w:hint="eastAsia"/>
        </w:rPr>
        <w:t>LS/T 1203-2002   粮情电子测控系统</w:t>
      </w:r>
    </w:p>
    <w:p w:rsidR="007A766C" w:rsidRDefault="007A766C">
      <w:pPr>
        <w:pStyle w:val="aff5"/>
        <w:spacing w:line="500" w:lineRule="exact"/>
        <w:ind w:firstLineChars="210" w:firstLine="441"/>
        <w:rPr>
          <w:rFonts w:hint="eastAsia"/>
        </w:rPr>
      </w:pPr>
      <w:r>
        <w:rPr>
          <w:rFonts w:hint="eastAsia"/>
        </w:rPr>
        <w:t>LS/T 3801        粮食包装麻袋</w:t>
      </w:r>
    </w:p>
    <w:p w:rsidR="007A766C" w:rsidRDefault="007A766C">
      <w:pPr>
        <w:pStyle w:val="aff5"/>
        <w:spacing w:line="500" w:lineRule="exact"/>
        <w:ind w:firstLineChars="210" w:firstLine="441"/>
        <w:rPr>
          <w:rFonts w:hint="eastAsia"/>
        </w:rPr>
      </w:pPr>
      <w:r>
        <w:rPr>
          <w:rFonts w:hint="eastAsia"/>
        </w:rPr>
        <w:t>Q/ZCL T2-2007    机械通风降温储粮技术规程</w:t>
      </w:r>
    </w:p>
    <w:p w:rsidR="007A766C" w:rsidRDefault="007A766C">
      <w:pPr>
        <w:pStyle w:val="aff5"/>
        <w:spacing w:line="500" w:lineRule="exact"/>
        <w:ind w:firstLineChars="210" w:firstLine="441"/>
        <w:rPr>
          <w:rFonts w:hint="eastAsia"/>
        </w:rPr>
      </w:pPr>
      <w:r>
        <w:rPr>
          <w:rFonts w:hint="eastAsia"/>
        </w:rPr>
        <w:t>Q/ZCL T3-2007    仓房和粮堆隔热技术规程</w:t>
      </w:r>
    </w:p>
    <w:p w:rsidR="007A766C" w:rsidRDefault="007A766C">
      <w:pPr>
        <w:pStyle w:val="aff5"/>
        <w:spacing w:line="500" w:lineRule="exact"/>
        <w:ind w:firstLineChars="210" w:firstLine="441"/>
        <w:rPr>
          <w:rFonts w:hint="eastAsia"/>
        </w:rPr>
      </w:pPr>
      <w:r>
        <w:rPr>
          <w:rFonts w:hint="eastAsia"/>
        </w:rPr>
        <w:t>Q/ZCL T5-2007    谷物冷却机一机三仓冷却通风储粮技术规程</w:t>
      </w:r>
    </w:p>
    <w:p w:rsidR="007A766C" w:rsidRDefault="007A766C">
      <w:pPr>
        <w:pStyle w:val="aff5"/>
        <w:spacing w:line="500" w:lineRule="exact"/>
        <w:ind w:firstLineChars="210" w:firstLine="441"/>
        <w:rPr>
          <w:rFonts w:hint="eastAsia"/>
        </w:rPr>
      </w:pPr>
      <w:r>
        <w:rPr>
          <w:rFonts w:hint="eastAsia"/>
        </w:rPr>
        <w:t>JCJ14-1999       聚氨酯硬泡体防水保温工程技术规程</w:t>
      </w:r>
    </w:p>
    <w:p w:rsidR="007A766C" w:rsidRDefault="007A766C">
      <w:pPr>
        <w:pStyle w:val="af"/>
        <w:spacing w:before="156" w:after="156" w:line="500" w:lineRule="exact"/>
        <w:rPr>
          <w:rFonts w:hint="eastAsia"/>
        </w:rPr>
      </w:pPr>
      <w:r>
        <w:rPr>
          <w:rFonts w:hint="eastAsia"/>
        </w:rPr>
        <w:t>术语和定义</w:t>
      </w:r>
    </w:p>
    <w:p w:rsidR="007A766C" w:rsidRDefault="007A766C">
      <w:pPr>
        <w:pStyle w:val="aff5"/>
        <w:spacing w:line="500" w:lineRule="exact"/>
        <w:ind w:firstLine="420"/>
        <w:rPr>
          <w:rFonts w:hint="eastAsia"/>
        </w:rPr>
      </w:pPr>
      <w:r>
        <w:rPr>
          <w:rFonts w:hint="eastAsia"/>
        </w:rPr>
        <w:t>下列术语和定义适用于本规程</w:t>
      </w:r>
    </w:p>
    <w:p w:rsidR="007A766C" w:rsidRDefault="007A766C">
      <w:pPr>
        <w:pStyle w:val="af0"/>
        <w:rPr>
          <w:rFonts w:hint="eastAsia"/>
        </w:rPr>
      </w:pPr>
      <w:r>
        <w:rPr>
          <w:rFonts w:hint="eastAsia"/>
        </w:rPr>
        <w:t>控温储藏</w:t>
      </w:r>
      <w:r>
        <w:rPr>
          <w:rFonts w:hint="eastAsia"/>
        </w:rPr>
        <w:t xml:space="preserve">  </w:t>
      </w:r>
      <w:r>
        <w:t>control</w:t>
      </w:r>
      <w:r>
        <w:rPr>
          <w:rFonts w:hint="eastAsia"/>
        </w:rPr>
        <w:t xml:space="preserve">led </w:t>
      </w:r>
      <w:r>
        <w:t>temperture storage</w:t>
      </w:r>
    </w:p>
    <w:p w:rsidR="007A766C" w:rsidRDefault="007A766C">
      <w:pPr>
        <w:pStyle w:val="aff5"/>
        <w:spacing w:line="500" w:lineRule="exact"/>
        <w:ind w:firstLine="420"/>
        <w:rPr>
          <w:rFonts w:hint="eastAsia"/>
        </w:rPr>
      </w:pPr>
      <w:r>
        <w:rPr>
          <w:rFonts w:hint="eastAsia"/>
        </w:rPr>
        <w:t>综合利用各种措施，将粮堆平均温度和局部最高温度控制在特定的目标温度范围内的一种储粮方法。</w:t>
      </w:r>
    </w:p>
    <w:p w:rsidR="007A766C" w:rsidRDefault="007A766C">
      <w:pPr>
        <w:pStyle w:val="af0"/>
        <w:rPr>
          <w:rFonts w:hint="eastAsia"/>
        </w:rPr>
      </w:pPr>
      <w:r>
        <w:rPr>
          <w:rFonts w:hint="eastAsia"/>
        </w:rPr>
        <w:t>传热系数</w:t>
      </w:r>
      <w:r>
        <w:rPr>
          <w:rFonts w:hint="eastAsia"/>
        </w:rPr>
        <w:t>K</w:t>
      </w:r>
      <w:r>
        <w:rPr>
          <w:rFonts w:hint="eastAsia"/>
        </w:rPr>
        <w:t>值</w:t>
      </w:r>
      <w:r>
        <w:rPr>
          <w:rFonts w:hint="eastAsia"/>
        </w:rPr>
        <w:t xml:space="preserve"> heat-transfer coefficient K</w:t>
      </w:r>
    </w:p>
    <w:p w:rsidR="007A766C" w:rsidRDefault="007A766C">
      <w:pPr>
        <w:pStyle w:val="aff5"/>
        <w:spacing w:line="500" w:lineRule="exact"/>
        <w:ind w:firstLine="420"/>
        <w:rPr>
          <w:rFonts w:hint="eastAsia"/>
        </w:rPr>
      </w:pPr>
      <w:r>
        <w:rPr>
          <w:rFonts w:hint="eastAsia"/>
        </w:rPr>
        <w:t>指围护结构两侧空气温度相差</w:t>
      </w:r>
      <w:smartTag w:uri="urn:schemas-microsoft-com:office:smarttags" w:element="chmetcnv">
        <w:smartTagPr>
          <w:attr w:name="TCSC" w:val="0"/>
          <w:attr w:name="NumberType" w:val="1"/>
          <w:attr w:name="Negative" w:val="False"/>
          <w:attr w:name="HasSpace" w:val="False"/>
          <w:attr w:name="SourceValue" w:val="1"/>
          <w:attr w:name="UnitName" w:val="℃"/>
        </w:smartTagPr>
        <w:r>
          <w:rPr>
            <w:rFonts w:hint="eastAsia"/>
          </w:rPr>
          <w:t>1℃</w:t>
        </w:r>
      </w:smartTag>
      <w:r>
        <w:rPr>
          <w:rFonts w:hint="eastAsia"/>
        </w:rPr>
        <w:t>时，单位时间通过单位面积传递的热量，单位为W/</w:t>
      </w:r>
      <w:r>
        <w:rPr>
          <w:rFonts w:hAnsi="宋体" w:hint="eastAsia"/>
        </w:rPr>
        <w:t xml:space="preserve"> m</w:t>
      </w:r>
      <w:r>
        <w:rPr>
          <w:rFonts w:hAnsi="宋体" w:hint="eastAsia"/>
          <w:vertAlign w:val="superscript"/>
        </w:rPr>
        <w:t>2</w:t>
      </w:r>
      <w:r>
        <w:rPr>
          <w:rFonts w:hint="eastAsia"/>
        </w:rPr>
        <w:t>.K。它是表示围护结构传热量大小的一个物理量，也是评价围护结构隔热保温性能的指标之一。计算方法详见Q/ZCL T3-2007《仓房和粮堆隔热保温技术规程》附录A。</w:t>
      </w:r>
    </w:p>
    <w:p w:rsidR="007A766C" w:rsidRDefault="007A766C">
      <w:pPr>
        <w:pStyle w:val="af"/>
        <w:spacing w:before="156" w:after="156" w:line="500" w:lineRule="exact"/>
        <w:rPr>
          <w:rFonts w:hint="eastAsia"/>
        </w:rPr>
      </w:pPr>
      <w:r>
        <w:rPr>
          <w:rFonts w:hint="eastAsia"/>
        </w:rPr>
        <w:t>控温储藏的基础条件</w:t>
      </w:r>
    </w:p>
    <w:p w:rsidR="007A766C" w:rsidRDefault="007A766C">
      <w:pPr>
        <w:pStyle w:val="af0"/>
        <w:spacing w:line="500" w:lineRule="exact"/>
        <w:rPr>
          <w:rFonts w:hint="eastAsia"/>
        </w:rPr>
      </w:pPr>
      <w:r>
        <w:rPr>
          <w:rFonts w:hint="eastAsia"/>
        </w:rPr>
        <w:t>粮食条件</w:t>
      </w:r>
    </w:p>
    <w:p w:rsidR="007A766C" w:rsidRDefault="007A766C">
      <w:pPr>
        <w:pStyle w:val="aff5"/>
        <w:spacing w:line="500" w:lineRule="exact"/>
        <w:ind w:firstLine="420"/>
        <w:rPr>
          <w:rFonts w:hint="eastAsia"/>
        </w:rPr>
      </w:pPr>
      <w:r>
        <w:rPr>
          <w:rFonts w:hint="eastAsia"/>
        </w:rPr>
        <w:t>入仓粮食应符合国家有关标准和规定。</w:t>
      </w:r>
    </w:p>
    <w:p w:rsidR="007A766C" w:rsidRDefault="007A766C">
      <w:pPr>
        <w:pStyle w:val="af0"/>
        <w:spacing w:line="500" w:lineRule="exact"/>
        <w:rPr>
          <w:rFonts w:hint="eastAsia"/>
        </w:rPr>
      </w:pPr>
      <w:r>
        <w:rPr>
          <w:rFonts w:hint="eastAsia"/>
        </w:rPr>
        <w:t>仓房条件</w:t>
      </w:r>
    </w:p>
    <w:p w:rsidR="007A766C" w:rsidRDefault="007A766C">
      <w:pPr>
        <w:spacing w:line="500" w:lineRule="exact"/>
        <w:rPr>
          <w:rFonts w:ascii="宋体" w:hint="eastAsia"/>
          <w:noProof/>
          <w:kern w:val="0"/>
          <w:szCs w:val="20"/>
        </w:rPr>
      </w:pPr>
      <w:r>
        <w:rPr>
          <w:rFonts w:eastAsia="黑体" w:hint="eastAsia"/>
          <w:kern w:val="0"/>
          <w:szCs w:val="20"/>
        </w:rPr>
        <w:t xml:space="preserve">4.2.1 </w:t>
      </w:r>
      <w:r>
        <w:rPr>
          <w:rFonts w:ascii="宋体" w:hint="eastAsia"/>
          <w:noProof/>
          <w:kern w:val="0"/>
          <w:szCs w:val="20"/>
        </w:rPr>
        <w:t>仓房应符合GB50320-2001《粮食平房仓设计规范》的规定，仓房气密性能良好。采用正压测定气密性时，平房仓500帕的半衰期应大于40秒，浅圆仓、立筒仓不少于60秒。</w:t>
      </w:r>
    </w:p>
    <w:p w:rsidR="007A766C" w:rsidRDefault="007A766C">
      <w:pPr>
        <w:spacing w:line="500" w:lineRule="exact"/>
        <w:rPr>
          <w:rFonts w:ascii="宋体" w:hint="eastAsia"/>
          <w:noProof/>
          <w:kern w:val="0"/>
          <w:szCs w:val="20"/>
        </w:rPr>
      </w:pPr>
      <w:r>
        <w:rPr>
          <w:rFonts w:eastAsia="黑体" w:hint="eastAsia"/>
          <w:kern w:val="0"/>
          <w:szCs w:val="20"/>
        </w:rPr>
        <w:t xml:space="preserve">4.2.2 </w:t>
      </w:r>
      <w:r>
        <w:rPr>
          <w:rFonts w:ascii="宋体" w:hint="eastAsia"/>
          <w:noProof/>
          <w:kern w:val="0"/>
          <w:szCs w:val="20"/>
        </w:rPr>
        <w:t>仓房</w:t>
      </w:r>
      <w:r>
        <w:rPr>
          <w:rFonts w:ascii="宋体" w:hAnsi="宋体" w:hint="eastAsia"/>
          <w:noProof/>
          <w:kern w:val="0"/>
          <w:szCs w:val="20"/>
        </w:rPr>
        <w:t>围护结构的保温隔热性能良好，仓顶传热系数K值≤0.35 W/m</w:t>
      </w:r>
      <w:r>
        <w:rPr>
          <w:rFonts w:ascii="宋体" w:hAnsi="宋体" w:hint="eastAsia"/>
          <w:noProof/>
          <w:kern w:val="0"/>
          <w:szCs w:val="20"/>
          <w:vertAlign w:val="superscript"/>
        </w:rPr>
        <w:t>2</w:t>
      </w:r>
      <w:r>
        <w:rPr>
          <w:rFonts w:ascii="宋体" w:hAnsi="宋体" w:hint="eastAsia"/>
          <w:noProof/>
          <w:kern w:val="0"/>
          <w:szCs w:val="20"/>
        </w:rPr>
        <w:t>.K，仓壁传热系数K值在0.46～0.52 W/m</w:t>
      </w:r>
      <w:r>
        <w:rPr>
          <w:rFonts w:ascii="宋体" w:hAnsi="宋体" w:hint="eastAsia"/>
          <w:noProof/>
          <w:kern w:val="0"/>
          <w:szCs w:val="20"/>
          <w:vertAlign w:val="superscript"/>
        </w:rPr>
        <w:t>2</w:t>
      </w:r>
      <w:r>
        <w:rPr>
          <w:rFonts w:ascii="宋体" w:hAnsi="宋体" w:hint="eastAsia"/>
          <w:noProof/>
          <w:kern w:val="0"/>
          <w:szCs w:val="20"/>
        </w:rPr>
        <w:t>.K之间；在满足粮食出入仓需要的前提下，</w:t>
      </w:r>
      <w:r>
        <w:rPr>
          <w:rFonts w:ascii="宋体" w:hint="eastAsia"/>
          <w:noProof/>
          <w:kern w:val="0"/>
          <w:szCs w:val="20"/>
        </w:rPr>
        <w:t>门、窗设置数量应尽可能少。在隔热气密性能不能达到控温储藏要求时，可采用薄膜密封和填充泡沫板、稻壳包、膨胀珍珠等保温性能良好的隔热材料进行处理。</w:t>
      </w:r>
    </w:p>
    <w:p w:rsidR="007A766C" w:rsidRDefault="007A766C">
      <w:pPr>
        <w:spacing w:line="500" w:lineRule="exact"/>
        <w:rPr>
          <w:rFonts w:ascii="宋体" w:hint="eastAsia"/>
          <w:noProof/>
          <w:kern w:val="0"/>
          <w:szCs w:val="20"/>
        </w:rPr>
      </w:pPr>
      <w:r>
        <w:rPr>
          <w:rFonts w:eastAsia="黑体" w:hint="eastAsia"/>
          <w:kern w:val="0"/>
          <w:szCs w:val="20"/>
        </w:rPr>
        <w:t>4.2.3</w:t>
      </w:r>
      <w:r>
        <w:rPr>
          <w:rFonts w:ascii="宋体" w:hint="eastAsia"/>
          <w:noProof/>
          <w:kern w:val="0"/>
          <w:szCs w:val="20"/>
        </w:rPr>
        <w:t>仓房机械通风口气密性和隔热保温性能良好，或可方便采取填充泡沫板、稻壳包、气囊等保温性能良好的隔热材料措施，并能与谷物冷却机、环流熏蒸装置、通风机等设施设备方便联接。</w:t>
      </w:r>
    </w:p>
    <w:p w:rsidR="007A766C" w:rsidRDefault="007A766C">
      <w:pPr>
        <w:pStyle w:val="af0"/>
        <w:spacing w:line="500" w:lineRule="exact"/>
        <w:rPr>
          <w:rFonts w:hint="eastAsia"/>
        </w:rPr>
      </w:pPr>
      <w:r>
        <w:rPr>
          <w:rFonts w:hint="eastAsia"/>
        </w:rPr>
        <w:t>设施设备条件</w:t>
      </w:r>
    </w:p>
    <w:p w:rsidR="007A766C" w:rsidRDefault="007A766C">
      <w:pPr>
        <w:spacing w:line="500" w:lineRule="exact"/>
        <w:rPr>
          <w:rFonts w:ascii="仿宋_GB2312" w:eastAsia="仿宋_GB2312" w:hint="eastAsia"/>
          <w:sz w:val="28"/>
          <w:szCs w:val="28"/>
        </w:rPr>
      </w:pPr>
      <w:r>
        <w:rPr>
          <w:rFonts w:eastAsia="黑体" w:hint="eastAsia"/>
          <w:kern w:val="0"/>
          <w:szCs w:val="20"/>
        </w:rPr>
        <w:t xml:space="preserve">4.3.1 </w:t>
      </w:r>
      <w:r>
        <w:rPr>
          <w:rFonts w:ascii="宋体" w:hint="eastAsia"/>
          <w:noProof/>
          <w:kern w:val="0"/>
          <w:szCs w:val="20"/>
        </w:rPr>
        <w:t>仓房应配有结构良好的地下槽或地上笼通风系统。通风系统的配置与安装应满足</w:t>
      </w:r>
      <w:r>
        <w:rPr>
          <w:rFonts w:ascii="宋体" w:hAnsi="宋体" w:hint="eastAsia"/>
          <w:noProof/>
          <w:kern w:val="0"/>
          <w:szCs w:val="20"/>
        </w:rPr>
        <w:t>Q/ZCL T2-2007《机械通风降温储粮技术规程》</w:t>
      </w:r>
      <w:r>
        <w:rPr>
          <w:rFonts w:ascii="宋体" w:hint="eastAsia"/>
          <w:noProof/>
          <w:kern w:val="0"/>
          <w:szCs w:val="20"/>
        </w:rPr>
        <w:t>的有关要求。</w:t>
      </w:r>
    </w:p>
    <w:p w:rsidR="007A766C" w:rsidRDefault="007A766C">
      <w:pPr>
        <w:spacing w:line="500" w:lineRule="exact"/>
        <w:rPr>
          <w:rFonts w:ascii="宋体" w:hint="eastAsia"/>
          <w:noProof/>
          <w:kern w:val="0"/>
          <w:szCs w:val="20"/>
        </w:rPr>
      </w:pPr>
      <w:r>
        <w:rPr>
          <w:rFonts w:eastAsia="黑体" w:hint="eastAsia"/>
          <w:kern w:val="0"/>
          <w:szCs w:val="20"/>
        </w:rPr>
        <w:t xml:space="preserve">4.3.2 </w:t>
      </w:r>
      <w:r>
        <w:rPr>
          <w:rFonts w:ascii="宋体" w:hint="eastAsia"/>
          <w:noProof/>
          <w:kern w:val="0"/>
          <w:szCs w:val="20"/>
        </w:rPr>
        <w:t>仓房应配有性能良好的粮情电子测控系统，粮情电子测控系统的配置与安装应符合LS/T1203-2002《粮情测控系统》的有关要求。</w:t>
      </w:r>
    </w:p>
    <w:p w:rsidR="007A766C" w:rsidRDefault="007A766C">
      <w:pPr>
        <w:spacing w:line="500" w:lineRule="exact"/>
        <w:rPr>
          <w:rFonts w:ascii="仿宋_GB2312" w:eastAsia="仿宋_GB2312" w:hint="eastAsia"/>
          <w:sz w:val="28"/>
          <w:szCs w:val="28"/>
        </w:rPr>
      </w:pPr>
      <w:r>
        <w:rPr>
          <w:rFonts w:eastAsia="黑体" w:hint="eastAsia"/>
          <w:kern w:val="0"/>
          <w:szCs w:val="20"/>
        </w:rPr>
        <w:t>4.3.3</w:t>
      </w:r>
      <w:r>
        <w:rPr>
          <w:rFonts w:ascii="仿宋_GB2312" w:eastAsia="仿宋_GB2312" w:hint="eastAsia"/>
          <w:sz w:val="28"/>
          <w:szCs w:val="28"/>
        </w:rPr>
        <w:t xml:space="preserve"> </w:t>
      </w:r>
      <w:r>
        <w:rPr>
          <w:rFonts w:ascii="宋体" w:hint="eastAsia"/>
          <w:noProof/>
          <w:kern w:val="0"/>
          <w:szCs w:val="20"/>
        </w:rPr>
        <w:t>库区应配有大气环境参数检测工具或仪器，能自动连续检测环境温湿度，且具有记忆存储数据功能。</w:t>
      </w:r>
    </w:p>
    <w:p w:rsidR="007A766C" w:rsidRDefault="007A766C">
      <w:pPr>
        <w:adjustRightInd w:val="0"/>
        <w:snapToGrid w:val="0"/>
        <w:spacing w:line="500" w:lineRule="exact"/>
        <w:rPr>
          <w:rFonts w:ascii="宋体" w:hint="eastAsia"/>
          <w:noProof/>
          <w:kern w:val="0"/>
          <w:szCs w:val="20"/>
        </w:rPr>
      </w:pPr>
      <w:r>
        <w:rPr>
          <w:rFonts w:eastAsia="黑体" w:hint="eastAsia"/>
          <w:kern w:val="0"/>
          <w:szCs w:val="20"/>
        </w:rPr>
        <w:t xml:space="preserve">4.3.4 </w:t>
      </w:r>
      <w:r>
        <w:rPr>
          <w:rFonts w:ascii="宋体" w:hint="eastAsia"/>
          <w:noProof/>
          <w:kern w:val="0"/>
          <w:szCs w:val="20"/>
        </w:rPr>
        <w:t>仓房周围的动力负荷要满足通风机械全部启动时最大动力负荷的要求。对配有谷物冷却机的粮库，仓房周围的动力负荷还要满足谷物冷却机全部启动时最大动力负荷的要求。</w:t>
      </w:r>
    </w:p>
    <w:p w:rsidR="007A766C" w:rsidRDefault="007A766C">
      <w:pPr>
        <w:pStyle w:val="af"/>
        <w:spacing w:before="156" w:after="156" w:line="500" w:lineRule="exact"/>
        <w:rPr>
          <w:rFonts w:hint="eastAsia"/>
        </w:rPr>
      </w:pPr>
      <w:r>
        <w:rPr>
          <w:rFonts w:hint="eastAsia"/>
        </w:rPr>
        <w:t>控温储藏目标与技术路线</w:t>
      </w:r>
    </w:p>
    <w:p w:rsidR="007A766C" w:rsidRDefault="007A766C">
      <w:pPr>
        <w:pStyle w:val="af0"/>
        <w:spacing w:line="500" w:lineRule="exact"/>
        <w:rPr>
          <w:rFonts w:ascii="仿宋_GB2312" w:eastAsia="仿宋_GB2312" w:hint="eastAsia"/>
          <w:sz w:val="28"/>
          <w:szCs w:val="28"/>
        </w:rPr>
      </w:pPr>
      <w:r>
        <w:rPr>
          <w:rFonts w:hint="eastAsia"/>
        </w:rPr>
        <w:t>控温目标</w:t>
      </w:r>
    </w:p>
    <w:p w:rsidR="007A766C" w:rsidRDefault="007A766C">
      <w:pPr>
        <w:pStyle w:val="aff5"/>
        <w:spacing w:line="500" w:lineRule="exact"/>
        <w:ind w:firstLine="420"/>
        <w:rPr>
          <w:rFonts w:hint="eastAsia"/>
        </w:rPr>
      </w:pPr>
      <w:r>
        <w:rPr>
          <w:rFonts w:hint="eastAsia"/>
        </w:rPr>
        <w:t>秋季（气温下降阶段）：华南高温高湿储粮生态区</w:t>
      </w:r>
      <w:r>
        <w:rPr>
          <w:rFonts w:hAnsi="宋体" w:hint="eastAsia"/>
        </w:rPr>
        <w:t>平均粮温不超过</w:t>
      </w:r>
      <w:smartTag w:uri="urn:schemas-microsoft-com:office:smarttags" w:element="chmetcnv">
        <w:smartTagPr>
          <w:attr w:name="TCSC" w:val="0"/>
          <w:attr w:name="NumberType" w:val="1"/>
          <w:attr w:name="Negative" w:val="False"/>
          <w:attr w:name="HasSpace" w:val="False"/>
          <w:attr w:name="SourceValue" w:val="18"/>
          <w:attr w:name="UnitName" w:val="℃"/>
        </w:smartTagPr>
        <w:r>
          <w:rPr>
            <w:rFonts w:hAnsi="宋体" w:hint="eastAsia"/>
            <w:i/>
          </w:rPr>
          <w:t>18</w:t>
        </w:r>
        <w:r>
          <w:rPr>
            <w:rFonts w:hAnsi="宋体" w:hint="eastAsia"/>
          </w:rPr>
          <w:t>℃</w:t>
        </w:r>
      </w:smartTag>
      <w:r>
        <w:rPr>
          <w:rFonts w:hint="eastAsia"/>
        </w:rPr>
        <w:t>，局部最高粮温</w:t>
      </w:r>
      <w:r>
        <w:rPr>
          <w:rFonts w:hAnsi="宋体" w:hint="eastAsia"/>
        </w:rPr>
        <w:t>不超过</w:t>
      </w:r>
      <w:smartTag w:uri="urn:schemas-microsoft-com:office:smarttags" w:element="chmetcnv">
        <w:smartTagPr>
          <w:attr w:name="TCSC" w:val="0"/>
          <w:attr w:name="NumberType" w:val="1"/>
          <w:attr w:name="Negative" w:val="False"/>
          <w:attr w:name="HasSpace" w:val="False"/>
          <w:attr w:name="SourceValue" w:val="28"/>
          <w:attr w:name="UnitName" w:val="℃"/>
        </w:smartTagPr>
        <w:r>
          <w:rPr>
            <w:rFonts w:hint="eastAsia"/>
            <w:i/>
          </w:rPr>
          <w:t>28</w:t>
        </w:r>
        <w:r>
          <w:rPr>
            <w:rFonts w:hint="eastAsia"/>
          </w:rPr>
          <w:t>℃</w:t>
        </w:r>
      </w:smartTag>
      <w:r>
        <w:rPr>
          <w:rFonts w:hint="eastAsia"/>
        </w:rPr>
        <w:t>；华中华东热湿储粮生态区</w:t>
      </w:r>
      <w:r>
        <w:rPr>
          <w:rFonts w:hAnsi="宋体" w:hint="eastAsia"/>
        </w:rPr>
        <w:t>平均粮温不超过</w:t>
      </w:r>
      <w:smartTag w:uri="urn:schemas-microsoft-com:office:smarttags" w:element="chmetcnv">
        <w:smartTagPr>
          <w:attr w:name="TCSC" w:val="0"/>
          <w:attr w:name="NumberType" w:val="1"/>
          <w:attr w:name="Negative" w:val="False"/>
          <w:attr w:name="HasSpace" w:val="False"/>
          <w:attr w:name="SourceValue" w:val="18"/>
          <w:attr w:name="UnitName" w:val="℃"/>
        </w:smartTagPr>
        <w:r>
          <w:rPr>
            <w:rFonts w:hAnsi="宋体" w:hint="eastAsia"/>
            <w:i/>
            <w:iCs/>
          </w:rPr>
          <w:t>18</w:t>
        </w:r>
        <w:r>
          <w:rPr>
            <w:rFonts w:hAnsi="宋体" w:hint="eastAsia"/>
          </w:rPr>
          <w:t>℃</w:t>
        </w:r>
      </w:smartTag>
      <w:r>
        <w:rPr>
          <w:rFonts w:hint="eastAsia"/>
        </w:rPr>
        <w:t>，局部最高粮温</w:t>
      </w:r>
      <w:r>
        <w:rPr>
          <w:rFonts w:hAnsi="宋体" w:hint="eastAsia"/>
        </w:rPr>
        <w:t>不超过</w:t>
      </w:r>
      <w:smartTag w:uri="urn:schemas-microsoft-com:office:smarttags" w:element="chmetcnv">
        <w:smartTagPr>
          <w:attr w:name="TCSC" w:val="0"/>
          <w:attr w:name="NumberType" w:val="1"/>
          <w:attr w:name="Negative" w:val="False"/>
          <w:attr w:name="HasSpace" w:val="False"/>
          <w:attr w:name="SourceValue" w:val="25"/>
          <w:attr w:name="UnitName" w:val="℃"/>
        </w:smartTagPr>
        <w:r>
          <w:rPr>
            <w:rFonts w:hint="eastAsia"/>
            <w:i/>
          </w:rPr>
          <w:t>25</w:t>
        </w:r>
        <w:r>
          <w:rPr>
            <w:rFonts w:hint="eastAsia"/>
          </w:rPr>
          <w:t>℃</w:t>
        </w:r>
      </w:smartTag>
      <w:r>
        <w:rPr>
          <w:rFonts w:hint="eastAsia"/>
        </w:rPr>
        <w:t>；云贵中温低湿储粮生态区</w:t>
      </w:r>
      <w:r>
        <w:rPr>
          <w:rFonts w:hAnsi="宋体" w:hint="eastAsia"/>
        </w:rPr>
        <w:t>平均粮温不超过</w:t>
      </w:r>
      <w:smartTag w:uri="urn:schemas-microsoft-com:office:smarttags" w:element="chmetcnv">
        <w:smartTagPr>
          <w:attr w:name="TCSC" w:val="0"/>
          <w:attr w:name="NumberType" w:val="1"/>
          <w:attr w:name="Negative" w:val="False"/>
          <w:attr w:name="HasSpace" w:val="False"/>
          <w:attr w:name="SourceValue" w:val="15"/>
          <w:attr w:name="UnitName" w:val="℃"/>
        </w:smartTagPr>
        <w:r>
          <w:rPr>
            <w:rFonts w:hAnsi="宋体" w:hint="eastAsia"/>
            <w:i/>
          </w:rPr>
          <w:t>15</w:t>
        </w:r>
        <w:r>
          <w:rPr>
            <w:rFonts w:hAnsi="宋体" w:hint="eastAsia"/>
          </w:rPr>
          <w:t>℃</w:t>
        </w:r>
      </w:smartTag>
      <w:r>
        <w:rPr>
          <w:rFonts w:hint="eastAsia"/>
        </w:rPr>
        <w:t>，局部最高粮温</w:t>
      </w:r>
      <w:r>
        <w:rPr>
          <w:rFonts w:hAnsi="宋体" w:hint="eastAsia"/>
        </w:rPr>
        <w:t>不超过</w:t>
      </w:r>
      <w:smartTag w:uri="urn:schemas-microsoft-com:office:smarttags" w:element="chmetcnv">
        <w:smartTagPr>
          <w:attr w:name="TCSC" w:val="0"/>
          <w:attr w:name="NumberType" w:val="1"/>
          <w:attr w:name="Negative" w:val="False"/>
          <w:attr w:name="HasSpace" w:val="False"/>
          <w:attr w:name="SourceValue" w:val="20"/>
          <w:attr w:name="UnitName" w:val="℃"/>
        </w:smartTagPr>
        <w:r>
          <w:rPr>
            <w:rFonts w:hint="eastAsia"/>
            <w:i/>
          </w:rPr>
          <w:t>20</w:t>
        </w:r>
        <w:r>
          <w:rPr>
            <w:rFonts w:hint="eastAsia"/>
          </w:rPr>
          <w:t>℃</w:t>
        </w:r>
      </w:smartTag>
      <w:r>
        <w:rPr>
          <w:rFonts w:hint="eastAsia"/>
        </w:rPr>
        <w:t>。</w:t>
      </w:r>
    </w:p>
    <w:p w:rsidR="007A766C" w:rsidRDefault="007A766C">
      <w:pPr>
        <w:pStyle w:val="aff5"/>
        <w:spacing w:line="500" w:lineRule="exact"/>
        <w:ind w:firstLine="420"/>
        <w:rPr>
          <w:rFonts w:hint="eastAsia"/>
        </w:rPr>
      </w:pPr>
      <w:r>
        <w:rPr>
          <w:rFonts w:hint="eastAsia"/>
        </w:rPr>
        <w:t>冬季（低温持续阶段）：华南高温高湿储粮生态区</w:t>
      </w:r>
      <w:r>
        <w:rPr>
          <w:rFonts w:hAnsi="宋体" w:hint="eastAsia"/>
        </w:rPr>
        <w:t>平均粮温不超过</w:t>
      </w:r>
      <w:smartTag w:uri="urn:schemas-microsoft-com:office:smarttags" w:element="chmetcnv">
        <w:smartTagPr>
          <w:attr w:name="TCSC" w:val="0"/>
          <w:attr w:name="NumberType" w:val="1"/>
          <w:attr w:name="Negative" w:val="False"/>
          <w:attr w:name="HasSpace" w:val="False"/>
          <w:attr w:name="SourceValue" w:val="15"/>
          <w:attr w:name="UnitName" w:val="℃"/>
        </w:smartTagPr>
        <w:r>
          <w:rPr>
            <w:rFonts w:hAnsi="宋体" w:hint="eastAsia"/>
            <w:i/>
          </w:rPr>
          <w:t>15</w:t>
        </w:r>
        <w:r>
          <w:rPr>
            <w:rFonts w:hAnsi="宋体" w:hint="eastAsia"/>
          </w:rPr>
          <w:t>℃</w:t>
        </w:r>
      </w:smartTag>
      <w:r>
        <w:rPr>
          <w:rFonts w:hint="eastAsia"/>
        </w:rPr>
        <w:t>，局部最高粮温</w:t>
      </w:r>
      <w:r>
        <w:rPr>
          <w:rFonts w:hAnsi="宋体" w:hint="eastAsia"/>
        </w:rPr>
        <w:t>不超过</w:t>
      </w:r>
      <w:smartTag w:uri="urn:schemas-microsoft-com:office:smarttags" w:element="chmetcnv">
        <w:smartTagPr>
          <w:attr w:name="TCSC" w:val="0"/>
          <w:attr w:name="NumberType" w:val="1"/>
          <w:attr w:name="Negative" w:val="False"/>
          <w:attr w:name="HasSpace" w:val="False"/>
          <w:attr w:name="SourceValue" w:val="20"/>
          <w:attr w:name="UnitName" w:val="℃"/>
        </w:smartTagPr>
        <w:r>
          <w:rPr>
            <w:rFonts w:hint="eastAsia"/>
            <w:i/>
          </w:rPr>
          <w:t>20</w:t>
        </w:r>
        <w:r>
          <w:rPr>
            <w:rFonts w:hint="eastAsia"/>
          </w:rPr>
          <w:t>℃</w:t>
        </w:r>
      </w:smartTag>
      <w:r>
        <w:rPr>
          <w:rFonts w:hint="eastAsia"/>
        </w:rPr>
        <w:t>；华中华东热湿储粮生态区</w:t>
      </w:r>
      <w:r>
        <w:rPr>
          <w:rFonts w:hAnsi="宋体" w:hint="eastAsia"/>
        </w:rPr>
        <w:t>平均粮温不超过</w:t>
      </w:r>
      <w:smartTag w:uri="urn:schemas-microsoft-com:office:smarttags" w:element="chmetcnv">
        <w:smartTagPr>
          <w:attr w:name="TCSC" w:val="0"/>
          <w:attr w:name="NumberType" w:val="1"/>
          <w:attr w:name="Negative" w:val="False"/>
          <w:attr w:name="HasSpace" w:val="False"/>
          <w:attr w:name="SourceValue" w:val="10"/>
          <w:attr w:name="UnitName" w:val="℃"/>
        </w:smartTagPr>
        <w:r>
          <w:rPr>
            <w:rFonts w:hAnsi="宋体" w:hint="eastAsia"/>
            <w:i/>
          </w:rPr>
          <w:t>10</w:t>
        </w:r>
        <w:r>
          <w:rPr>
            <w:rFonts w:hAnsi="宋体" w:hint="eastAsia"/>
          </w:rPr>
          <w:t>℃</w:t>
        </w:r>
      </w:smartTag>
      <w:r>
        <w:rPr>
          <w:rFonts w:hint="eastAsia"/>
        </w:rPr>
        <w:t>，局部最高粮温</w:t>
      </w:r>
      <w:r>
        <w:rPr>
          <w:rFonts w:hAnsi="宋体" w:hint="eastAsia"/>
        </w:rPr>
        <w:t>不超过</w:t>
      </w:r>
      <w:smartTag w:uri="urn:schemas-microsoft-com:office:smarttags" w:element="chmetcnv">
        <w:smartTagPr>
          <w:attr w:name="TCSC" w:val="0"/>
          <w:attr w:name="NumberType" w:val="1"/>
          <w:attr w:name="Negative" w:val="False"/>
          <w:attr w:name="HasSpace" w:val="False"/>
          <w:attr w:name="SourceValue" w:val="20"/>
          <w:attr w:name="UnitName" w:val="℃"/>
        </w:smartTagPr>
        <w:r>
          <w:rPr>
            <w:rFonts w:hint="eastAsia"/>
            <w:i/>
          </w:rPr>
          <w:t>20</w:t>
        </w:r>
        <w:r>
          <w:rPr>
            <w:rFonts w:hint="eastAsia"/>
          </w:rPr>
          <w:t>℃</w:t>
        </w:r>
      </w:smartTag>
      <w:r>
        <w:rPr>
          <w:rFonts w:hint="eastAsia"/>
        </w:rPr>
        <w:t>；云贵中温低湿储粮生态区</w:t>
      </w:r>
      <w:r>
        <w:rPr>
          <w:rFonts w:hAnsi="宋体" w:hint="eastAsia"/>
        </w:rPr>
        <w:t>平均粮温不超过</w:t>
      </w:r>
      <w:smartTag w:uri="urn:schemas-microsoft-com:office:smarttags" w:element="chmetcnv">
        <w:smartTagPr>
          <w:attr w:name="TCSC" w:val="0"/>
          <w:attr w:name="NumberType" w:val="1"/>
          <w:attr w:name="Negative" w:val="False"/>
          <w:attr w:name="HasSpace" w:val="False"/>
          <w:attr w:name="SourceValue" w:val="10"/>
          <w:attr w:name="UnitName" w:val="℃"/>
        </w:smartTagPr>
        <w:r>
          <w:rPr>
            <w:rFonts w:hAnsi="宋体" w:hint="eastAsia"/>
            <w:i/>
          </w:rPr>
          <w:t>10</w:t>
        </w:r>
        <w:r>
          <w:rPr>
            <w:rFonts w:hAnsi="宋体" w:hint="eastAsia"/>
          </w:rPr>
          <w:t>℃</w:t>
        </w:r>
      </w:smartTag>
      <w:r>
        <w:rPr>
          <w:rFonts w:hint="eastAsia"/>
        </w:rPr>
        <w:t>，局部最高粮温</w:t>
      </w:r>
      <w:r>
        <w:rPr>
          <w:rFonts w:hAnsi="宋体" w:hint="eastAsia"/>
        </w:rPr>
        <w:t>不超过</w:t>
      </w:r>
      <w:smartTag w:uri="urn:schemas-microsoft-com:office:smarttags" w:element="chmetcnv">
        <w:smartTagPr>
          <w:attr w:name="TCSC" w:val="0"/>
          <w:attr w:name="NumberType" w:val="1"/>
          <w:attr w:name="Negative" w:val="False"/>
          <w:attr w:name="HasSpace" w:val="False"/>
          <w:attr w:name="SourceValue" w:val="15"/>
          <w:attr w:name="UnitName" w:val="℃"/>
        </w:smartTagPr>
        <w:r>
          <w:rPr>
            <w:rFonts w:hint="eastAsia"/>
            <w:i/>
          </w:rPr>
          <w:t>15</w:t>
        </w:r>
        <w:r>
          <w:rPr>
            <w:rFonts w:hint="eastAsia"/>
          </w:rPr>
          <w:t>℃</w:t>
        </w:r>
      </w:smartTag>
      <w:r>
        <w:rPr>
          <w:rFonts w:hint="eastAsia"/>
        </w:rPr>
        <w:t>。</w:t>
      </w:r>
    </w:p>
    <w:p w:rsidR="007A766C" w:rsidRDefault="007A766C">
      <w:pPr>
        <w:pStyle w:val="aff5"/>
        <w:spacing w:line="500" w:lineRule="exact"/>
        <w:ind w:firstLine="420"/>
        <w:rPr>
          <w:rFonts w:hint="eastAsia"/>
        </w:rPr>
      </w:pPr>
      <w:r>
        <w:rPr>
          <w:rFonts w:hint="eastAsia"/>
        </w:rPr>
        <w:t>春季（气温上升阶段）：华南高温高湿储粮生态区</w:t>
      </w:r>
      <w:r>
        <w:rPr>
          <w:rFonts w:hAnsi="宋体" w:hint="eastAsia"/>
        </w:rPr>
        <w:t>平均粮温不超过</w:t>
      </w:r>
      <w:smartTag w:uri="urn:schemas-microsoft-com:office:smarttags" w:element="chmetcnv">
        <w:smartTagPr>
          <w:attr w:name="TCSC" w:val="0"/>
          <w:attr w:name="NumberType" w:val="1"/>
          <w:attr w:name="Negative" w:val="False"/>
          <w:attr w:name="HasSpace" w:val="False"/>
          <w:attr w:name="SourceValue" w:val="18"/>
          <w:attr w:name="UnitName" w:val="℃"/>
        </w:smartTagPr>
        <w:r>
          <w:rPr>
            <w:rFonts w:hAnsi="宋体" w:hint="eastAsia"/>
            <w:i/>
          </w:rPr>
          <w:t>18</w:t>
        </w:r>
        <w:r>
          <w:rPr>
            <w:rFonts w:hAnsi="宋体" w:hint="eastAsia"/>
          </w:rPr>
          <w:t>℃</w:t>
        </w:r>
      </w:smartTag>
      <w:r>
        <w:rPr>
          <w:rFonts w:hint="eastAsia"/>
        </w:rPr>
        <w:t>，局部最高粮温</w:t>
      </w:r>
      <w:r>
        <w:rPr>
          <w:rFonts w:hAnsi="宋体" w:hint="eastAsia"/>
        </w:rPr>
        <w:t>不超过</w:t>
      </w:r>
      <w:smartTag w:uri="urn:schemas-microsoft-com:office:smarttags" w:element="chmetcnv">
        <w:smartTagPr>
          <w:attr w:name="TCSC" w:val="0"/>
          <w:attr w:name="NumberType" w:val="1"/>
          <w:attr w:name="Negative" w:val="False"/>
          <w:attr w:name="HasSpace" w:val="False"/>
          <w:attr w:name="SourceValue" w:val="25"/>
          <w:attr w:name="UnitName" w:val="℃"/>
        </w:smartTagPr>
        <w:r>
          <w:rPr>
            <w:rFonts w:hint="eastAsia"/>
            <w:i/>
          </w:rPr>
          <w:t>25</w:t>
        </w:r>
        <w:r>
          <w:rPr>
            <w:rFonts w:hint="eastAsia"/>
          </w:rPr>
          <w:t>℃</w:t>
        </w:r>
      </w:smartTag>
      <w:r>
        <w:rPr>
          <w:rFonts w:hint="eastAsia"/>
        </w:rPr>
        <w:t>；华中华东热湿储粮生态区</w:t>
      </w:r>
      <w:r>
        <w:rPr>
          <w:rFonts w:hAnsi="宋体" w:hint="eastAsia"/>
        </w:rPr>
        <w:t>平均粮温不超过</w:t>
      </w:r>
      <w:smartTag w:uri="urn:schemas-microsoft-com:office:smarttags" w:element="chmetcnv">
        <w:smartTagPr>
          <w:attr w:name="TCSC" w:val="0"/>
          <w:attr w:name="NumberType" w:val="1"/>
          <w:attr w:name="Negative" w:val="False"/>
          <w:attr w:name="HasSpace" w:val="False"/>
          <w:attr w:name="SourceValue" w:val="15"/>
          <w:attr w:name="UnitName" w:val="℃"/>
        </w:smartTagPr>
        <w:r>
          <w:rPr>
            <w:rFonts w:hAnsi="宋体" w:hint="eastAsia"/>
            <w:i/>
          </w:rPr>
          <w:t>15</w:t>
        </w:r>
        <w:r>
          <w:rPr>
            <w:rFonts w:hAnsi="宋体" w:hint="eastAsia"/>
          </w:rPr>
          <w:t>℃</w:t>
        </w:r>
      </w:smartTag>
      <w:r>
        <w:rPr>
          <w:rFonts w:hint="eastAsia"/>
        </w:rPr>
        <w:t>，局部最高粮温</w:t>
      </w:r>
      <w:r>
        <w:rPr>
          <w:rFonts w:hAnsi="宋体" w:hint="eastAsia"/>
        </w:rPr>
        <w:t>不超过</w:t>
      </w:r>
      <w:smartTag w:uri="urn:schemas-microsoft-com:office:smarttags" w:element="chmetcnv">
        <w:smartTagPr>
          <w:attr w:name="TCSC" w:val="0"/>
          <w:attr w:name="NumberType" w:val="1"/>
          <w:attr w:name="Negative" w:val="False"/>
          <w:attr w:name="HasSpace" w:val="False"/>
          <w:attr w:name="SourceValue" w:val="20"/>
          <w:attr w:name="UnitName" w:val="℃"/>
        </w:smartTagPr>
        <w:r>
          <w:rPr>
            <w:rFonts w:hint="eastAsia"/>
            <w:i/>
          </w:rPr>
          <w:t>20</w:t>
        </w:r>
        <w:r>
          <w:rPr>
            <w:rFonts w:hint="eastAsia"/>
          </w:rPr>
          <w:t>℃</w:t>
        </w:r>
      </w:smartTag>
      <w:r>
        <w:rPr>
          <w:rFonts w:hint="eastAsia"/>
        </w:rPr>
        <w:t>；云贵中温低湿储粮生态区</w:t>
      </w:r>
      <w:r>
        <w:rPr>
          <w:rFonts w:hAnsi="宋体" w:hint="eastAsia"/>
        </w:rPr>
        <w:t>平均粮温不超过</w:t>
      </w:r>
      <w:smartTag w:uri="urn:schemas-microsoft-com:office:smarttags" w:element="chmetcnv">
        <w:smartTagPr>
          <w:attr w:name="TCSC" w:val="0"/>
          <w:attr w:name="NumberType" w:val="1"/>
          <w:attr w:name="Negative" w:val="False"/>
          <w:attr w:name="HasSpace" w:val="False"/>
          <w:attr w:name="SourceValue" w:val="15"/>
          <w:attr w:name="UnitName" w:val="℃"/>
        </w:smartTagPr>
        <w:r>
          <w:rPr>
            <w:rFonts w:hAnsi="宋体" w:hint="eastAsia"/>
            <w:i/>
          </w:rPr>
          <w:t>15</w:t>
        </w:r>
        <w:r>
          <w:rPr>
            <w:rFonts w:hAnsi="宋体" w:hint="eastAsia"/>
          </w:rPr>
          <w:t>℃</w:t>
        </w:r>
      </w:smartTag>
      <w:r>
        <w:rPr>
          <w:rFonts w:hint="eastAsia"/>
        </w:rPr>
        <w:t>，局部最高粮温</w:t>
      </w:r>
      <w:r>
        <w:rPr>
          <w:rFonts w:hAnsi="宋体" w:hint="eastAsia"/>
        </w:rPr>
        <w:t>不超过</w:t>
      </w:r>
      <w:smartTag w:uri="urn:schemas-microsoft-com:office:smarttags" w:element="chmetcnv">
        <w:smartTagPr>
          <w:attr w:name="TCSC" w:val="0"/>
          <w:attr w:name="NumberType" w:val="1"/>
          <w:attr w:name="Negative" w:val="False"/>
          <w:attr w:name="HasSpace" w:val="False"/>
          <w:attr w:name="SourceValue" w:val="20"/>
          <w:attr w:name="UnitName" w:val="℃"/>
        </w:smartTagPr>
        <w:r>
          <w:rPr>
            <w:rFonts w:hint="eastAsia"/>
            <w:i/>
          </w:rPr>
          <w:t>20</w:t>
        </w:r>
        <w:r>
          <w:rPr>
            <w:rFonts w:hint="eastAsia"/>
          </w:rPr>
          <w:t>℃</w:t>
        </w:r>
      </w:smartTag>
      <w:r>
        <w:rPr>
          <w:rFonts w:hint="eastAsia"/>
        </w:rPr>
        <w:t>。</w:t>
      </w:r>
    </w:p>
    <w:p w:rsidR="007A766C" w:rsidRDefault="007A766C">
      <w:pPr>
        <w:pStyle w:val="aff5"/>
        <w:spacing w:line="500" w:lineRule="exact"/>
        <w:ind w:firstLine="420"/>
        <w:rPr>
          <w:rFonts w:hint="eastAsia"/>
        </w:rPr>
      </w:pPr>
      <w:r>
        <w:rPr>
          <w:rFonts w:hint="eastAsia"/>
        </w:rPr>
        <w:t>夏季</w:t>
      </w:r>
      <w:r>
        <w:rPr>
          <w:rFonts w:hAnsi="宋体" w:hint="eastAsia"/>
        </w:rPr>
        <w:t>（高温持续阶段）：</w:t>
      </w:r>
      <w:r>
        <w:rPr>
          <w:rFonts w:hint="eastAsia"/>
        </w:rPr>
        <w:t>华南高温高湿储粮生态区</w:t>
      </w:r>
      <w:r>
        <w:rPr>
          <w:rFonts w:hAnsi="宋体" w:hint="eastAsia"/>
        </w:rPr>
        <w:t>平均粮温不超过</w:t>
      </w:r>
      <w:smartTag w:uri="urn:schemas-microsoft-com:office:smarttags" w:element="chmetcnv">
        <w:smartTagPr>
          <w:attr w:name="TCSC" w:val="0"/>
          <w:attr w:name="NumberType" w:val="1"/>
          <w:attr w:name="Negative" w:val="False"/>
          <w:attr w:name="HasSpace" w:val="False"/>
          <w:attr w:name="SourceValue" w:val="20"/>
          <w:attr w:name="UnitName" w:val="℃"/>
        </w:smartTagPr>
        <w:r>
          <w:rPr>
            <w:rFonts w:hAnsi="宋体" w:hint="eastAsia"/>
            <w:i/>
          </w:rPr>
          <w:t>20</w:t>
        </w:r>
        <w:r>
          <w:rPr>
            <w:rFonts w:hAnsi="宋体" w:hint="eastAsia"/>
          </w:rPr>
          <w:t>℃</w:t>
        </w:r>
      </w:smartTag>
      <w:r>
        <w:rPr>
          <w:rFonts w:hint="eastAsia"/>
        </w:rPr>
        <w:t>，局部最高粮温</w:t>
      </w:r>
      <w:r>
        <w:rPr>
          <w:rFonts w:hAnsi="宋体" w:hint="eastAsia"/>
        </w:rPr>
        <w:t>不超过</w:t>
      </w:r>
      <w:smartTag w:uri="urn:schemas-microsoft-com:office:smarttags" w:element="chmetcnv">
        <w:smartTagPr>
          <w:attr w:name="TCSC" w:val="0"/>
          <w:attr w:name="NumberType" w:val="1"/>
          <w:attr w:name="Negative" w:val="False"/>
          <w:attr w:name="HasSpace" w:val="False"/>
          <w:attr w:name="SourceValue" w:val="28"/>
          <w:attr w:name="UnitName" w:val="℃"/>
        </w:smartTagPr>
        <w:r>
          <w:rPr>
            <w:rFonts w:hint="eastAsia"/>
            <w:i/>
          </w:rPr>
          <w:t>28</w:t>
        </w:r>
        <w:r>
          <w:rPr>
            <w:rFonts w:hint="eastAsia"/>
          </w:rPr>
          <w:t>℃</w:t>
        </w:r>
      </w:smartTag>
      <w:r>
        <w:rPr>
          <w:rFonts w:hint="eastAsia"/>
        </w:rPr>
        <w:t>；华中华东热湿储粮生态区</w:t>
      </w:r>
      <w:r>
        <w:rPr>
          <w:rFonts w:hAnsi="宋体" w:hint="eastAsia"/>
        </w:rPr>
        <w:t>平均粮温不超过</w:t>
      </w:r>
      <w:smartTag w:uri="urn:schemas-microsoft-com:office:smarttags" w:element="chmetcnv">
        <w:smartTagPr>
          <w:attr w:name="TCSC" w:val="0"/>
          <w:attr w:name="NumberType" w:val="1"/>
          <w:attr w:name="Negative" w:val="False"/>
          <w:attr w:name="HasSpace" w:val="False"/>
          <w:attr w:name="SourceValue" w:val="20"/>
          <w:attr w:name="UnitName" w:val="℃"/>
        </w:smartTagPr>
        <w:r>
          <w:rPr>
            <w:rFonts w:hAnsi="宋体" w:hint="eastAsia"/>
            <w:i/>
            <w:iCs/>
          </w:rPr>
          <w:t>20</w:t>
        </w:r>
        <w:r>
          <w:rPr>
            <w:rFonts w:hAnsi="宋体" w:hint="eastAsia"/>
          </w:rPr>
          <w:t>℃</w:t>
        </w:r>
      </w:smartTag>
      <w:r>
        <w:rPr>
          <w:rFonts w:hint="eastAsia"/>
        </w:rPr>
        <w:t>，局部最高粮温</w:t>
      </w:r>
      <w:r>
        <w:rPr>
          <w:rFonts w:hAnsi="宋体" w:hint="eastAsia"/>
        </w:rPr>
        <w:t>不超过</w:t>
      </w:r>
      <w:smartTag w:uri="urn:schemas-microsoft-com:office:smarttags" w:element="chmetcnv">
        <w:smartTagPr>
          <w:attr w:name="TCSC" w:val="0"/>
          <w:attr w:name="NumberType" w:val="1"/>
          <w:attr w:name="Negative" w:val="False"/>
          <w:attr w:name="HasSpace" w:val="False"/>
          <w:attr w:name="SourceValue" w:val="25"/>
          <w:attr w:name="UnitName" w:val="℃"/>
        </w:smartTagPr>
        <w:r>
          <w:rPr>
            <w:rFonts w:hint="eastAsia"/>
            <w:i/>
          </w:rPr>
          <w:t>25</w:t>
        </w:r>
        <w:r>
          <w:rPr>
            <w:rFonts w:hint="eastAsia"/>
          </w:rPr>
          <w:t>℃</w:t>
        </w:r>
      </w:smartTag>
      <w:r>
        <w:rPr>
          <w:rFonts w:hint="eastAsia"/>
        </w:rPr>
        <w:t>；云贵中温低湿储粮生态区</w:t>
      </w:r>
      <w:r>
        <w:rPr>
          <w:rFonts w:hAnsi="宋体" w:hint="eastAsia"/>
        </w:rPr>
        <w:t>平均粮温不超过</w:t>
      </w:r>
      <w:smartTag w:uri="urn:schemas-microsoft-com:office:smarttags" w:element="chmetcnv">
        <w:smartTagPr>
          <w:attr w:name="TCSC" w:val="0"/>
          <w:attr w:name="NumberType" w:val="1"/>
          <w:attr w:name="Negative" w:val="False"/>
          <w:attr w:name="HasSpace" w:val="False"/>
          <w:attr w:name="SourceValue" w:val="18"/>
          <w:attr w:name="UnitName" w:val="℃"/>
        </w:smartTagPr>
        <w:r>
          <w:rPr>
            <w:rFonts w:hAnsi="宋体" w:hint="eastAsia"/>
            <w:i/>
          </w:rPr>
          <w:t>18</w:t>
        </w:r>
        <w:r>
          <w:rPr>
            <w:rFonts w:hAnsi="宋体" w:hint="eastAsia"/>
          </w:rPr>
          <w:t>℃</w:t>
        </w:r>
      </w:smartTag>
      <w:r>
        <w:rPr>
          <w:rFonts w:hint="eastAsia"/>
        </w:rPr>
        <w:t>，局部最高粮温</w:t>
      </w:r>
      <w:r>
        <w:rPr>
          <w:rFonts w:hAnsi="宋体" w:hint="eastAsia"/>
        </w:rPr>
        <w:t>不超过</w:t>
      </w:r>
      <w:smartTag w:uri="urn:schemas-microsoft-com:office:smarttags" w:element="chmetcnv">
        <w:smartTagPr>
          <w:attr w:name="TCSC" w:val="0"/>
          <w:attr w:name="NumberType" w:val="1"/>
          <w:attr w:name="Negative" w:val="False"/>
          <w:attr w:name="HasSpace" w:val="False"/>
          <w:attr w:name="SourceValue" w:val="25"/>
          <w:attr w:name="UnitName" w:val="℃"/>
        </w:smartTagPr>
        <w:r>
          <w:rPr>
            <w:rFonts w:hint="eastAsia"/>
            <w:i/>
          </w:rPr>
          <w:t>25</w:t>
        </w:r>
        <w:r>
          <w:rPr>
            <w:rFonts w:hint="eastAsia"/>
          </w:rPr>
          <w:t>℃</w:t>
        </w:r>
      </w:smartTag>
      <w:r>
        <w:rPr>
          <w:rFonts w:hint="eastAsia"/>
        </w:rPr>
        <w:t>。</w:t>
      </w:r>
    </w:p>
    <w:p w:rsidR="007A766C" w:rsidRDefault="007A766C">
      <w:pPr>
        <w:pStyle w:val="af0"/>
        <w:spacing w:line="500" w:lineRule="exact"/>
        <w:rPr>
          <w:rFonts w:hint="eastAsia"/>
        </w:rPr>
      </w:pPr>
      <w:r>
        <w:rPr>
          <w:rFonts w:hint="eastAsia"/>
        </w:rPr>
        <w:t>控温储藏技术路线</w:t>
      </w:r>
    </w:p>
    <w:p w:rsidR="007A766C" w:rsidRDefault="007A766C">
      <w:pPr>
        <w:pStyle w:val="aff5"/>
        <w:spacing w:line="500" w:lineRule="exact"/>
        <w:ind w:firstLine="420"/>
        <w:rPr>
          <w:rFonts w:hint="eastAsia"/>
        </w:rPr>
      </w:pPr>
      <w:r>
        <w:rPr>
          <w:rFonts w:hint="eastAsia"/>
        </w:rPr>
        <w:t>控温储藏技术路线为</w:t>
      </w:r>
      <w:r>
        <w:rPr>
          <w:rFonts w:hint="eastAsia"/>
          <w:b/>
        </w:rPr>
        <w:t>“</w:t>
      </w:r>
      <w:r>
        <w:rPr>
          <w:rFonts w:hint="eastAsia"/>
        </w:rPr>
        <w:t>秋冬通风，降低基础粮温；春季隔热，延缓粮温升高；夏季排热，适时补充冷源”，</w:t>
      </w:r>
      <w:r>
        <w:rPr>
          <w:rFonts w:hAnsi="宋体" w:hint="eastAsia"/>
        </w:rPr>
        <w:t>简称为“控温储粮三要点”，</w:t>
      </w:r>
      <w:r>
        <w:rPr>
          <w:rFonts w:hint="eastAsia"/>
        </w:rPr>
        <w:t>即秋冬季积极抓住低温时机，采取自然通风或机械通风等措施，尽可能降低粮温，重点作好蓄冷工作；入春后及早做好仓房、粮堆的密闭和隔热处理工作，抑制和延缓外界环境对粮堆的影响，重点作好保冷工作；夏季及时排除仓内积热，适时开启制冷设备补充冷源，重点做好散热补冷工作。</w:t>
      </w:r>
    </w:p>
    <w:p w:rsidR="007A766C" w:rsidRDefault="007A766C">
      <w:pPr>
        <w:pStyle w:val="af0"/>
        <w:spacing w:line="500" w:lineRule="exact"/>
        <w:rPr>
          <w:rFonts w:hint="eastAsia"/>
        </w:rPr>
      </w:pPr>
      <w:r>
        <w:rPr>
          <w:rFonts w:hint="eastAsia"/>
        </w:rPr>
        <w:t>秋冬季通风技术</w:t>
      </w:r>
    </w:p>
    <w:p w:rsidR="007A766C" w:rsidRDefault="007A766C">
      <w:pPr>
        <w:spacing w:line="500" w:lineRule="exact"/>
        <w:rPr>
          <w:rFonts w:ascii="宋体" w:hint="eastAsia"/>
          <w:noProof/>
          <w:kern w:val="0"/>
          <w:szCs w:val="20"/>
        </w:rPr>
      </w:pPr>
      <w:r>
        <w:rPr>
          <w:rFonts w:eastAsia="黑体" w:hint="eastAsia"/>
          <w:kern w:val="0"/>
          <w:szCs w:val="20"/>
        </w:rPr>
        <w:t xml:space="preserve">5.3.1 </w:t>
      </w:r>
      <w:r>
        <w:rPr>
          <w:rFonts w:ascii="宋体" w:hint="eastAsia"/>
          <w:noProof/>
          <w:kern w:val="0"/>
          <w:szCs w:val="20"/>
        </w:rPr>
        <w:t>粮食入仓期间和入仓后，应利用机械通风平衡粮食水分，消除和避免水分分层和结露，在秋冬季节应利用有利时机将粮温逐步降到目标温度以下。粮食分批入仓时，粮温相差超过</w:t>
      </w:r>
      <w:smartTag w:uri="urn:schemas-microsoft-com:office:smarttags" w:element="chmetcnv">
        <w:smartTagPr>
          <w:attr w:name="TCSC" w:val="0"/>
          <w:attr w:name="NumberType" w:val="1"/>
          <w:attr w:name="Negative" w:val="False"/>
          <w:attr w:name="HasSpace" w:val="False"/>
          <w:attr w:name="SourceValue" w:val="5"/>
          <w:attr w:name="UnitName" w:val="℃"/>
        </w:smartTagPr>
        <w:r>
          <w:rPr>
            <w:rFonts w:ascii="宋体" w:hint="eastAsia"/>
            <w:noProof/>
            <w:kern w:val="0"/>
            <w:szCs w:val="20"/>
          </w:rPr>
          <w:t>5℃</w:t>
        </w:r>
      </w:smartTag>
      <w:r>
        <w:rPr>
          <w:rFonts w:ascii="宋体" w:hint="eastAsia"/>
          <w:noProof/>
          <w:kern w:val="0"/>
          <w:szCs w:val="20"/>
        </w:rPr>
        <w:t>时要采取有效措施均衡粮温。</w:t>
      </w:r>
    </w:p>
    <w:p w:rsidR="007A766C" w:rsidRDefault="007A766C">
      <w:pPr>
        <w:spacing w:line="500" w:lineRule="exact"/>
        <w:rPr>
          <w:rFonts w:ascii="宋体" w:hint="eastAsia"/>
          <w:noProof/>
          <w:kern w:val="0"/>
          <w:szCs w:val="20"/>
          <w:u w:val="single"/>
        </w:rPr>
      </w:pPr>
      <w:r>
        <w:rPr>
          <w:rFonts w:eastAsia="黑体" w:hint="eastAsia"/>
          <w:kern w:val="0"/>
          <w:szCs w:val="20"/>
        </w:rPr>
        <w:t>5.3.2</w:t>
      </w:r>
      <w:r>
        <w:rPr>
          <w:rFonts w:ascii="宋体" w:hint="eastAsia"/>
          <w:noProof/>
          <w:kern w:val="0"/>
          <w:szCs w:val="20"/>
        </w:rPr>
        <w:t>从气温下降时开始，应适时用排风扇降仓温、拱板仓隔层用轴流风机换气排除隔层积热，或分2-3个阶段对储粮进行自然或机械通风，及时排除粮堆内积温和仓房空间积热，逐步降低储粮温度，最终降至控温目标以下。</w:t>
      </w:r>
    </w:p>
    <w:p w:rsidR="007A766C" w:rsidRDefault="007A766C">
      <w:pPr>
        <w:spacing w:line="500" w:lineRule="exact"/>
        <w:rPr>
          <w:rFonts w:ascii="宋体" w:hint="eastAsia"/>
          <w:noProof/>
          <w:kern w:val="0"/>
          <w:szCs w:val="20"/>
        </w:rPr>
      </w:pPr>
      <w:r>
        <w:rPr>
          <w:rFonts w:eastAsia="黑体" w:hint="eastAsia"/>
          <w:kern w:val="0"/>
          <w:szCs w:val="20"/>
        </w:rPr>
        <w:t xml:space="preserve">5.3.3 </w:t>
      </w:r>
      <w:r>
        <w:rPr>
          <w:rFonts w:ascii="宋体" w:hint="eastAsia"/>
          <w:noProof/>
          <w:kern w:val="0"/>
          <w:szCs w:val="20"/>
        </w:rPr>
        <w:t>在分阶段进行自然或机械通风时，各阶段的粮温控制目标应与气温下降趋势基本一致，每阶段降温幅度宜控制在</w:t>
      </w:r>
      <w:smartTag w:uri="urn:schemas-microsoft-com:office:smarttags" w:element="chmetcnv">
        <w:smartTagPr>
          <w:attr w:name="TCSC" w:val="0"/>
          <w:attr w:name="NumberType" w:val="1"/>
          <w:attr w:name="Negative" w:val="False"/>
          <w:attr w:name="HasSpace" w:val="False"/>
          <w:attr w:name="SourceValue" w:val="5"/>
          <w:attr w:name="UnitName" w:val="℃"/>
        </w:smartTagPr>
        <w:r>
          <w:rPr>
            <w:rFonts w:ascii="宋体" w:hint="eastAsia"/>
            <w:noProof/>
            <w:kern w:val="0"/>
            <w:szCs w:val="20"/>
          </w:rPr>
          <w:t>5℃</w:t>
        </w:r>
      </w:smartTag>
      <w:r>
        <w:rPr>
          <w:rFonts w:ascii="宋体" w:hint="eastAsia"/>
          <w:noProof/>
          <w:kern w:val="0"/>
          <w:szCs w:val="20"/>
        </w:rPr>
        <w:t>以内，并且通风后粮堆平均温度与外界气温差值应小于露点温度。</w:t>
      </w:r>
    </w:p>
    <w:p w:rsidR="007A766C" w:rsidRDefault="007A766C">
      <w:pPr>
        <w:spacing w:line="500" w:lineRule="exact"/>
        <w:rPr>
          <w:rFonts w:ascii="宋体" w:hint="eastAsia"/>
          <w:noProof/>
          <w:kern w:val="0"/>
          <w:szCs w:val="20"/>
        </w:rPr>
      </w:pPr>
      <w:r>
        <w:rPr>
          <w:rFonts w:eastAsia="黑体" w:hint="eastAsia"/>
          <w:kern w:val="0"/>
          <w:szCs w:val="20"/>
        </w:rPr>
        <w:t xml:space="preserve">5.3.4 </w:t>
      </w:r>
      <w:r>
        <w:rPr>
          <w:rFonts w:ascii="宋体" w:hint="eastAsia"/>
          <w:noProof/>
          <w:kern w:val="0"/>
          <w:szCs w:val="20"/>
        </w:rPr>
        <w:t>因气温所限或其它原因，基础粮温难以降低到目标温度以下时，可以利用谷物冷却机进行通风降温。</w:t>
      </w:r>
    </w:p>
    <w:p w:rsidR="007A766C" w:rsidRDefault="007A766C">
      <w:pPr>
        <w:spacing w:line="500" w:lineRule="exact"/>
        <w:rPr>
          <w:rFonts w:eastAsia="黑体" w:hint="eastAsia"/>
          <w:kern w:val="0"/>
          <w:szCs w:val="20"/>
        </w:rPr>
      </w:pPr>
      <w:r>
        <w:rPr>
          <w:rFonts w:eastAsia="黑体" w:hint="eastAsia"/>
          <w:kern w:val="0"/>
          <w:szCs w:val="20"/>
        </w:rPr>
        <w:t xml:space="preserve">5.4 </w:t>
      </w:r>
      <w:r>
        <w:rPr>
          <w:rFonts w:eastAsia="黑体" w:hint="eastAsia"/>
          <w:kern w:val="0"/>
          <w:szCs w:val="20"/>
        </w:rPr>
        <w:t>春季隔热技术</w:t>
      </w:r>
    </w:p>
    <w:p w:rsidR="007A766C" w:rsidRDefault="007A766C">
      <w:pPr>
        <w:spacing w:line="500" w:lineRule="exact"/>
        <w:rPr>
          <w:rFonts w:ascii="仿宋_GB2312" w:eastAsia="仿宋_GB2312" w:hint="eastAsia"/>
          <w:sz w:val="28"/>
          <w:szCs w:val="28"/>
        </w:rPr>
      </w:pPr>
      <w:r>
        <w:rPr>
          <w:rFonts w:eastAsia="黑体" w:hint="eastAsia"/>
          <w:kern w:val="0"/>
          <w:szCs w:val="20"/>
        </w:rPr>
        <w:t xml:space="preserve">5.4.1 </w:t>
      </w:r>
      <w:r>
        <w:rPr>
          <w:rFonts w:eastAsia="黑体" w:hint="eastAsia"/>
          <w:kern w:val="0"/>
          <w:szCs w:val="20"/>
        </w:rPr>
        <w:t>仓顶屋面隔热</w:t>
      </w:r>
    </w:p>
    <w:p w:rsidR="007A766C" w:rsidRDefault="007A766C">
      <w:pPr>
        <w:pStyle w:val="aff5"/>
        <w:spacing w:line="500" w:lineRule="exact"/>
        <w:ind w:firstLine="420"/>
        <w:rPr>
          <w:rFonts w:hint="eastAsia"/>
        </w:rPr>
      </w:pPr>
      <w:r>
        <w:rPr>
          <w:rFonts w:hint="eastAsia"/>
        </w:rPr>
        <w:t>采取仓顶外表面附贴隔热材料、涂刷浅色反光隔热涂料、搭盖遮阳网、设架空通风隔热层或安装屋面冷水喷淋系统，仓顶内表面附贴隔热材料等方法。</w:t>
      </w:r>
    </w:p>
    <w:p w:rsidR="007A766C" w:rsidRDefault="007A766C">
      <w:pPr>
        <w:spacing w:line="500" w:lineRule="exact"/>
        <w:rPr>
          <w:rFonts w:ascii="仿宋_GB2312" w:eastAsia="仿宋_GB2312" w:hint="eastAsia"/>
          <w:sz w:val="28"/>
          <w:szCs w:val="28"/>
        </w:rPr>
      </w:pPr>
      <w:r>
        <w:rPr>
          <w:rFonts w:eastAsia="黑体" w:hint="eastAsia"/>
          <w:kern w:val="0"/>
          <w:szCs w:val="20"/>
        </w:rPr>
        <w:t xml:space="preserve">5.4.2 </w:t>
      </w:r>
      <w:r>
        <w:rPr>
          <w:rFonts w:eastAsia="黑体" w:hint="eastAsia"/>
          <w:kern w:val="0"/>
          <w:szCs w:val="20"/>
        </w:rPr>
        <w:t>仓房墙体隔热</w:t>
      </w:r>
    </w:p>
    <w:p w:rsidR="007A766C" w:rsidRDefault="007A766C">
      <w:pPr>
        <w:pStyle w:val="aff5"/>
        <w:spacing w:line="500" w:lineRule="exact"/>
        <w:ind w:firstLine="420"/>
        <w:rPr>
          <w:rFonts w:hint="eastAsia"/>
        </w:rPr>
      </w:pPr>
      <w:r>
        <w:rPr>
          <w:rFonts w:hint="eastAsia"/>
        </w:rPr>
        <w:t>可采取设置夹心隔热墙、仓墙内侧附贴泡沫板等隔热材料、仓内四周增设袋装稻壳围包、仓墙外侧涂刷浅色反光隔热涂料等方法。在不影响粮食进出仓和库区搬倒运输作业的情况下，仓房四周还可植树遮荫，减少光热通过墙体对仓内的传导。</w:t>
      </w:r>
    </w:p>
    <w:p w:rsidR="007A766C" w:rsidRDefault="007A766C">
      <w:pPr>
        <w:spacing w:line="500" w:lineRule="exact"/>
        <w:rPr>
          <w:rFonts w:eastAsia="黑体" w:hint="eastAsia"/>
          <w:kern w:val="0"/>
          <w:szCs w:val="20"/>
        </w:rPr>
      </w:pPr>
      <w:r>
        <w:rPr>
          <w:rFonts w:eastAsia="黑体" w:hint="eastAsia"/>
          <w:kern w:val="0"/>
          <w:szCs w:val="20"/>
        </w:rPr>
        <w:t xml:space="preserve">5.4.3 </w:t>
      </w:r>
      <w:r>
        <w:rPr>
          <w:rFonts w:eastAsia="黑体" w:hint="eastAsia"/>
          <w:kern w:val="0"/>
          <w:szCs w:val="20"/>
        </w:rPr>
        <w:t>粮面压盖隔热</w:t>
      </w:r>
    </w:p>
    <w:p w:rsidR="007A766C" w:rsidRDefault="007A766C">
      <w:pPr>
        <w:pStyle w:val="aff5"/>
        <w:spacing w:line="500" w:lineRule="exact"/>
        <w:ind w:firstLine="420"/>
        <w:rPr>
          <w:rFonts w:hint="eastAsia"/>
        </w:rPr>
      </w:pPr>
      <w:r>
        <w:rPr>
          <w:rFonts w:hint="eastAsia"/>
        </w:rPr>
        <w:t>采取袋装稻壳、泡沫板、保温板（毯）等隔热材料压盖粮面的静态</w:t>
      </w:r>
      <w:r>
        <w:rPr>
          <w:rFonts w:hAnsi="宋体" w:hint="eastAsia"/>
        </w:rPr>
        <w:t>隔热方式，</w:t>
      </w:r>
      <w:r>
        <w:rPr>
          <w:rFonts w:hint="eastAsia"/>
        </w:rPr>
        <w:t>或设置</w:t>
      </w:r>
      <w:r>
        <w:rPr>
          <w:rFonts w:hAnsi="宋体" w:hint="eastAsia"/>
        </w:rPr>
        <w:t>粮面空气间层补充冷源的动态隔热等方式</w:t>
      </w:r>
      <w:r>
        <w:rPr>
          <w:rFonts w:hint="eastAsia"/>
        </w:rPr>
        <w:t>。</w:t>
      </w:r>
    </w:p>
    <w:p w:rsidR="007A766C" w:rsidRDefault="007A766C">
      <w:pPr>
        <w:spacing w:line="500" w:lineRule="exact"/>
        <w:rPr>
          <w:rFonts w:eastAsia="黑体" w:hint="eastAsia"/>
          <w:kern w:val="0"/>
          <w:szCs w:val="20"/>
        </w:rPr>
      </w:pPr>
      <w:r>
        <w:rPr>
          <w:rFonts w:eastAsia="黑体" w:hint="eastAsia"/>
          <w:kern w:val="0"/>
          <w:szCs w:val="20"/>
        </w:rPr>
        <w:t xml:space="preserve">5.4.4 </w:t>
      </w:r>
      <w:r>
        <w:rPr>
          <w:rFonts w:eastAsia="黑体" w:hint="eastAsia"/>
          <w:kern w:val="0"/>
          <w:szCs w:val="20"/>
        </w:rPr>
        <w:t>门窗及孔洞隔热</w:t>
      </w:r>
    </w:p>
    <w:p w:rsidR="007A766C" w:rsidRDefault="007A766C">
      <w:pPr>
        <w:pStyle w:val="aff5"/>
        <w:spacing w:line="500" w:lineRule="exact"/>
        <w:ind w:firstLine="420"/>
        <w:rPr>
          <w:rFonts w:hint="eastAsia"/>
        </w:rPr>
      </w:pPr>
      <w:r>
        <w:rPr>
          <w:rFonts w:hint="eastAsia"/>
        </w:rPr>
        <w:t>在门窗及孔洞处采取塑料薄膜密闭、填充泡沫板、海绵等隔热材料封堵</w:t>
      </w:r>
      <w:r>
        <w:rPr>
          <w:rFonts w:hAnsi="宋体" w:hint="eastAsia"/>
        </w:rPr>
        <w:t>等方法</w:t>
      </w:r>
      <w:r>
        <w:rPr>
          <w:rFonts w:hint="eastAsia"/>
        </w:rPr>
        <w:t>。</w:t>
      </w:r>
    </w:p>
    <w:p w:rsidR="007A766C" w:rsidRDefault="007A766C">
      <w:pPr>
        <w:spacing w:line="500" w:lineRule="exact"/>
        <w:rPr>
          <w:rFonts w:ascii="宋体" w:hint="eastAsia"/>
          <w:noProof/>
          <w:kern w:val="0"/>
          <w:szCs w:val="20"/>
        </w:rPr>
      </w:pPr>
      <w:r>
        <w:rPr>
          <w:rFonts w:eastAsia="黑体" w:hint="eastAsia"/>
          <w:kern w:val="0"/>
          <w:szCs w:val="20"/>
        </w:rPr>
        <w:t xml:space="preserve">5.5 </w:t>
      </w:r>
      <w:r>
        <w:rPr>
          <w:rFonts w:eastAsia="黑体" w:hint="eastAsia"/>
          <w:kern w:val="0"/>
          <w:szCs w:val="20"/>
        </w:rPr>
        <w:t>夏季排热补冷技术</w:t>
      </w:r>
    </w:p>
    <w:p w:rsidR="007A766C" w:rsidRDefault="007A766C">
      <w:pPr>
        <w:spacing w:line="500" w:lineRule="exact"/>
        <w:rPr>
          <w:rFonts w:ascii="宋体" w:hint="eastAsia"/>
          <w:noProof/>
          <w:kern w:val="0"/>
          <w:szCs w:val="20"/>
        </w:rPr>
      </w:pPr>
      <w:r>
        <w:rPr>
          <w:rFonts w:eastAsia="黑体" w:hint="eastAsia"/>
          <w:kern w:val="0"/>
          <w:szCs w:val="20"/>
        </w:rPr>
        <w:t xml:space="preserve">5.5.1 </w:t>
      </w:r>
      <w:r>
        <w:rPr>
          <w:rFonts w:ascii="宋体" w:hint="eastAsia"/>
          <w:noProof/>
          <w:kern w:val="0"/>
          <w:szCs w:val="20"/>
        </w:rPr>
        <w:t>利用夜间和阴天气温较低时段，通过手控或智能控制开启通风窗和排风扇，及时排除粮仓空间或隔层的积热，控制粮温的上升速度。</w:t>
      </w:r>
    </w:p>
    <w:p w:rsidR="007A766C" w:rsidRDefault="007A766C">
      <w:pPr>
        <w:spacing w:line="500" w:lineRule="exact"/>
        <w:rPr>
          <w:rFonts w:eastAsia="黑体" w:hint="eastAsia"/>
          <w:kern w:val="0"/>
          <w:szCs w:val="20"/>
        </w:rPr>
      </w:pPr>
      <w:r>
        <w:rPr>
          <w:rFonts w:eastAsia="黑体" w:hint="eastAsia"/>
          <w:kern w:val="0"/>
          <w:szCs w:val="20"/>
        </w:rPr>
        <w:t>5.5.2</w:t>
      </w:r>
      <w:r>
        <w:rPr>
          <w:rFonts w:ascii="宋体" w:hint="eastAsia"/>
          <w:noProof/>
          <w:kern w:val="0"/>
          <w:szCs w:val="20"/>
        </w:rPr>
        <w:t>必要时，可适时启动谷物冷却机等补冷设施，采取经济运行模式，调节仓内空间和粮面隔热层等部位温度，控制粮温上升。</w:t>
      </w:r>
    </w:p>
    <w:p w:rsidR="007A766C" w:rsidRDefault="007A766C">
      <w:pPr>
        <w:pStyle w:val="af"/>
        <w:spacing w:before="156" w:after="156" w:line="500" w:lineRule="exact"/>
        <w:rPr>
          <w:rFonts w:hint="eastAsia"/>
        </w:rPr>
      </w:pPr>
      <w:r>
        <w:rPr>
          <w:rFonts w:hint="eastAsia"/>
        </w:rPr>
        <w:t xml:space="preserve"> 控温储粮技术的操作与管理</w:t>
      </w:r>
    </w:p>
    <w:p w:rsidR="007A766C" w:rsidRDefault="007A766C">
      <w:pPr>
        <w:spacing w:line="500" w:lineRule="exact"/>
        <w:rPr>
          <w:rFonts w:ascii="仿宋_GB2312" w:eastAsia="仿宋_GB2312" w:hint="eastAsia"/>
          <w:sz w:val="28"/>
          <w:szCs w:val="28"/>
        </w:rPr>
      </w:pPr>
      <w:r>
        <w:rPr>
          <w:rFonts w:eastAsia="黑体" w:hint="eastAsia"/>
          <w:kern w:val="0"/>
          <w:szCs w:val="20"/>
        </w:rPr>
        <w:t xml:space="preserve">6.1 </w:t>
      </w:r>
      <w:r>
        <w:rPr>
          <w:rFonts w:eastAsia="黑体" w:hint="eastAsia"/>
          <w:kern w:val="0"/>
          <w:szCs w:val="20"/>
        </w:rPr>
        <w:t>秋冬季通风降温的操作与管理</w:t>
      </w:r>
    </w:p>
    <w:p w:rsidR="007A766C" w:rsidRDefault="007A766C">
      <w:pPr>
        <w:spacing w:line="500" w:lineRule="exact"/>
        <w:rPr>
          <w:rFonts w:ascii="宋体" w:hint="eastAsia"/>
          <w:noProof/>
          <w:kern w:val="0"/>
          <w:szCs w:val="20"/>
        </w:rPr>
      </w:pPr>
      <w:r>
        <w:rPr>
          <w:rFonts w:eastAsia="黑体" w:hint="eastAsia"/>
          <w:kern w:val="0"/>
          <w:szCs w:val="20"/>
        </w:rPr>
        <w:t xml:space="preserve">6.1.1 </w:t>
      </w:r>
      <w:r>
        <w:rPr>
          <w:rFonts w:ascii="宋体" w:hint="eastAsia"/>
          <w:noProof/>
          <w:kern w:val="0"/>
          <w:szCs w:val="20"/>
        </w:rPr>
        <w:t>采用机械通风降温时，操作及管理参照《机械通风降温储粮技术规程》（Q/ZCL T2-2007）有关规定执行；采用谷物冷却机进行冷却通风时，操作及管理参照《谷物冷却机低温储粮技术规程》（LS/T 1204-2002）、《谷物冷却机经济运行技术规程》(Q/ZCL T4-2007)和《谷物冷却机一机三仓冷却通风储粮技术规程》(Q/ZCL T5-2007)有关规定执行。</w:t>
      </w:r>
    </w:p>
    <w:p w:rsidR="007A766C" w:rsidRDefault="007A766C">
      <w:pPr>
        <w:spacing w:line="500" w:lineRule="exact"/>
        <w:rPr>
          <w:rFonts w:ascii="仿宋_GB2312" w:eastAsia="仿宋_GB2312" w:hint="eastAsia"/>
          <w:sz w:val="28"/>
          <w:szCs w:val="28"/>
        </w:rPr>
      </w:pPr>
      <w:r>
        <w:rPr>
          <w:rFonts w:eastAsia="黑体" w:hint="eastAsia"/>
          <w:kern w:val="0"/>
          <w:szCs w:val="20"/>
        </w:rPr>
        <w:t xml:space="preserve">6.1.2 </w:t>
      </w:r>
      <w:r>
        <w:rPr>
          <w:rFonts w:ascii="宋体" w:hint="eastAsia"/>
          <w:noProof/>
          <w:kern w:val="0"/>
          <w:szCs w:val="20"/>
        </w:rPr>
        <w:t>加强粮情检查，具体操作参照《粮油储藏技术规范》有关条款执行。</w:t>
      </w:r>
    </w:p>
    <w:p w:rsidR="007A766C" w:rsidRDefault="007A766C">
      <w:pPr>
        <w:spacing w:line="500" w:lineRule="exact"/>
        <w:rPr>
          <w:rFonts w:hint="eastAsia"/>
        </w:rPr>
      </w:pPr>
      <w:r>
        <w:rPr>
          <w:rFonts w:eastAsia="黑体" w:hint="eastAsia"/>
          <w:kern w:val="0"/>
        </w:rPr>
        <w:t>6.1.3</w:t>
      </w:r>
      <w:r>
        <w:rPr>
          <w:rFonts w:hint="eastAsia"/>
        </w:rPr>
        <w:t xml:space="preserve"> </w:t>
      </w:r>
      <w:r>
        <w:rPr>
          <w:rFonts w:hint="eastAsia"/>
        </w:rPr>
        <w:t>进行通风降温时，应结合粮情检测数据和环境条件判断是否允许通风，防止无效通风。</w:t>
      </w:r>
    </w:p>
    <w:p w:rsidR="007A766C" w:rsidRDefault="007A766C">
      <w:pPr>
        <w:spacing w:line="500" w:lineRule="exact"/>
        <w:rPr>
          <w:rFonts w:ascii="宋体" w:hint="eastAsia"/>
          <w:noProof/>
          <w:kern w:val="0"/>
          <w:szCs w:val="20"/>
        </w:rPr>
      </w:pPr>
      <w:r>
        <w:rPr>
          <w:rFonts w:eastAsia="黑体" w:hint="eastAsia"/>
          <w:kern w:val="0"/>
          <w:szCs w:val="20"/>
        </w:rPr>
        <w:t xml:space="preserve">6.1.4 </w:t>
      </w:r>
      <w:r>
        <w:rPr>
          <w:rFonts w:ascii="宋体" w:hint="eastAsia"/>
          <w:noProof/>
          <w:kern w:val="0"/>
          <w:szCs w:val="20"/>
        </w:rPr>
        <w:t>应尽可能采用低功率轴流风机进行通风降温，并尽量选择适宜的单位通风量，在较低的大气温度和与粮堆平衡水分相当的大气湿度条件下进行，避免或减少储粮水分散失。</w:t>
      </w:r>
    </w:p>
    <w:p w:rsidR="007A766C" w:rsidRDefault="007A766C">
      <w:pPr>
        <w:spacing w:line="500" w:lineRule="exact"/>
        <w:rPr>
          <w:rFonts w:ascii="宋体" w:hint="eastAsia"/>
          <w:noProof/>
          <w:kern w:val="0"/>
          <w:szCs w:val="20"/>
        </w:rPr>
      </w:pPr>
      <w:r>
        <w:rPr>
          <w:rFonts w:eastAsia="黑体" w:hint="eastAsia"/>
          <w:kern w:val="0"/>
          <w:szCs w:val="20"/>
        </w:rPr>
        <w:t>6.1.5</w:t>
      </w:r>
      <w:r>
        <w:rPr>
          <w:rFonts w:ascii="宋体" w:hint="eastAsia"/>
          <w:noProof/>
          <w:kern w:val="0"/>
          <w:szCs w:val="20"/>
        </w:rPr>
        <w:t>若粮堆内粮温梯度过大或出现通风死角，应及时调整通风方式、局部增设辅助通风管网等办法减少粮层阻力，以提高降温速度和均匀性。</w:t>
      </w:r>
    </w:p>
    <w:p w:rsidR="007A766C" w:rsidRDefault="007A766C">
      <w:pPr>
        <w:spacing w:line="500" w:lineRule="exact"/>
        <w:rPr>
          <w:rFonts w:ascii="宋体" w:hint="eastAsia"/>
          <w:noProof/>
          <w:kern w:val="0"/>
          <w:szCs w:val="20"/>
        </w:rPr>
      </w:pPr>
      <w:r>
        <w:rPr>
          <w:rFonts w:eastAsia="黑体" w:hint="eastAsia"/>
          <w:kern w:val="0"/>
          <w:szCs w:val="20"/>
        </w:rPr>
        <w:t>6.1.6</w:t>
      </w:r>
      <w:r>
        <w:rPr>
          <w:rFonts w:ascii="宋体" w:hint="eastAsia"/>
          <w:noProof/>
          <w:kern w:val="0"/>
          <w:szCs w:val="20"/>
        </w:rPr>
        <w:t>当气温、仓温、粮温温差过大或变化显著时，注意检查粮食水分和粮堆平衡湿度的变化。若出现轻微结露或存在结露隐患时，应采用小功率轴流风机或排风扇进行低压缓速通风散热，防止发生结露。</w:t>
      </w:r>
    </w:p>
    <w:p w:rsidR="007A766C" w:rsidRDefault="007A766C">
      <w:pPr>
        <w:spacing w:line="500" w:lineRule="exact"/>
        <w:rPr>
          <w:rFonts w:ascii="宋体" w:hint="eastAsia"/>
          <w:noProof/>
          <w:kern w:val="0"/>
          <w:szCs w:val="20"/>
        </w:rPr>
      </w:pPr>
      <w:r>
        <w:rPr>
          <w:rFonts w:eastAsia="黑体" w:hint="eastAsia"/>
          <w:kern w:val="0"/>
          <w:szCs w:val="20"/>
        </w:rPr>
        <w:t>6.1.7</w:t>
      </w:r>
      <w:r>
        <w:rPr>
          <w:rFonts w:ascii="宋体" w:hint="eastAsia"/>
          <w:noProof/>
          <w:kern w:val="0"/>
          <w:szCs w:val="20"/>
        </w:rPr>
        <w:t>发生结露时，应根据具体情况采取有效措施处理。对于粮层轻微的出汗或结露，一般可采取自然通风、结合翻搅粮面或持续机械通风等办法消除。</w:t>
      </w:r>
    </w:p>
    <w:p w:rsidR="007A766C" w:rsidRDefault="007A766C">
      <w:pPr>
        <w:spacing w:line="500" w:lineRule="exact"/>
        <w:rPr>
          <w:rFonts w:ascii="仿宋_GB2312" w:eastAsia="仿宋_GB2312" w:hint="eastAsia"/>
          <w:sz w:val="28"/>
          <w:szCs w:val="28"/>
        </w:rPr>
      </w:pPr>
      <w:r>
        <w:rPr>
          <w:rFonts w:eastAsia="黑体" w:hint="eastAsia"/>
          <w:kern w:val="0"/>
          <w:szCs w:val="20"/>
        </w:rPr>
        <w:t xml:space="preserve">6.2 </w:t>
      </w:r>
      <w:r>
        <w:rPr>
          <w:rFonts w:eastAsia="黑体" w:hint="eastAsia"/>
          <w:kern w:val="0"/>
          <w:szCs w:val="20"/>
        </w:rPr>
        <w:t>春季隔热的操作与管理</w:t>
      </w:r>
    </w:p>
    <w:p w:rsidR="007A766C" w:rsidRDefault="007A766C">
      <w:pPr>
        <w:spacing w:line="500" w:lineRule="exact"/>
        <w:rPr>
          <w:rFonts w:ascii="仿宋_GB2312" w:eastAsia="仿宋_GB2312" w:hint="eastAsia"/>
          <w:sz w:val="28"/>
          <w:szCs w:val="28"/>
        </w:rPr>
      </w:pPr>
      <w:r>
        <w:rPr>
          <w:rFonts w:eastAsia="黑体" w:hint="eastAsia"/>
          <w:kern w:val="0"/>
          <w:szCs w:val="20"/>
        </w:rPr>
        <w:t xml:space="preserve">6.2.1 </w:t>
      </w:r>
      <w:r>
        <w:rPr>
          <w:rFonts w:eastAsia="黑体" w:hint="eastAsia"/>
          <w:kern w:val="0"/>
          <w:szCs w:val="20"/>
        </w:rPr>
        <w:t>隔热前的操作与管理</w:t>
      </w:r>
    </w:p>
    <w:p w:rsidR="007A766C" w:rsidRDefault="007A766C">
      <w:pPr>
        <w:spacing w:line="500" w:lineRule="exact"/>
        <w:rPr>
          <w:rFonts w:ascii="宋体" w:hint="eastAsia"/>
          <w:noProof/>
          <w:kern w:val="0"/>
          <w:szCs w:val="20"/>
        </w:rPr>
      </w:pPr>
      <w:r>
        <w:rPr>
          <w:rFonts w:eastAsia="黑体" w:hint="eastAsia"/>
          <w:kern w:val="0"/>
          <w:szCs w:val="20"/>
        </w:rPr>
        <w:t xml:space="preserve">6.2.1.1 </w:t>
      </w:r>
      <w:r>
        <w:rPr>
          <w:rFonts w:ascii="宋体" w:hint="eastAsia"/>
          <w:noProof/>
          <w:kern w:val="0"/>
          <w:szCs w:val="20"/>
        </w:rPr>
        <w:t>每年降温结束、粮情稳定后，应及早实施隔热保温措施。</w:t>
      </w:r>
    </w:p>
    <w:p w:rsidR="007A766C" w:rsidRDefault="007A766C">
      <w:pPr>
        <w:spacing w:line="500" w:lineRule="exact"/>
        <w:rPr>
          <w:rFonts w:ascii="宋体" w:hint="eastAsia"/>
          <w:noProof/>
          <w:kern w:val="0"/>
          <w:szCs w:val="20"/>
        </w:rPr>
      </w:pPr>
      <w:r>
        <w:rPr>
          <w:rFonts w:eastAsia="黑体" w:hint="eastAsia"/>
          <w:kern w:val="0"/>
          <w:szCs w:val="20"/>
        </w:rPr>
        <w:t xml:space="preserve">6.2.1.2 </w:t>
      </w:r>
      <w:r>
        <w:rPr>
          <w:rFonts w:ascii="宋体" w:hint="eastAsia"/>
          <w:noProof/>
          <w:kern w:val="0"/>
          <w:szCs w:val="20"/>
        </w:rPr>
        <w:t>做好仓房气密性检测及查漏补漏工作。</w:t>
      </w:r>
      <w:r>
        <w:rPr>
          <w:rFonts w:ascii="宋体" w:hAnsi="宋体" w:hint="eastAsia"/>
          <w:noProof/>
          <w:kern w:val="0"/>
          <w:szCs w:val="20"/>
        </w:rPr>
        <w:t>实施隔热措施前应认真检测仓房气密性，检查门、窗、通风口等部位的墙体，如有裂缝、漏气孔应按有关要求进行填充、堵塞和修复。墙壁漏气部位主要采用砂浆水泥密封；各工艺孔洞用玻璃胶、橡胶管、橡胶条等材料密封缝隙；门窗用橡胶条和薄膜密封；板缝用弹性腻子嵌缝，砂浆水泥密封等。确保仓房气密性达到</w:t>
      </w:r>
      <w:r>
        <w:rPr>
          <w:rFonts w:ascii="宋体" w:hint="eastAsia"/>
          <w:noProof/>
          <w:kern w:val="0"/>
          <w:szCs w:val="20"/>
        </w:rPr>
        <w:t>4.2.1款的要求</w:t>
      </w:r>
      <w:r>
        <w:rPr>
          <w:rFonts w:ascii="宋体" w:hAnsi="宋体" w:hint="eastAsia"/>
          <w:noProof/>
          <w:kern w:val="0"/>
          <w:szCs w:val="20"/>
        </w:rPr>
        <w:t>。</w:t>
      </w:r>
    </w:p>
    <w:p w:rsidR="007A766C" w:rsidRDefault="007A766C">
      <w:pPr>
        <w:spacing w:line="500" w:lineRule="exact"/>
        <w:rPr>
          <w:rFonts w:ascii="宋体" w:hint="eastAsia"/>
          <w:noProof/>
          <w:kern w:val="0"/>
          <w:szCs w:val="20"/>
        </w:rPr>
      </w:pPr>
      <w:r>
        <w:rPr>
          <w:rFonts w:eastAsia="黑体" w:hint="eastAsia"/>
          <w:kern w:val="0"/>
          <w:szCs w:val="20"/>
        </w:rPr>
        <w:t>6.2.1.3</w:t>
      </w:r>
      <w:r>
        <w:rPr>
          <w:rFonts w:ascii="宋体" w:hint="eastAsia"/>
          <w:noProof/>
          <w:kern w:val="0"/>
          <w:szCs w:val="20"/>
        </w:rPr>
        <w:t>实施隔热措施前，应全面检查粮情，特别要注意虫害情况，必要时先进行害虫处理，同时要熟悉和掌握粮堆内杂质聚积、水分偏高、粮温变化较为异常等部位的情况，并做好记录。</w:t>
      </w:r>
    </w:p>
    <w:p w:rsidR="007A766C" w:rsidRDefault="007A766C">
      <w:pPr>
        <w:spacing w:line="500" w:lineRule="exact"/>
        <w:rPr>
          <w:rFonts w:eastAsia="黑体" w:hint="eastAsia"/>
          <w:kern w:val="0"/>
          <w:szCs w:val="20"/>
        </w:rPr>
      </w:pPr>
      <w:r>
        <w:rPr>
          <w:rFonts w:eastAsia="黑体" w:hint="eastAsia"/>
          <w:kern w:val="0"/>
          <w:szCs w:val="20"/>
        </w:rPr>
        <w:t>6.2.2</w:t>
      </w:r>
      <w:r>
        <w:rPr>
          <w:rFonts w:ascii="仿宋_GB2312" w:eastAsia="仿宋_GB2312" w:hint="eastAsia"/>
          <w:sz w:val="28"/>
          <w:szCs w:val="28"/>
        </w:rPr>
        <w:t xml:space="preserve"> </w:t>
      </w:r>
      <w:r>
        <w:rPr>
          <w:rFonts w:eastAsia="黑体" w:hint="eastAsia"/>
          <w:kern w:val="0"/>
          <w:szCs w:val="20"/>
        </w:rPr>
        <w:t>仓顶屋面隔热操作与管理</w:t>
      </w:r>
    </w:p>
    <w:p w:rsidR="007A766C" w:rsidRDefault="007A766C">
      <w:pPr>
        <w:spacing w:line="500" w:lineRule="exact"/>
        <w:rPr>
          <w:rFonts w:ascii="宋体" w:hint="eastAsia"/>
          <w:noProof/>
          <w:kern w:val="0"/>
          <w:szCs w:val="20"/>
        </w:rPr>
      </w:pPr>
      <w:r>
        <w:rPr>
          <w:rFonts w:eastAsia="黑体" w:hint="eastAsia"/>
          <w:kern w:val="0"/>
          <w:szCs w:val="20"/>
        </w:rPr>
        <w:t>6.2.2.1</w:t>
      </w:r>
      <w:r>
        <w:rPr>
          <w:rFonts w:ascii="宋体" w:hint="eastAsia"/>
          <w:noProof/>
          <w:kern w:val="0"/>
          <w:szCs w:val="20"/>
        </w:rPr>
        <w:t>粮仓仓顶隔热一般选用在仓顶内外表面附贴硬质聚氨脂发泡塑料、膨胀珍珠岩或膨胀蛭石等隔热材料或仓顶涂刷浅色反光涂料；在仓顶上可设置架空层，在仓顶下可吊顶隔热。隔热施工必须符合相关技术规程，隔热材料的</w:t>
      </w:r>
      <w:r>
        <w:rPr>
          <w:rFonts w:ascii="宋体" w:hAnsi="宋体" w:hint="eastAsia"/>
          <w:noProof/>
          <w:kern w:val="0"/>
          <w:szCs w:val="20"/>
        </w:rPr>
        <w:t>导热系数应小于0.23W/m</w:t>
      </w:r>
      <w:r>
        <w:rPr>
          <w:rFonts w:ascii="宋体" w:hAnsi="宋体" w:hint="eastAsia"/>
          <w:noProof/>
          <w:kern w:val="0"/>
          <w:szCs w:val="20"/>
          <w:vertAlign w:val="superscript"/>
        </w:rPr>
        <w:t>2</w:t>
      </w:r>
      <w:r>
        <w:rPr>
          <w:rFonts w:ascii="宋体" w:hAnsi="宋体" w:hint="eastAsia"/>
          <w:noProof/>
          <w:kern w:val="0"/>
          <w:szCs w:val="20"/>
        </w:rPr>
        <w:t>·K，容重应小于</w:t>
      </w:r>
      <w:smartTag w:uri="urn:schemas-microsoft-com:office:smarttags" w:element="chmetcnv">
        <w:smartTagPr>
          <w:attr w:name="TCSC" w:val="0"/>
          <w:attr w:name="NumberType" w:val="1"/>
          <w:attr w:name="Negative" w:val="False"/>
          <w:attr w:name="HasSpace" w:val="False"/>
          <w:attr w:name="SourceValue" w:val="1000"/>
          <w:attr w:name="UnitName" w:val="kg"/>
        </w:smartTagPr>
        <w:r>
          <w:rPr>
            <w:rFonts w:ascii="宋体" w:hAnsi="宋体" w:hint="eastAsia"/>
            <w:noProof/>
            <w:kern w:val="0"/>
            <w:szCs w:val="20"/>
          </w:rPr>
          <w:t>1000kg</w:t>
        </w:r>
      </w:smartTag>
      <w:r>
        <w:rPr>
          <w:rFonts w:ascii="宋体" w:hAnsi="宋体" w:hint="eastAsia"/>
          <w:noProof/>
          <w:kern w:val="0"/>
          <w:szCs w:val="20"/>
        </w:rPr>
        <w:t>/m</w:t>
      </w:r>
      <w:r>
        <w:rPr>
          <w:rFonts w:ascii="宋体" w:hAnsi="宋体" w:hint="eastAsia"/>
          <w:noProof/>
          <w:kern w:val="0"/>
          <w:szCs w:val="20"/>
          <w:vertAlign w:val="superscript"/>
        </w:rPr>
        <w:t>3</w:t>
      </w:r>
      <w:r>
        <w:rPr>
          <w:rFonts w:ascii="宋体" w:hint="eastAsia"/>
          <w:noProof/>
          <w:kern w:val="0"/>
          <w:szCs w:val="20"/>
        </w:rPr>
        <w:t>。</w:t>
      </w:r>
    </w:p>
    <w:p w:rsidR="007A766C" w:rsidRDefault="007A766C">
      <w:pPr>
        <w:spacing w:line="500" w:lineRule="exact"/>
        <w:rPr>
          <w:rFonts w:ascii="宋体" w:hint="eastAsia"/>
          <w:noProof/>
          <w:kern w:val="0"/>
          <w:szCs w:val="20"/>
        </w:rPr>
      </w:pPr>
      <w:r>
        <w:rPr>
          <w:rFonts w:eastAsia="黑体" w:hint="eastAsia"/>
          <w:kern w:val="0"/>
          <w:szCs w:val="20"/>
        </w:rPr>
        <w:t xml:space="preserve">6.2.2.2 </w:t>
      </w:r>
      <w:r>
        <w:rPr>
          <w:rFonts w:ascii="宋体" w:hint="eastAsia"/>
          <w:noProof/>
          <w:kern w:val="0"/>
          <w:szCs w:val="20"/>
        </w:rPr>
        <w:t>应定期对仓顶隔热层进行检查，对损坏部位及时修复，如果不能恢复原样，应采取有效措施控制损坏部分的扩大。对采用涂刷防水型反光涂料进行隔热的仓房，每年宜对涂层表面清洗1-2次，彻底除去灰尘聚积，以恢复良好的反光性能。对采用一般性浅色涂料的可每2年左右补刷一次，以保持其良好反光隔热性能。</w:t>
      </w:r>
    </w:p>
    <w:p w:rsidR="007A766C" w:rsidRDefault="007A766C">
      <w:pPr>
        <w:spacing w:line="500" w:lineRule="exact"/>
        <w:rPr>
          <w:rFonts w:eastAsia="黑体" w:hint="eastAsia"/>
          <w:kern w:val="0"/>
          <w:szCs w:val="20"/>
        </w:rPr>
      </w:pPr>
      <w:r>
        <w:rPr>
          <w:rFonts w:eastAsia="黑体" w:hint="eastAsia"/>
          <w:kern w:val="0"/>
          <w:szCs w:val="20"/>
        </w:rPr>
        <w:t xml:space="preserve">6.2.3 </w:t>
      </w:r>
      <w:r>
        <w:rPr>
          <w:rFonts w:eastAsia="黑体" w:hint="eastAsia"/>
          <w:kern w:val="0"/>
          <w:szCs w:val="20"/>
        </w:rPr>
        <w:t>仓房墙体隔热操作与管理</w:t>
      </w:r>
    </w:p>
    <w:p w:rsidR="007A766C" w:rsidRDefault="007A766C">
      <w:pPr>
        <w:spacing w:line="500" w:lineRule="exact"/>
        <w:rPr>
          <w:rFonts w:ascii="宋体" w:hint="eastAsia"/>
          <w:noProof/>
          <w:kern w:val="0"/>
          <w:szCs w:val="20"/>
        </w:rPr>
      </w:pPr>
      <w:r>
        <w:rPr>
          <w:rFonts w:eastAsia="黑体" w:hint="eastAsia"/>
          <w:kern w:val="0"/>
          <w:szCs w:val="20"/>
        </w:rPr>
        <w:t>6.2.3.1</w:t>
      </w:r>
      <w:r>
        <w:rPr>
          <w:rFonts w:ascii="宋体" w:hint="eastAsia"/>
          <w:noProof/>
          <w:kern w:val="0"/>
          <w:szCs w:val="20"/>
        </w:rPr>
        <w:t>仓房墙体隔热方式主要选择在粮仓围护结构上设置空气流通夹层、仓内墙体粘贴泡沫板、增设袋装稻壳围包等隔热层、外墙涂刷浅色反光涂料等措施，增强仓墙的隔热保温效果。</w:t>
      </w:r>
    </w:p>
    <w:p w:rsidR="007A766C" w:rsidRDefault="007A766C">
      <w:pPr>
        <w:spacing w:line="500" w:lineRule="exact"/>
        <w:rPr>
          <w:rFonts w:ascii="宋体" w:hint="eastAsia"/>
          <w:noProof/>
          <w:kern w:val="0"/>
          <w:szCs w:val="20"/>
        </w:rPr>
      </w:pPr>
      <w:r>
        <w:rPr>
          <w:rFonts w:eastAsia="黑体" w:hint="eastAsia"/>
          <w:kern w:val="0"/>
          <w:szCs w:val="20"/>
        </w:rPr>
        <w:t>6.2.3.2</w:t>
      </w:r>
      <w:r>
        <w:rPr>
          <w:rFonts w:ascii="宋体" w:hint="eastAsia"/>
          <w:noProof/>
          <w:kern w:val="0"/>
          <w:szCs w:val="20"/>
        </w:rPr>
        <w:t>墙体粘贴泡沫板等隔热材料应表面整齐、均匀、无间隙，周边与仓房结合紧密。</w:t>
      </w:r>
    </w:p>
    <w:p w:rsidR="007A766C" w:rsidRDefault="007A766C">
      <w:pPr>
        <w:spacing w:line="500" w:lineRule="exact"/>
        <w:rPr>
          <w:rFonts w:ascii="宋体" w:hint="eastAsia"/>
          <w:noProof/>
          <w:kern w:val="0"/>
          <w:szCs w:val="20"/>
        </w:rPr>
      </w:pPr>
      <w:r>
        <w:rPr>
          <w:rFonts w:eastAsia="黑体" w:hint="eastAsia"/>
          <w:kern w:val="0"/>
          <w:szCs w:val="20"/>
        </w:rPr>
        <w:t>6.2.3.3</w:t>
      </w:r>
      <w:r>
        <w:rPr>
          <w:rFonts w:ascii="宋体" w:hint="eastAsia"/>
          <w:noProof/>
          <w:kern w:val="0"/>
          <w:szCs w:val="20"/>
        </w:rPr>
        <w:t>经常注意检查维护仓房墙体结构，如果出现墙体裂缝应及时采取有效措施恢复，以保持其隔热性能良好。</w:t>
      </w:r>
    </w:p>
    <w:p w:rsidR="007A766C" w:rsidRDefault="007A766C">
      <w:pPr>
        <w:spacing w:line="500" w:lineRule="exact"/>
        <w:rPr>
          <w:rFonts w:ascii="宋体" w:hint="eastAsia"/>
          <w:noProof/>
          <w:kern w:val="0"/>
          <w:szCs w:val="20"/>
        </w:rPr>
      </w:pPr>
      <w:r>
        <w:rPr>
          <w:rFonts w:eastAsia="黑体" w:hint="eastAsia"/>
          <w:kern w:val="0"/>
          <w:szCs w:val="20"/>
        </w:rPr>
        <w:t>6.2.3.4</w:t>
      </w:r>
      <w:r>
        <w:rPr>
          <w:rFonts w:ascii="宋体" w:hint="eastAsia"/>
          <w:noProof/>
          <w:kern w:val="0"/>
          <w:szCs w:val="20"/>
        </w:rPr>
        <w:t>经常检查墙面涂刷反光涂料的使用情况，如果墙面有裂缝可先用白水泥拌“</w:t>
      </w:r>
      <w:smartTag w:uri="urn:schemas-microsoft-com:office:smarttags" w:element="chmetcnv">
        <w:smartTagPr>
          <w:attr w:name="TCSC" w:val="0"/>
          <w:attr w:name="NumberType" w:val="1"/>
          <w:attr w:name="Negative" w:val="False"/>
          <w:attr w:name="HasSpace" w:val="False"/>
          <w:attr w:name="SourceValue" w:val="801"/>
          <w:attr w:name="UnitName" w:val="”"/>
        </w:smartTagPr>
        <w:r>
          <w:rPr>
            <w:rFonts w:ascii="宋体" w:hint="eastAsia"/>
            <w:noProof/>
            <w:kern w:val="0"/>
            <w:szCs w:val="20"/>
          </w:rPr>
          <w:t>801”</w:t>
        </w:r>
      </w:smartTag>
      <w:r>
        <w:rPr>
          <w:rFonts w:ascii="宋体" w:hint="eastAsia"/>
          <w:noProof/>
          <w:kern w:val="0"/>
          <w:szCs w:val="20"/>
        </w:rPr>
        <w:t>胶水清缝、刮平，并及时修补损坏、起皮脱壳、空鼓等位置，保持墙体反光性能良好一致。</w:t>
      </w:r>
    </w:p>
    <w:p w:rsidR="007A766C" w:rsidRDefault="007A766C">
      <w:pPr>
        <w:spacing w:line="500" w:lineRule="exact"/>
        <w:rPr>
          <w:rFonts w:eastAsia="黑体" w:hint="eastAsia"/>
          <w:kern w:val="0"/>
          <w:szCs w:val="20"/>
        </w:rPr>
      </w:pPr>
      <w:r>
        <w:rPr>
          <w:rFonts w:eastAsia="黑体" w:hint="eastAsia"/>
          <w:kern w:val="0"/>
          <w:szCs w:val="20"/>
        </w:rPr>
        <w:t xml:space="preserve">6.2.4 </w:t>
      </w:r>
      <w:r>
        <w:rPr>
          <w:rFonts w:eastAsia="黑体" w:hint="eastAsia"/>
          <w:kern w:val="0"/>
          <w:szCs w:val="20"/>
        </w:rPr>
        <w:t>粮面隔热操作与管理</w:t>
      </w:r>
    </w:p>
    <w:p w:rsidR="007A766C" w:rsidRDefault="007A766C">
      <w:pPr>
        <w:spacing w:line="500" w:lineRule="exact"/>
        <w:rPr>
          <w:rFonts w:ascii="宋体" w:hint="eastAsia"/>
          <w:noProof/>
          <w:kern w:val="0"/>
          <w:szCs w:val="20"/>
        </w:rPr>
      </w:pPr>
      <w:r>
        <w:rPr>
          <w:rFonts w:eastAsia="黑体" w:hint="eastAsia"/>
          <w:kern w:val="0"/>
          <w:szCs w:val="20"/>
        </w:rPr>
        <w:t>6.2.4.1</w:t>
      </w:r>
      <w:r>
        <w:rPr>
          <w:rFonts w:ascii="宋体" w:hint="eastAsia"/>
          <w:noProof/>
          <w:kern w:val="0"/>
          <w:szCs w:val="20"/>
        </w:rPr>
        <w:t>包装稻壳压盖前要先平整粮面，保持粮面整体在同一水平面。压盖要求紧、密、平、实，并根据需要铺设适量的走道板（走道板可用</w:t>
      </w:r>
      <w:smartTag w:uri="urn:schemas-microsoft-com:office:smarttags" w:element="chmetcnv">
        <w:smartTagPr>
          <w:attr w:name="TCSC" w:val="0"/>
          <w:attr w:name="NumberType" w:val="1"/>
          <w:attr w:name="Negative" w:val="False"/>
          <w:attr w:name="HasSpace" w:val="False"/>
          <w:attr w:name="SourceValue" w:val="20"/>
          <w:attr w:name="UnitName" w:val="cm"/>
        </w:smartTagPr>
        <w:r>
          <w:rPr>
            <w:rFonts w:ascii="宋体" w:hint="eastAsia"/>
            <w:noProof/>
            <w:kern w:val="0"/>
            <w:szCs w:val="20"/>
          </w:rPr>
          <w:t>20cm</w:t>
        </w:r>
      </w:smartTag>
      <w:r>
        <w:rPr>
          <w:rFonts w:ascii="宋体" w:hint="eastAsia"/>
          <w:noProof/>
          <w:kern w:val="0"/>
          <w:szCs w:val="20"/>
        </w:rPr>
        <w:t>木板、竹夹板或专用走道板），走道板之间应联接牢固、平齐。包装稻壳有效厚度应≧</w:t>
      </w:r>
      <w:smartTag w:uri="urn:schemas-microsoft-com:office:smarttags" w:element="chmetcnv">
        <w:smartTagPr>
          <w:attr w:name="TCSC" w:val="0"/>
          <w:attr w:name="NumberType" w:val="1"/>
          <w:attr w:name="Negative" w:val="False"/>
          <w:attr w:name="HasSpace" w:val="False"/>
          <w:attr w:name="SourceValue" w:val="20"/>
          <w:attr w:name="UnitName" w:val="cm"/>
        </w:smartTagPr>
        <w:r>
          <w:rPr>
            <w:rFonts w:ascii="宋体" w:hint="eastAsia"/>
            <w:noProof/>
            <w:kern w:val="0"/>
            <w:szCs w:val="20"/>
          </w:rPr>
          <w:t>20cm</w:t>
        </w:r>
      </w:smartTag>
      <w:r>
        <w:rPr>
          <w:rFonts w:ascii="宋体" w:hint="eastAsia"/>
          <w:noProof/>
          <w:kern w:val="0"/>
          <w:szCs w:val="20"/>
        </w:rPr>
        <w:t>，包装物可用麻袋或编织袋，采用机械缝口。稻壳应经过清理过筛，清除其中的碎米、糠粉、灰尘和细杂、杂草等，并进行消毒杀虫。</w:t>
      </w:r>
    </w:p>
    <w:p w:rsidR="007A766C" w:rsidRDefault="007A766C">
      <w:pPr>
        <w:spacing w:line="500" w:lineRule="exact"/>
        <w:rPr>
          <w:rFonts w:eastAsia="黑体" w:hint="eastAsia"/>
          <w:kern w:val="0"/>
          <w:szCs w:val="20"/>
        </w:rPr>
      </w:pPr>
      <w:r>
        <w:rPr>
          <w:rFonts w:eastAsia="黑体" w:hint="eastAsia"/>
          <w:kern w:val="0"/>
          <w:szCs w:val="20"/>
        </w:rPr>
        <w:t xml:space="preserve">6.2.4.2 </w:t>
      </w:r>
      <w:r>
        <w:rPr>
          <w:rFonts w:eastAsia="黑体" w:hint="eastAsia"/>
          <w:kern w:val="0"/>
          <w:szCs w:val="20"/>
        </w:rPr>
        <w:t>泡沫板等专用保温隔热材料压盖粮面</w:t>
      </w:r>
    </w:p>
    <w:p w:rsidR="007A766C" w:rsidRDefault="007A766C">
      <w:pPr>
        <w:pStyle w:val="aff5"/>
        <w:spacing w:line="500" w:lineRule="exact"/>
        <w:ind w:firstLine="420"/>
        <w:rPr>
          <w:rFonts w:hint="eastAsia"/>
        </w:rPr>
      </w:pPr>
      <w:r>
        <w:rPr>
          <w:rFonts w:hint="eastAsia"/>
        </w:rPr>
        <w:t>聚苯乙烯泡沫板等专用保温隔热材料的厚度应≧</w:t>
      </w:r>
      <w:smartTag w:uri="urn:schemas-microsoft-com:office:smarttags" w:element="chmetcnv">
        <w:smartTagPr>
          <w:attr w:name="TCSC" w:val="0"/>
          <w:attr w:name="NumberType" w:val="1"/>
          <w:attr w:name="Negative" w:val="False"/>
          <w:attr w:name="HasSpace" w:val="False"/>
          <w:attr w:name="SourceValue" w:val="7"/>
          <w:attr w:name="UnitName" w:val="cm"/>
        </w:smartTagPr>
        <w:r>
          <w:rPr>
            <w:rFonts w:hint="eastAsia"/>
          </w:rPr>
          <w:t>7cm</w:t>
        </w:r>
      </w:smartTag>
      <w:r>
        <w:rPr>
          <w:rFonts w:hint="eastAsia"/>
        </w:rPr>
        <w:t>，密度不低于</w:t>
      </w:r>
      <w:smartTag w:uri="urn:schemas-microsoft-com:office:smarttags" w:element="chmetcnv">
        <w:smartTagPr>
          <w:attr w:name="TCSC" w:val="0"/>
          <w:attr w:name="NumberType" w:val="1"/>
          <w:attr w:name="Negative" w:val="False"/>
          <w:attr w:name="HasSpace" w:val="False"/>
          <w:attr w:name="SourceValue" w:val="15"/>
          <w:attr w:name="UnitName" w:val="kg"/>
        </w:smartTagPr>
        <w:r>
          <w:rPr>
            <w:rFonts w:hint="eastAsia"/>
          </w:rPr>
          <w:t>15kg</w:t>
        </w:r>
      </w:smartTag>
      <w:r>
        <w:rPr>
          <w:rFonts w:hint="eastAsia"/>
        </w:rPr>
        <w:t>/m</w:t>
      </w:r>
      <w:r>
        <w:rPr>
          <w:rFonts w:hint="eastAsia"/>
          <w:vertAlign w:val="superscript"/>
        </w:rPr>
        <w:t>3</w:t>
      </w:r>
      <w:r>
        <w:rPr>
          <w:rFonts w:hint="eastAsia"/>
        </w:rPr>
        <w:t>（华南地区其密度不低于</w:t>
      </w:r>
      <w:smartTag w:uri="urn:schemas-microsoft-com:office:smarttags" w:element="chmetcnv">
        <w:smartTagPr>
          <w:attr w:name="TCSC" w:val="0"/>
          <w:attr w:name="NumberType" w:val="1"/>
          <w:attr w:name="Negative" w:val="False"/>
          <w:attr w:name="HasSpace" w:val="False"/>
          <w:attr w:name="SourceValue" w:val="20"/>
          <w:attr w:name="UnitName" w:val="kg"/>
        </w:smartTagPr>
        <w:r>
          <w:rPr>
            <w:rFonts w:hint="eastAsia"/>
          </w:rPr>
          <w:t>20kg</w:t>
        </w:r>
      </w:smartTag>
      <w:r>
        <w:rPr>
          <w:rFonts w:hint="eastAsia"/>
        </w:rPr>
        <w:t>/ m</w:t>
      </w:r>
      <w:r>
        <w:rPr>
          <w:rFonts w:hint="eastAsia"/>
          <w:vertAlign w:val="superscript"/>
        </w:rPr>
        <w:t>3</w:t>
      </w:r>
      <w:r>
        <w:rPr>
          <w:rFonts w:hint="eastAsia"/>
        </w:rPr>
        <w:t>），挤塑板厚度应≧</w:t>
      </w:r>
      <w:smartTag w:uri="urn:schemas-microsoft-com:office:smarttags" w:element="chmetcnv">
        <w:smartTagPr>
          <w:attr w:name="TCSC" w:val="0"/>
          <w:attr w:name="NumberType" w:val="1"/>
          <w:attr w:name="Negative" w:val="False"/>
          <w:attr w:name="HasSpace" w:val="False"/>
          <w:attr w:name="SourceValue" w:val="2.5"/>
          <w:attr w:name="UnitName" w:val="cm"/>
        </w:smartTagPr>
        <w:r>
          <w:rPr>
            <w:rFonts w:hint="eastAsia"/>
          </w:rPr>
          <w:t>2.5cm</w:t>
        </w:r>
      </w:smartTag>
      <w:r>
        <w:rPr>
          <w:rFonts w:hint="eastAsia"/>
          <w:vertAlign w:val="superscript"/>
        </w:rPr>
        <w:t xml:space="preserve">  </w:t>
      </w:r>
      <w:r>
        <w:rPr>
          <w:rFonts w:hint="eastAsia"/>
        </w:rPr>
        <w:t>, 单块尺寸尽量选大，一般选用3×</w:t>
      </w:r>
      <w:smartTag w:uri="urn:schemas-microsoft-com:office:smarttags" w:element="chmetcnv">
        <w:smartTagPr>
          <w:attr w:name="TCSC" w:val="0"/>
          <w:attr w:name="NumberType" w:val="1"/>
          <w:attr w:name="Negative" w:val="False"/>
          <w:attr w:name="HasSpace" w:val="False"/>
          <w:attr w:name="SourceValue" w:val="1"/>
          <w:attr w:name="UnitName" w:val="m"/>
        </w:smartTagPr>
        <w:r>
          <w:rPr>
            <w:rFonts w:hint="eastAsia"/>
          </w:rPr>
          <w:t>1.0m</w:t>
        </w:r>
      </w:smartTag>
      <w:r>
        <w:rPr>
          <w:rFonts w:hint="eastAsia"/>
        </w:rPr>
        <w:t>或3×</w:t>
      </w:r>
      <w:smartTag w:uri="urn:schemas-microsoft-com:office:smarttags" w:element="chmetcnv">
        <w:smartTagPr>
          <w:attr w:name="TCSC" w:val="0"/>
          <w:attr w:name="NumberType" w:val="1"/>
          <w:attr w:name="Negative" w:val="False"/>
          <w:attr w:name="HasSpace" w:val="False"/>
          <w:attr w:name="SourceValue" w:val="1.5"/>
          <w:attr w:name="UnitName" w:val="m"/>
        </w:smartTagPr>
        <w:r>
          <w:rPr>
            <w:rFonts w:hint="eastAsia"/>
          </w:rPr>
          <w:t>1.5m</w:t>
        </w:r>
      </w:smartTag>
      <w:r>
        <w:rPr>
          <w:rFonts w:hint="eastAsia"/>
        </w:rPr>
        <w:t>或2×</w:t>
      </w:r>
      <w:smartTag w:uri="urn:schemas-microsoft-com:office:smarttags" w:element="chmetcnv">
        <w:smartTagPr>
          <w:attr w:name="TCSC" w:val="0"/>
          <w:attr w:name="NumberType" w:val="1"/>
          <w:attr w:name="Negative" w:val="False"/>
          <w:attr w:name="HasSpace" w:val="False"/>
          <w:attr w:name="SourceValue" w:val="1"/>
          <w:attr w:name="UnitName" w:val="m"/>
        </w:smartTagPr>
        <w:r>
          <w:rPr>
            <w:rFonts w:hint="eastAsia"/>
          </w:rPr>
          <w:t>1.0m</w:t>
        </w:r>
      </w:smartTag>
      <w:r>
        <w:rPr>
          <w:rFonts w:hint="eastAsia"/>
        </w:rPr>
        <w:t>，其最大尺寸以能够方便进出仓房门窗为宜。</w:t>
      </w:r>
    </w:p>
    <w:p w:rsidR="007A766C" w:rsidRDefault="007A766C">
      <w:pPr>
        <w:pStyle w:val="aff5"/>
        <w:spacing w:line="500" w:lineRule="exact"/>
        <w:ind w:firstLine="420"/>
        <w:rPr>
          <w:rFonts w:hint="eastAsia"/>
        </w:rPr>
      </w:pPr>
      <w:r>
        <w:rPr>
          <w:rFonts w:hint="eastAsia"/>
        </w:rPr>
        <w:t>为延长泡沫板的使用寿命且方便清洁处理，压盖前可以先用</w:t>
      </w:r>
      <w:smartTag w:uri="urn:schemas-microsoft-com:office:smarttags" w:element="chmetcnv">
        <w:smartTagPr>
          <w:attr w:name="TCSC" w:val="0"/>
          <w:attr w:name="NumberType" w:val="1"/>
          <w:attr w:name="Negative" w:val="False"/>
          <w:attr w:name="HasSpace" w:val="False"/>
          <w:attr w:name="SourceValue" w:val=".14"/>
          <w:attr w:name="UnitName" w:val="mm"/>
        </w:smartTagPr>
        <w:r>
          <w:rPr>
            <w:rFonts w:hint="eastAsia"/>
          </w:rPr>
          <w:t>0.14mm</w:t>
        </w:r>
      </w:smartTag>
      <w:r>
        <w:rPr>
          <w:rFonts w:hint="eastAsia"/>
        </w:rPr>
        <w:t>厚的聚氯乙烯等薄膜将泡沫板包裹一层后再使用，也可采用全仓双层密闭薄膜间夹泡沫板的方法。为防止隔热材料热膨冷缩时形成缝隙，可以在泡沫板沿纵横方向合适位置各设一条带契口材料，以利相互搭接。计划实施膜下环流熏蒸或膜下环流均温技术的粮堆，密闭前应在粮面下</w:t>
      </w:r>
      <w:smartTag w:uri="urn:schemas-microsoft-com:office:smarttags" w:element="chmetcnv">
        <w:smartTagPr>
          <w:attr w:name="TCSC" w:val="0"/>
          <w:attr w:name="NumberType" w:val="1"/>
          <w:attr w:name="Negative" w:val="False"/>
          <w:attr w:name="HasSpace" w:val="False"/>
          <w:attr w:name="SourceValue" w:val="30"/>
          <w:attr w:name="UnitName" w:val="cm"/>
        </w:smartTagPr>
        <w:r>
          <w:rPr>
            <w:rFonts w:hint="eastAsia"/>
          </w:rPr>
          <w:t>30cm</w:t>
        </w:r>
      </w:smartTag>
      <w:r>
        <w:rPr>
          <w:rFonts w:hint="eastAsia"/>
        </w:rPr>
        <w:t>～</w:t>
      </w:r>
      <w:smartTag w:uri="urn:schemas-microsoft-com:office:smarttags" w:element="chmetcnv">
        <w:smartTagPr>
          <w:attr w:name="TCSC" w:val="0"/>
          <w:attr w:name="NumberType" w:val="1"/>
          <w:attr w:name="Negative" w:val="False"/>
          <w:attr w:name="HasSpace" w:val="False"/>
          <w:attr w:name="SourceValue" w:val="50"/>
          <w:attr w:name="UnitName" w:val="cm"/>
        </w:smartTagPr>
        <w:r>
          <w:rPr>
            <w:rFonts w:hint="eastAsia"/>
          </w:rPr>
          <w:t>50cm</w:t>
        </w:r>
      </w:smartTag>
      <w:r>
        <w:rPr>
          <w:rFonts w:hint="eastAsia"/>
        </w:rPr>
        <w:t>处设置膜下环流管道。</w:t>
      </w:r>
    </w:p>
    <w:p w:rsidR="007A766C" w:rsidRDefault="007A766C">
      <w:pPr>
        <w:spacing w:line="500" w:lineRule="exact"/>
        <w:rPr>
          <w:rFonts w:eastAsia="黑体" w:hint="eastAsia"/>
          <w:kern w:val="0"/>
          <w:szCs w:val="20"/>
        </w:rPr>
      </w:pPr>
      <w:r>
        <w:rPr>
          <w:rFonts w:eastAsia="黑体" w:hint="eastAsia"/>
          <w:kern w:val="0"/>
          <w:szCs w:val="20"/>
        </w:rPr>
        <w:t xml:space="preserve">6.2.4.3 </w:t>
      </w:r>
      <w:r>
        <w:rPr>
          <w:rFonts w:eastAsia="黑体" w:hint="eastAsia"/>
          <w:kern w:val="0"/>
          <w:szCs w:val="20"/>
        </w:rPr>
        <w:t>粮面空气间层补充冷源隔热</w:t>
      </w:r>
    </w:p>
    <w:p w:rsidR="007A766C" w:rsidRDefault="007A766C">
      <w:pPr>
        <w:pStyle w:val="aff5"/>
        <w:spacing w:line="500" w:lineRule="exact"/>
        <w:ind w:firstLine="420"/>
        <w:rPr>
          <w:rFonts w:hint="eastAsia"/>
        </w:rPr>
      </w:pPr>
      <w:r>
        <w:rPr>
          <w:rFonts w:hint="eastAsia"/>
        </w:rPr>
        <w:t>采取双层薄膜密闭粮面，用泡沫板等形成框架使之架空形成约</w:t>
      </w:r>
      <w:smartTag w:uri="urn:schemas-microsoft-com:office:smarttags" w:element="chmetcnv">
        <w:smartTagPr>
          <w:attr w:name="TCSC" w:val="0"/>
          <w:attr w:name="NumberType" w:val="1"/>
          <w:attr w:name="Negative" w:val="False"/>
          <w:attr w:name="HasSpace" w:val="False"/>
          <w:attr w:name="SourceValue" w:val="15"/>
          <w:attr w:name="UnitName" w:val="cm"/>
        </w:smartTagPr>
        <w:r>
          <w:rPr>
            <w:rFonts w:hint="eastAsia"/>
          </w:rPr>
          <w:t>15cm</w:t>
        </w:r>
      </w:smartTag>
      <w:r>
        <w:rPr>
          <w:rFonts w:hint="eastAsia"/>
        </w:rPr>
        <w:t>左右厚度的空气间隔层，并利用制冷装置产生的冷气（冷气温度宜控制在</w:t>
      </w:r>
      <w:smartTag w:uri="urn:schemas-microsoft-com:office:smarttags" w:element="chmetcnv">
        <w:smartTagPr>
          <w:attr w:name="TCSC" w:val="0"/>
          <w:attr w:name="NumberType" w:val="1"/>
          <w:attr w:name="Negative" w:val="False"/>
          <w:attr w:name="HasSpace" w:val="False"/>
          <w:attr w:name="SourceValue" w:val="15"/>
          <w:attr w:name="UnitName" w:val="℃"/>
        </w:smartTagPr>
        <w:r>
          <w:rPr>
            <w:rFonts w:hint="eastAsia"/>
          </w:rPr>
          <w:t>15℃</w:t>
        </w:r>
      </w:smartTag>
      <w:r>
        <w:rPr>
          <w:rFonts w:hint="eastAsia"/>
        </w:rPr>
        <w:t>左右），借助于小型离心式风机强制空气隔层内的空气流通或置换，实现粮面的动态隔热保温。</w:t>
      </w:r>
    </w:p>
    <w:p w:rsidR="007A766C" w:rsidRDefault="007A766C">
      <w:pPr>
        <w:pStyle w:val="aff5"/>
        <w:spacing w:line="500" w:lineRule="exact"/>
        <w:ind w:firstLine="420"/>
        <w:rPr>
          <w:rFonts w:hint="eastAsia"/>
        </w:rPr>
      </w:pPr>
      <w:r>
        <w:rPr>
          <w:rFonts w:hint="eastAsia"/>
        </w:rPr>
        <w:t>用于空气隔层的薄膜厚度应不低于</w:t>
      </w:r>
      <w:smartTag w:uri="urn:schemas-microsoft-com:office:smarttags" w:element="chmetcnv">
        <w:smartTagPr>
          <w:attr w:name="TCSC" w:val="0"/>
          <w:attr w:name="NumberType" w:val="1"/>
          <w:attr w:name="Negative" w:val="False"/>
          <w:attr w:name="HasSpace" w:val="False"/>
          <w:attr w:name="SourceValue" w:val=".16"/>
          <w:attr w:name="UnitName" w:val="mm"/>
        </w:smartTagPr>
        <w:r>
          <w:rPr>
            <w:rFonts w:hint="eastAsia"/>
          </w:rPr>
          <w:t>0.16mm</w:t>
        </w:r>
      </w:smartTag>
      <w:r>
        <w:rPr>
          <w:rFonts w:hint="eastAsia"/>
        </w:rPr>
        <w:t>，且弹性好、质量优；上层薄膜最好具有防辐射、防老化、抗静电等性能，以减少光的吸收和热量传递。</w:t>
      </w:r>
    </w:p>
    <w:p w:rsidR="007A766C" w:rsidRDefault="007A766C">
      <w:pPr>
        <w:pStyle w:val="aff5"/>
        <w:spacing w:line="500" w:lineRule="exact"/>
        <w:ind w:firstLine="420"/>
        <w:rPr>
          <w:rFonts w:hint="eastAsia"/>
        </w:rPr>
      </w:pPr>
      <w:r>
        <w:rPr>
          <w:rFonts w:hint="eastAsia"/>
        </w:rPr>
        <w:t>双层薄膜密闭前一定要将粮面整平，清除粮面杂质，整理好挂边薄膜，挂边薄膜的高度不低于粮堆高度。铺设两层薄膜时，要处理好角落、</w:t>
      </w:r>
      <w:r>
        <w:rPr>
          <w:rFonts w:hAnsi="宋体" w:hint="eastAsia"/>
          <w:bCs/>
        </w:rPr>
        <w:t>膜下环流熏蒸</w:t>
      </w:r>
      <w:r>
        <w:rPr>
          <w:rFonts w:hint="eastAsia"/>
        </w:rPr>
        <w:t>管网出口、进口等部位，保证气密性。</w:t>
      </w:r>
    </w:p>
    <w:p w:rsidR="007A766C" w:rsidRDefault="007A766C">
      <w:pPr>
        <w:pStyle w:val="aff5"/>
        <w:spacing w:line="500" w:lineRule="exact"/>
        <w:ind w:firstLine="420"/>
        <w:rPr>
          <w:rFonts w:hint="eastAsia"/>
        </w:rPr>
      </w:pPr>
      <w:r>
        <w:rPr>
          <w:rFonts w:hint="eastAsia"/>
        </w:rPr>
        <w:t>用于架空双层薄膜的泡沫板可先用</w:t>
      </w:r>
      <w:smartTag w:uri="urn:schemas-microsoft-com:office:smarttags" w:element="chmetcnv">
        <w:smartTagPr>
          <w:attr w:name="TCSC" w:val="0"/>
          <w:attr w:name="NumberType" w:val="1"/>
          <w:attr w:name="Negative" w:val="False"/>
          <w:attr w:name="HasSpace" w:val="False"/>
          <w:attr w:name="SourceValue" w:val=".14"/>
          <w:attr w:name="UnitName" w:val="mm"/>
        </w:smartTagPr>
        <w:r>
          <w:rPr>
            <w:rFonts w:hint="eastAsia"/>
          </w:rPr>
          <w:t>0.14mm</w:t>
        </w:r>
      </w:smartTag>
      <w:r>
        <w:rPr>
          <w:rFonts w:hint="eastAsia"/>
        </w:rPr>
        <w:t>的薄膜包裹密封后再使用，主走道板宽度选60</w:t>
      </w:r>
      <w:smartTag w:uri="urn:schemas-microsoft-com:office:smarttags" w:element="chmetcnv">
        <w:smartTagPr>
          <w:attr w:name="TCSC" w:val="0"/>
          <w:attr w:name="NumberType" w:val="1"/>
          <w:attr w:name="Negative" w:val="True"/>
          <w:attr w:name="HasSpace" w:val="False"/>
          <w:attr w:name="SourceValue" w:val="100"/>
          <w:attr w:name="UnitName" w:val="cm"/>
        </w:smartTagPr>
        <w:r>
          <w:rPr>
            <w:rFonts w:hint="eastAsia"/>
          </w:rPr>
          <w:t>-100cm</w:t>
        </w:r>
      </w:smartTag>
      <w:r>
        <w:rPr>
          <w:rFonts w:hint="eastAsia"/>
        </w:rPr>
        <w:t>宽为宜，厚度以设置的空气隔层厚度为准。</w:t>
      </w:r>
    </w:p>
    <w:p w:rsidR="007A766C" w:rsidRDefault="007A766C">
      <w:pPr>
        <w:pStyle w:val="aff5"/>
        <w:spacing w:line="500" w:lineRule="exact"/>
        <w:ind w:firstLine="420"/>
        <w:rPr>
          <w:rFonts w:hint="eastAsia"/>
        </w:rPr>
      </w:pPr>
      <w:r>
        <w:rPr>
          <w:rFonts w:hint="eastAsia"/>
        </w:rPr>
        <w:t>用形成空气隔层和走道的泡沫板分隔成若干个小区间，每个小区间的面积宜控制在</w:t>
      </w:r>
      <w:smartTag w:uri="urn:schemas-microsoft-com:office:smarttags" w:element="chmetcnv">
        <w:smartTagPr>
          <w:attr w:name="TCSC" w:val="0"/>
          <w:attr w:name="NumberType" w:val="1"/>
          <w:attr w:name="Negative" w:val="False"/>
          <w:attr w:name="HasSpace" w:val="False"/>
          <w:attr w:name="SourceValue" w:val="70"/>
          <w:attr w:name="UnitName" w:val="m2"/>
        </w:smartTagPr>
        <w:r>
          <w:rPr>
            <w:rFonts w:hint="eastAsia"/>
          </w:rPr>
          <w:t>70m</w:t>
        </w:r>
        <w:r>
          <w:rPr>
            <w:rFonts w:hint="eastAsia"/>
            <w:vertAlign w:val="superscript"/>
          </w:rPr>
          <w:t>2</w:t>
        </w:r>
      </w:smartTag>
      <w:r>
        <w:rPr>
          <w:rFonts w:hint="eastAsia"/>
        </w:rPr>
        <w:t>左右。</w:t>
      </w:r>
    </w:p>
    <w:p w:rsidR="007A766C" w:rsidRDefault="007A766C">
      <w:pPr>
        <w:pStyle w:val="aff5"/>
        <w:spacing w:line="500" w:lineRule="exact"/>
        <w:ind w:firstLine="420"/>
        <w:rPr>
          <w:rFonts w:hint="eastAsia"/>
        </w:rPr>
      </w:pPr>
      <w:r>
        <w:rPr>
          <w:rFonts w:hint="eastAsia"/>
        </w:rPr>
        <w:t>补冷宜选用制冷量</w:t>
      </w:r>
      <w:smartTag w:uri="urn:schemas-microsoft-com:office:smarttags" w:element="chmetcnv">
        <w:smartTagPr>
          <w:attr w:name="TCSC" w:val="0"/>
          <w:attr w:name="NumberType" w:val="1"/>
          <w:attr w:name="Negative" w:val="False"/>
          <w:attr w:name="HasSpace" w:val="False"/>
          <w:attr w:name="SourceValue" w:val="120"/>
          <w:attr w:name="UnitName" w:val="m3"/>
        </w:smartTagPr>
        <w:r>
          <w:rPr>
            <w:rFonts w:hint="eastAsia"/>
          </w:rPr>
          <w:t>120m</w:t>
        </w:r>
        <w:r>
          <w:rPr>
            <w:rFonts w:hint="eastAsia"/>
            <w:vertAlign w:val="superscript"/>
          </w:rPr>
          <w:t>3</w:t>
        </w:r>
      </w:smartTag>
      <w:r>
        <w:rPr>
          <w:rFonts w:hint="eastAsia"/>
        </w:rPr>
        <w:t>/h的制冷装置，风量大小以保证上层薄膜鼓出走道板的高度＜</w:t>
      </w:r>
      <w:smartTag w:uri="urn:schemas-microsoft-com:office:smarttags" w:element="chmetcnv">
        <w:smartTagPr>
          <w:attr w:name="TCSC" w:val="0"/>
          <w:attr w:name="NumberType" w:val="1"/>
          <w:attr w:name="Negative" w:val="False"/>
          <w:attr w:name="HasSpace" w:val="False"/>
          <w:attr w:name="SourceValue" w:val="5"/>
          <w:attr w:name="UnitName" w:val="cm"/>
        </w:smartTagPr>
        <w:r>
          <w:rPr>
            <w:rFonts w:hint="eastAsia"/>
          </w:rPr>
          <w:t>5cm</w:t>
        </w:r>
      </w:smartTag>
      <w:r>
        <w:rPr>
          <w:rFonts w:hint="eastAsia"/>
        </w:rPr>
        <w:t>为宜。该装置产生的冷气通过空气隔层中设置的钻孔PVC管均匀输送至每一个小隔层区间，冷气输送管的布置应简捷、距离短、阻力小、能量损耗小、效率高。</w:t>
      </w:r>
    </w:p>
    <w:p w:rsidR="007A766C" w:rsidRDefault="007A766C">
      <w:pPr>
        <w:pStyle w:val="aff5"/>
        <w:spacing w:line="500" w:lineRule="exact"/>
        <w:ind w:firstLine="420"/>
        <w:rPr>
          <w:rFonts w:hint="eastAsia"/>
        </w:rPr>
      </w:pPr>
      <w:r>
        <w:rPr>
          <w:rFonts w:hint="eastAsia"/>
        </w:rPr>
        <w:t>配电控制系统宜采用微电脑时控或温控式开关，自动控制空调器和离心风机的开启及关闭。</w:t>
      </w:r>
    </w:p>
    <w:p w:rsidR="007A766C" w:rsidRDefault="007A766C">
      <w:pPr>
        <w:spacing w:line="500" w:lineRule="exact"/>
        <w:rPr>
          <w:rFonts w:ascii="仿宋_GB2312" w:eastAsia="仿宋_GB2312" w:hint="eastAsia"/>
          <w:sz w:val="28"/>
          <w:szCs w:val="28"/>
        </w:rPr>
      </w:pPr>
      <w:r>
        <w:rPr>
          <w:rFonts w:eastAsia="黑体" w:hint="eastAsia"/>
          <w:kern w:val="0"/>
          <w:szCs w:val="20"/>
        </w:rPr>
        <w:t>6.2.4.4</w:t>
      </w:r>
      <w:r>
        <w:rPr>
          <w:rFonts w:eastAsia="黑体" w:hint="eastAsia"/>
          <w:kern w:val="0"/>
          <w:szCs w:val="20"/>
        </w:rPr>
        <w:t>麻袋加薄膜压盖粮面</w:t>
      </w:r>
    </w:p>
    <w:p w:rsidR="007A766C" w:rsidRDefault="007A766C">
      <w:pPr>
        <w:pStyle w:val="aff5"/>
        <w:spacing w:line="500" w:lineRule="exact"/>
        <w:ind w:firstLine="420"/>
        <w:rPr>
          <w:rFonts w:hint="eastAsia"/>
        </w:rPr>
      </w:pPr>
      <w:r>
        <w:rPr>
          <w:rFonts w:hint="eastAsia"/>
        </w:rPr>
        <w:t xml:space="preserve"> 采用麻袋压盖时，最少应采用三层麻袋分层交错压盖，表层麻袋间应互叠</w:t>
      </w:r>
      <w:smartTag w:uri="urn:schemas-microsoft-com:office:smarttags" w:element="chmetcnv">
        <w:smartTagPr>
          <w:attr w:name="TCSC" w:val="0"/>
          <w:attr w:name="NumberType" w:val="1"/>
          <w:attr w:name="Negative" w:val="False"/>
          <w:attr w:name="HasSpace" w:val="False"/>
          <w:attr w:name="SourceValue" w:val="10"/>
          <w:attr w:name="UnitName" w:val="cm"/>
        </w:smartTagPr>
        <w:r>
          <w:rPr>
            <w:rFonts w:hint="eastAsia"/>
          </w:rPr>
          <w:t>10cm</w:t>
        </w:r>
      </w:smartTag>
      <w:r>
        <w:rPr>
          <w:rFonts w:hint="eastAsia"/>
        </w:rPr>
        <w:t>，麻袋铺设时应做到平、整、实，尽量考虑整齐美观，麻袋上覆盖粮用薄膜，薄膜厚度应不低于</w:t>
      </w:r>
      <w:smartTag w:uri="urn:schemas-microsoft-com:office:smarttags" w:element="chmetcnv">
        <w:smartTagPr>
          <w:attr w:name="TCSC" w:val="0"/>
          <w:attr w:name="NumberType" w:val="1"/>
          <w:attr w:name="Negative" w:val="False"/>
          <w:attr w:name="HasSpace" w:val="False"/>
          <w:attr w:name="SourceValue" w:val=".16"/>
          <w:attr w:name="UnitName" w:val="mm"/>
        </w:smartTagPr>
        <w:r>
          <w:rPr>
            <w:rFonts w:hint="eastAsia"/>
          </w:rPr>
          <w:t>0.16mm</w:t>
        </w:r>
      </w:smartTag>
      <w:r>
        <w:rPr>
          <w:rFonts w:hint="eastAsia"/>
        </w:rPr>
        <w:t>。</w:t>
      </w:r>
    </w:p>
    <w:p w:rsidR="007A766C" w:rsidRDefault="007A766C">
      <w:pPr>
        <w:spacing w:line="500" w:lineRule="exact"/>
        <w:rPr>
          <w:rFonts w:ascii="仿宋_GB2312" w:eastAsia="仿宋_GB2312" w:hint="eastAsia"/>
          <w:sz w:val="28"/>
          <w:szCs w:val="28"/>
        </w:rPr>
      </w:pPr>
      <w:r>
        <w:rPr>
          <w:rFonts w:eastAsia="黑体" w:hint="eastAsia"/>
          <w:kern w:val="0"/>
          <w:szCs w:val="20"/>
        </w:rPr>
        <w:t xml:space="preserve">6.2.4.5 </w:t>
      </w:r>
      <w:r>
        <w:rPr>
          <w:rFonts w:ascii="宋体" w:hint="eastAsia"/>
          <w:noProof/>
          <w:kern w:val="0"/>
          <w:szCs w:val="20"/>
        </w:rPr>
        <w:t>无论任何形式的粮面隔热压盖，均必须预留粮情检测孔和质量检测扦样孔，条件允许的还可设置活动式通风换气孔，不通风时压盖，通风时取开。</w:t>
      </w:r>
    </w:p>
    <w:p w:rsidR="007A766C" w:rsidRDefault="007A766C">
      <w:pPr>
        <w:spacing w:line="500" w:lineRule="exact"/>
        <w:rPr>
          <w:rFonts w:ascii="宋体" w:hint="eastAsia"/>
          <w:noProof/>
          <w:kern w:val="0"/>
          <w:szCs w:val="20"/>
        </w:rPr>
      </w:pPr>
      <w:r>
        <w:rPr>
          <w:rFonts w:eastAsia="黑体" w:hint="eastAsia"/>
          <w:kern w:val="0"/>
          <w:szCs w:val="20"/>
        </w:rPr>
        <w:t xml:space="preserve">6.2.5 </w:t>
      </w:r>
      <w:r>
        <w:rPr>
          <w:rFonts w:eastAsia="黑体" w:hint="eastAsia"/>
          <w:kern w:val="0"/>
          <w:szCs w:val="20"/>
        </w:rPr>
        <w:t>门窗及孔洞隔热操作与管理</w:t>
      </w:r>
    </w:p>
    <w:p w:rsidR="007A766C" w:rsidRDefault="007A766C">
      <w:pPr>
        <w:pStyle w:val="aff5"/>
        <w:spacing w:line="500" w:lineRule="exact"/>
        <w:ind w:firstLine="420"/>
        <w:rPr>
          <w:rFonts w:hint="eastAsia"/>
        </w:rPr>
      </w:pPr>
      <w:r>
        <w:rPr>
          <w:rFonts w:hint="eastAsia"/>
        </w:rPr>
        <w:t>门窗及孔洞要具有符合仓房气密性要求和控温储粮的隔热性能要求的气密结构或隔热结构，必要时应采用塑料薄膜密闭或隔热材料封堵。</w:t>
      </w:r>
    </w:p>
    <w:p w:rsidR="007A766C" w:rsidRDefault="007A766C">
      <w:pPr>
        <w:pStyle w:val="aff5"/>
        <w:spacing w:line="500" w:lineRule="exact"/>
        <w:ind w:firstLine="420"/>
        <w:rPr>
          <w:rFonts w:hint="eastAsia"/>
        </w:rPr>
      </w:pPr>
      <w:r>
        <w:rPr>
          <w:rFonts w:hint="eastAsia"/>
        </w:rPr>
        <w:t>门窗及孔洞填充的隔热材料还应具有气密、阻燃、防水性能。</w:t>
      </w:r>
    </w:p>
    <w:p w:rsidR="007A766C" w:rsidRDefault="007A766C">
      <w:pPr>
        <w:pStyle w:val="aff5"/>
        <w:spacing w:line="500" w:lineRule="exact"/>
        <w:ind w:firstLine="420"/>
        <w:rPr>
          <w:rFonts w:hint="eastAsia"/>
        </w:rPr>
      </w:pPr>
      <w:r>
        <w:rPr>
          <w:rFonts w:hint="eastAsia"/>
        </w:rPr>
        <w:t>排风扇或轴流风机口须用隔热材料处理；对固定式环流熏蒸管道，要有闸阀和管道口隔热盖（不熏蒸时须关闭并做隔热处理）。</w:t>
      </w:r>
    </w:p>
    <w:p w:rsidR="007A766C" w:rsidRDefault="007A766C">
      <w:pPr>
        <w:spacing w:line="500" w:lineRule="exact"/>
        <w:rPr>
          <w:rFonts w:eastAsia="黑体" w:hint="eastAsia"/>
          <w:kern w:val="0"/>
          <w:szCs w:val="20"/>
        </w:rPr>
      </w:pPr>
      <w:r>
        <w:rPr>
          <w:rFonts w:eastAsia="黑体" w:hint="eastAsia"/>
          <w:kern w:val="0"/>
          <w:szCs w:val="20"/>
        </w:rPr>
        <w:t xml:space="preserve">6.2.6 </w:t>
      </w:r>
      <w:r>
        <w:rPr>
          <w:rFonts w:eastAsia="黑体" w:hint="eastAsia"/>
          <w:kern w:val="0"/>
          <w:szCs w:val="20"/>
        </w:rPr>
        <w:t>仓房空间补冷操作与管理</w:t>
      </w:r>
    </w:p>
    <w:p w:rsidR="007A766C" w:rsidRDefault="007A766C">
      <w:pPr>
        <w:pStyle w:val="aff5"/>
        <w:spacing w:line="500" w:lineRule="exact"/>
        <w:ind w:firstLine="420"/>
        <w:rPr>
          <w:rFonts w:hint="eastAsia"/>
        </w:rPr>
      </w:pPr>
      <w:r>
        <w:rPr>
          <w:rFonts w:hint="eastAsia"/>
        </w:rPr>
        <w:t>采用空调器制冷、太阳能制冷或谷物冷却机制冷等方式进行仓内空间补冷时，应采用经济运行模式。如采用谷物冷却机制冷宜采用一机多仓空间排热</w:t>
      </w:r>
      <w:r>
        <w:rPr>
          <w:rFonts w:hAnsi="宋体" w:hint="eastAsia"/>
        </w:rPr>
        <w:t>操作，并按照Q/ZCL T5-200</w:t>
      </w:r>
      <w:r>
        <w:rPr>
          <w:rFonts w:hint="eastAsia"/>
        </w:rPr>
        <w:t>7</w:t>
      </w:r>
      <w:r>
        <w:rPr>
          <w:rFonts w:hAnsi="宋体" w:hint="eastAsia"/>
        </w:rPr>
        <w:t>《谷物冷却机一机三仓冷却通风储粮技术规程》的有关规定执行。</w:t>
      </w:r>
    </w:p>
    <w:p w:rsidR="007A766C" w:rsidRDefault="007A766C">
      <w:pPr>
        <w:spacing w:line="500" w:lineRule="exact"/>
        <w:rPr>
          <w:rFonts w:eastAsia="黑体" w:hint="eastAsia"/>
          <w:kern w:val="0"/>
          <w:szCs w:val="20"/>
        </w:rPr>
      </w:pPr>
      <w:r>
        <w:rPr>
          <w:rFonts w:eastAsia="黑体" w:hint="eastAsia"/>
          <w:kern w:val="0"/>
          <w:szCs w:val="20"/>
        </w:rPr>
        <w:t xml:space="preserve">6.3 </w:t>
      </w:r>
      <w:r>
        <w:rPr>
          <w:rFonts w:eastAsia="黑体" w:hint="eastAsia"/>
          <w:kern w:val="0"/>
          <w:szCs w:val="20"/>
        </w:rPr>
        <w:t>夏季排热补冷的操作与管理</w:t>
      </w:r>
    </w:p>
    <w:p w:rsidR="007A766C" w:rsidRDefault="007A766C">
      <w:pPr>
        <w:spacing w:line="500" w:lineRule="exact"/>
        <w:rPr>
          <w:rFonts w:ascii="宋体" w:hint="eastAsia"/>
          <w:noProof/>
          <w:kern w:val="0"/>
          <w:szCs w:val="20"/>
        </w:rPr>
      </w:pPr>
      <w:r>
        <w:rPr>
          <w:rFonts w:eastAsia="黑体" w:hint="eastAsia"/>
          <w:kern w:val="0"/>
          <w:szCs w:val="20"/>
        </w:rPr>
        <w:t xml:space="preserve">6.3.1 </w:t>
      </w:r>
      <w:r>
        <w:rPr>
          <w:rFonts w:ascii="宋体" w:hint="eastAsia"/>
          <w:noProof/>
          <w:kern w:val="0"/>
          <w:szCs w:val="20"/>
        </w:rPr>
        <w:t>仓内排风扇和拱板仓隔层换气风机宜采用微电脑时控或温控开关控制，通风过程要密切注意天气变化，及时检测气温、气湿情况，一旦气温较低，立即开启排风扇、换气风机降仓温、排出积热。</w:t>
      </w:r>
    </w:p>
    <w:p w:rsidR="007A766C" w:rsidRDefault="007A766C">
      <w:pPr>
        <w:spacing w:line="500" w:lineRule="exact"/>
        <w:rPr>
          <w:rFonts w:ascii="宋体" w:hint="eastAsia"/>
          <w:noProof/>
          <w:kern w:val="0"/>
          <w:szCs w:val="20"/>
        </w:rPr>
      </w:pPr>
      <w:r>
        <w:rPr>
          <w:rFonts w:eastAsia="黑体" w:hint="eastAsia"/>
          <w:kern w:val="0"/>
          <w:szCs w:val="20"/>
        </w:rPr>
        <w:t>6.3.2</w:t>
      </w:r>
      <w:r>
        <w:rPr>
          <w:rFonts w:ascii="宋体" w:hint="eastAsia"/>
          <w:noProof/>
          <w:kern w:val="0"/>
          <w:szCs w:val="20"/>
        </w:rPr>
        <w:t>昼夜气温变化不大时，可以延长排风扇和换气风机运行时间，有效通风换气，排除积热，防止产生“闷顶”现象。</w:t>
      </w:r>
    </w:p>
    <w:p w:rsidR="007A766C" w:rsidRDefault="007A766C">
      <w:pPr>
        <w:spacing w:line="500" w:lineRule="exact"/>
        <w:rPr>
          <w:rFonts w:ascii="宋体" w:hint="eastAsia"/>
          <w:noProof/>
          <w:kern w:val="0"/>
          <w:szCs w:val="20"/>
        </w:rPr>
      </w:pPr>
      <w:r>
        <w:rPr>
          <w:rFonts w:eastAsia="黑体" w:hint="eastAsia"/>
          <w:kern w:val="0"/>
          <w:szCs w:val="20"/>
        </w:rPr>
        <w:t xml:space="preserve">6.3.3 </w:t>
      </w:r>
      <w:r>
        <w:rPr>
          <w:rFonts w:ascii="宋体" w:hint="eastAsia"/>
          <w:noProof/>
          <w:kern w:val="0"/>
          <w:szCs w:val="20"/>
        </w:rPr>
        <w:t>利用阴雨天进行通风换气时，应注意对仓房设施的检查，防止出现雨水渗漏导致储粮结露、生霉。</w:t>
      </w:r>
    </w:p>
    <w:p w:rsidR="007A766C" w:rsidRDefault="007A766C">
      <w:pPr>
        <w:spacing w:line="500" w:lineRule="exact"/>
        <w:rPr>
          <w:rFonts w:ascii="宋体" w:hint="eastAsia"/>
          <w:noProof/>
          <w:kern w:val="0"/>
          <w:szCs w:val="20"/>
        </w:rPr>
      </w:pPr>
      <w:r>
        <w:rPr>
          <w:rFonts w:eastAsia="黑体" w:hint="eastAsia"/>
          <w:kern w:val="0"/>
          <w:szCs w:val="20"/>
        </w:rPr>
        <w:t>6.3.4</w:t>
      </w:r>
      <w:r>
        <w:rPr>
          <w:rFonts w:ascii="宋体" w:hint="eastAsia"/>
          <w:noProof/>
          <w:kern w:val="0"/>
          <w:szCs w:val="20"/>
        </w:rPr>
        <w:t>开启仓内排风扇通风换气降仓温时，应合理打开窗户，离排风扇远的窗户全打开，离排风扇最近的窗户可以不打开或微开，保证全仓都能有效通风换气。所需开启的门窗应安装防虫帘或防虫网，防止害虫感染。</w:t>
      </w:r>
    </w:p>
    <w:p w:rsidR="007A766C" w:rsidRDefault="007A766C">
      <w:pPr>
        <w:pStyle w:val="af2"/>
        <w:numPr>
          <w:ilvl w:val="0"/>
          <w:numId w:val="0"/>
        </w:numPr>
        <w:spacing w:line="500" w:lineRule="exact"/>
        <w:rPr>
          <w:rFonts w:ascii="仿宋_GB2312" w:eastAsia="仿宋_GB2312" w:hAnsi="宋体" w:hint="eastAsia"/>
          <w:sz w:val="28"/>
          <w:szCs w:val="28"/>
        </w:rPr>
      </w:pPr>
      <w:r>
        <w:rPr>
          <w:rFonts w:hint="eastAsia"/>
        </w:rPr>
        <w:t xml:space="preserve">6.3.5 </w:t>
      </w:r>
      <w:r>
        <w:rPr>
          <w:rFonts w:ascii="宋体" w:eastAsia="宋体" w:hint="eastAsia"/>
          <w:noProof/>
        </w:rPr>
        <w:t>如果粮温超出目标温度，应采用补冷设备强制降温，及时控制粮温过高。并及时查找原因。</w:t>
      </w:r>
    </w:p>
    <w:p w:rsidR="007A766C" w:rsidRDefault="007A766C">
      <w:pPr>
        <w:pStyle w:val="af"/>
        <w:spacing w:before="156" w:after="156" w:line="500" w:lineRule="exact"/>
        <w:rPr>
          <w:rFonts w:hint="eastAsia"/>
        </w:rPr>
      </w:pPr>
      <w:r>
        <w:rPr>
          <w:rFonts w:hint="eastAsia"/>
        </w:rPr>
        <w:t>附则</w:t>
      </w:r>
    </w:p>
    <w:p w:rsidR="007A766C" w:rsidRDefault="007A766C">
      <w:pPr>
        <w:spacing w:line="500" w:lineRule="exact"/>
        <w:rPr>
          <w:rFonts w:hint="eastAsia"/>
          <w:noProof/>
          <w:kern w:val="0"/>
        </w:rPr>
      </w:pPr>
      <w:r>
        <w:rPr>
          <w:rFonts w:eastAsia="黑体" w:hint="eastAsia"/>
          <w:kern w:val="0"/>
        </w:rPr>
        <w:t>7.1</w:t>
      </w:r>
      <w:r>
        <w:rPr>
          <w:rFonts w:hint="eastAsia"/>
          <w:noProof/>
          <w:kern w:val="0"/>
        </w:rPr>
        <w:t>本规程根据南方地区气候特点与试验经验而制定，各地在应用时，可结合当地气候特点和实际适当进行调整，提倡采用控温和气调相结合的现代储粮经济运行模式。实际应用过程中，各单位应全面考虑控温措施的能耗大小，尽量选用能耗低、污染小的控温设施设备，以达到节能减排的目的。</w:t>
      </w:r>
    </w:p>
    <w:p w:rsidR="007A766C" w:rsidRDefault="007A766C">
      <w:pPr>
        <w:spacing w:line="500" w:lineRule="exact"/>
        <w:rPr>
          <w:rFonts w:eastAsia="黑体" w:hint="eastAsia"/>
          <w:kern w:val="0"/>
          <w:szCs w:val="20"/>
        </w:rPr>
      </w:pPr>
      <w:r>
        <w:rPr>
          <w:rFonts w:eastAsia="黑体" w:hint="eastAsia"/>
          <w:kern w:val="0"/>
          <w:szCs w:val="20"/>
        </w:rPr>
        <w:t xml:space="preserve">7.2 </w:t>
      </w:r>
      <w:r>
        <w:rPr>
          <w:rFonts w:eastAsia="黑体" w:hint="eastAsia"/>
          <w:kern w:val="0"/>
          <w:szCs w:val="20"/>
        </w:rPr>
        <w:t>本规程由中国储备粮总公司负责解释。</w:t>
      </w:r>
    </w:p>
    <w:p w:rsidR="007A766C" w:rsidRDefault="007A766C">
      <w:pPr>
        <w:spacing w:line="500" w:lineRule="exact"/>
        <w:rPr>
          <w:rFonts w:eastAsia="黑体" w:hint="eastAsia"/>
          <w:kern w:val="0"/>
          <w:szCs w:val="20"/>
        </w:rPr>
      </w:pPr>
      <w:r>
        <w:rPr>
          <w:rFonts w:eastAsia="黑体" w:hint="eastAsia"/>
          <w:kern w:val="0"/>
          <w:szCs w:val="20"/>
        </w:rPr>
        <w:t xml:space="preserve">7.3 </w:t>
      </w:r>
      <w:r>
        <w:rPr>
          <w:rFonts w:eastAsia="黑体" w:hint="eastAsia"/>
          <w:kern w:val="0"/>
          <w:szCs w:val="20"/>
        </w:rPr>
        <w:t>本规程自发布之日起试行。</w:t>
      </w:r>
    </w:p>
    <w:p w:rsidR="007A766C" w:rsidRDefault="007A766C">
      <w:pPr>
        <w:pStyle w:val="aff5"/>
        <w:spacing w:line="500" w:lineRule="exact"/>
        <w:ind w:firstLine="420"/>
        <w:rPr>
          <w:rFonts w:hint="eastAsia"/>
        </w:rPr>
      </w:pPr>
    </w:p>
    <w:p w:rsidR="007A766C" w:rsidRDefault="007A766C">
      <w:pPr>
        <w:pStyle w:val="aff5"/>
        <w:spacing w:line="500" w:lineRule="exact"/>
        <w:ind w:firstLine="420"/>
        <w:rPr>
          <w:rFonts w:hint="eastAsia"/>
        </w:rPr>
      </w:pPr>
    </w:p>
    <w:p w:rsidR="007A766C" w:rsidRDefault="007A766C">
      <w:pPr>
        <w:pStyle w:val="aff5"/>
        <w:spacing w:line="500" w:lineRule="exact"/>
        <w:ind w:firstLine="420"/>
        <w:rPr>
          <w:rFonts w:hint="eastAsia"/>
        </w:rPr>
      </w:pPr>
    </w:p>
    <w:p w:rsidR="007A766C" w:rsidRDefault="007A766C">
      <w:pPr>
        <w:pStyle w:val="aff5"/>
        <w:spacing w:line="500" w:lineRule="exact"/>
        <w:ind w:firstLine="420"/>
        <w:rPr>
          <w:rFonts w:hint="eastAsia"/>
        </w:rPr>
      </w:pPr>
    </w:p>
    <w:tbl>
      <w:tblPr>
        <w:tblW w:w="10942" w:type="dxa"/>
        <w:tblInd w:w="-754" w:type="dxa"/>
        <w:tblLook w:val="0000" w:firstRow="0" w:lastRow="0" w:firstColumn="0" w:lastColumn="0" w:noHBand="0" w:noVBand="0"/>
      </w:tblPr>
      <w:tblGrid>
        <w:gridCol w:w="2122"/>
        <w:gridCol w:w="1118"/>
        <w:gridCol w:w="1080"/>
        <w:gridCol w:w="1080"/>
        <w:gridCol w:w="1080"/>
        <w:gridCol w:w="1080"/>
        <w:gridCol w:w="1080"/>
        <w:gridCol w:w="1080"/>
        <w:gridCol w:w="1222"/>
      </w:tblGrid>
      <w:tr w:rsidR="007A766C">
        <w:trPr>
          <w:cantSplit/>
          <w:trHeight w:val="624"/>
        </w:trPr>
        <w:tc>
          <w:tcPr>
            <w:tcW w:w="10942" w:type="dxa"/>
            <w:gridSpan w:val="9"/>
            <w:vMerge w:val="restart"/>
            <w:tcBorders>
              <w:top w:val="nil"/>
              <w:left w:val="nil"/>
              <w:bottom w:val="single" w:sz="4" w:space="0" w:color="000000"/>
              <w:right w:val="nil"/>
            </w:tcBorders>
            <w:vAlign w:val="center"/>
          </w:tcPr>
          <w:p w:rsidR="007A766C" w:rsidRDefault="007A766C">
            <w:pPr>
              <w:widowControl/>
              <w:spacing w:line="500" w:lineRule="exact"/>
              <w:jc w:val="center"/>
              <w:rPr>
                <w:rFonts w:ascii="宋体" w:eastAsia="黑体" w:hAnsi="宋体" w:cs="宋体"/>
                <w:b/>
                <w:bCs/>
                <w:kern w:val="0"/>
                <w:szCs w:val="32"/>
              </w:rPr>
            </w:pPr>
            <w:r>
              <w:rPr>
                <w:rFonts w:ascii="黑体" w:eastAsia="黑体" w:hint="eastAsia"/>
                <w:kern w:val="0"/>
                <w:szCs w:val="20"/>
              </w:rPr>
              <w:t xml:space="preserve">附录   </w:t>
            </w:r>
            <w:r>
              <w:rPr>
                <w:rFonts w:ascii="黑体" w:eastAsia="黑体" w:hint="eastAsia"/>
                <w:kern w:val="21"/>
                <w:szCs w:val="20"/>
              </w:rPr>
              <w:t>不同储粮生态区域的控温目标</w:t>
            </w:r>
          </w:p>
        </w:tc>
      </w:tr>
      <w:tr w:rsidR="007A766C">
        <w:trPr>
          <w:cantSplit/>
          <w:trHeight w:val="624"/>
        </w:trPr>
        <w:tc>
          <w:tcPr>
            <w:tcW w:w="10942" w:type="dxa"/>
            <w:gridSpan w:val="9"/>
            <w:vMerge/>
            <w:tcBorders>
              <w:top w:val="nil"/>
              <w:left w:val="nil"/>
              <w:bottom w:val="single" w:sz="4" w:space="0" w:color="000000"/>
              <w:right w:val="nil"/>
            </w:tcBorders>
            <w:vAlign w:val="center"/>
          </w:tcPr>
          <w:p w:rsidR="007A766C" w:rsidRDefault="007A766C">
            <w:pPr>
              <w:widowControl/>
              <w:spacing w:line="500" w:lineRule="exact"/>
              <w:jc w:val="left"/>
              <w:rPr>
                <w:rFonts w:ascii="宋体" w:eastAsia="黑体" w:hAnsi="宋体" w:cs="宋体"/>
                <w:b/>
                <w:bCs/>
                <w:kern w:val="0"/>
                <w:szCs w:val="32"/>
              </w:rPr>
            </w:pPr>
          </w:p>
        </w:tc>
      </w:tr>
      <w:tr w:rsidR="007A766C">
        <w:trPr>
          <w:cantSplit/>
          <w:trHeight w:val="285"/>
        </w:trPr>
        <w:tc>
          <w:tcPr>
            <w:tcW w:w="2122" w:type="dxa"/>
            <w:vMerge w:val="restart"/>
            <w:tcBorders>
              <w:top w:val="nil"/>
              <w:left w:val="single" w:sz="4" w:space="0" w:color="auto"/>
              <w:bottom w:val="single" w:sz="4" w:space="0" w:color="auto"/>
              <w:right w:val="single" w:sz="4" w:space="0" w:color="auto"/>
            </w:tcBorders>
            <w:vAlign w:val="bottom"/>
          </w:tcPr>
          <w:p w:rsidR="007A766C" w:rsidRDefault="007A766C">
            <w:pPr>
              <w:widowControl/>
              <w:spacing w:line="500" w:lineRule="exact"/>
              <w:jc w:val="center"/>
              <w:rPr>
                <w:rFonts w:ascii="仿宋_GB2312" w:eastAsia="黑体" w:hAnsi="宋体" w:cs="宋体"/>
                <w:b/>
                <w:bCs/>
                <w:kern w:val="0"/>
              </w:rPr>
            </w:pPr>
            <w:r>
              <w:rPr>
                <w:rFonts w:ascii="仿宋_GB2312" w:eastAsia="黑体" w:hAnsi="宋体" w:cs="宋体" w:hint="eastAsia"/>
                <w:b/>
                <w:bCs/>
                <w:kern w:val="0"/>
              </w:rPr>
              <w:t>区域</w:t>
            </w:r>
          </w:p>
        </w:tc>
        <w:tc>
          <w:tcPr>
            <w:tcW w:w="2198" w:type="dxa"/>
            <w:gridSpan w:val="2"/>
            <w:tcBorders>
              <w:top w:val="single" w:sz="4" w:space="0" w:color="auto"/>
              <w:left w:val="nil"/>
              <w:bottom w:val="single" w:sz="4" w:space="0" w:color="auto"/>
              <w:right w:val="single" w:sz="4" w:space="0" w:color="auto"/>
            </w:tcBorders>
            <w:noWrap/>
            <w:vAlign w:val="bottom"/>
          </w:tcPr>
          <w:p w:rsidR="007A766C" w:rsidRDefault="007A766C">
            <w:pPr>
              <w:widowControl/>
              <w:spacing w:line="500" w:lineRule="exact"/>
              <w:jc w:val="center"/>
              <w:rPr>
                <w:rFonts w:ascii="仿宋_GB2312" w:eastAsia="黑体" w:hAnsi="宋体" w:cs="宋体"/>
                <w:b/>
                <w:bCs/>
                <w:kern w:val="0"/>
              </w:rPr>
            </w:pPr>
            <w:r>
              <w:rPr>
                <w:rFonts w:ascii="仿宋_GB2312" w:eastAsia="黑体" w:hAnsi="宋体" w:cs="宋体" w:hint="eastAsia"/>
                <w:b/>
                <w:bCs/>
                <w:kern w:val="0"/>
              </w:rPr>
              <w:t>春季（℃）</w:t>
            </w:r>
          </w:p>
        </w:tc>
        <w:tc>
          <w:tcPr>
            <w:tcW w:w="2160" w:type="dxa"/>
            <w:gridSpan w:val="2"/>
            <w:tcBorders>
              <w:top w:val="single" w:sz="4" w:space="0" w:color="auto"/>
              <w:left w:val="nil"/>
              <w:bottom w:val="single" w:sz="4" w:space="0" w:color="auto"/>
              <w:right w:val="single" w:sz="4" w:space="0" w:color="auto"/>
            </w:tcBorders>
            <w:noWrap/>
            <w:vAlign w:val="bottom"/>
          </w:tcPr>
          <w:p w:rsidR="007A766C" w:rsidRDefault="007A766C">
            <w:pPr>
              <w:widowControl/>
              <w:spacing w:line="500" w:lineRule="exact"/>
              <w:jc w:val="center"/>
              <w:rPr>
                <w:rFonts w:ascii="仿宋_GB2312" w:eastAsia="黑体" w:hAnsi="宋体" w:cs="宋体"/>
                <w:b/>
                <w:bCs/>
                <w:kern w:val="0"/>
              </w:rPr>
            </w:pPr>
            <w:r>
              <w:rPr>
                <w:rFonts w:ascii="仿宋_GB2312" w:eastAsia="黑体" w:hAnsi="宋体" w:cs="宋体" w:hint="eastAsia"/>
                <w:b/>
                <w:bCs/>
                <w:kern w:val="0"/>
              </w:rPr>
              <w:t>夏季（℃）</w:t>
            </w:r>
          </w:p>
        </w:tc>
        <w:tc>
          <w:tcPr>
            <w:tcW w:w="2160" w:type="dxa"/>
            <w:gridSpan w:val="2"/>
            <w:tcBorders>
              <w:top w:val="single" w:sz="4" w:space="0" w:color="auto"/>
              <w:left w:val="nil"/>
              <w:bottom w:val="single" w:sz="4" w:space="0" w:color="auto"/>
              <w:right w:val="single" w:sz="4" w:space="0" w:color="auto"/>
            </w:tcBorders>
            <w:noWrap/>
            <w:vAlign w:val="bottom"/>
          </w:tcPr>
          <w:p w:rsidR="007A766C" w:rsidRDefault="007A766C">
            <w:pPr>
              <w:widowControl/>
              <w:spacing w:line="500" w:lineRule="exact"/>
              <w:jc w:val="center"/>
              <w:rPr>
                <w:rFonts w:ascii="仿宋_GB2312" w:eastAsia="黑体" w:hAnsi="宋体" w:cs="宋体"/>
                <w:b/>
                <w:bCs/>
                <w:kern w:val="0"/>
              </w:rPr>
            </w:pPr>
            <w:r>
              <w:rPr>
                <w:rFonts w:ascii="仿宋_GB2312" w:eastAsia="黑体" w:hAnsi="宋体" w:cs="宋体" w:hint="eastAsia"/>
                <w:b/>
                <w:bCs/>
                <w:kern w:val="0"/>
              </w:rPr>
              <w:t>冬季（℃）</w:t>
            </w:r>
          </w:p>
        </w:tc>
        <w:tc>
          <w:tcPr>
            <w:tcW w:w="2302" w:type="dxa"/>
            <w:gridSpan w:val="2"/>
            <w:tcBorders>
              <w:top w:val="single" w:sz="4" w:space="0" w:color="auto"/>
              <w:left w:val="nil"/>
              <w:bottom w:val="single" w:sz="4" w:space="0" w:color="auto"/>
              <w:right w:val="single" w:sz="4" w:space="0" w:color="auto"/>
            </w:tcBorders>
            <w:noWrap/>
            <w:vAlign w:val="bottom"/>
          </w:tcPr>
          <w:p w:rsidR="007A766C" w:rsidRDefault="007A766C">
            <w:pPr>
              <w:widowControl/>
              <w:spacing w:line="500" w:lineRule="exact"/>
              <w:jc w:val="center"/>
              <w:rPr>
                <w:rFonts w:ascii="仿宋_GB2312" w:eastAsia="黑体" w:hAnsi="宋体" w:cs="宋体"/>
                <w:b/>
                <w:bCs/>
                <w:kern w:val="0"/>
              </w:rPr>
            </w:pPr>
            <w:r>
              <w:rPr>
                <w:rFonts w:ascii="仿宋_GB2312" w:eastAsia="黑体" w:hAnsi="宋体" w:cs="宋体" w:hint="eastAsia"/>
                <w:b/>
                <w:bCs/>
                <w:kern w:val="0"/>
              </w:rPr>
              <w:t>秋季（℃）</w:t>
            </w:r>
          </w:p>
        </w:tc>
      </w:tr>
      <w:tr w:rsidR="007A766C">
        <w:trPr>
          <w:cantSplit/>
          <w:trHeight w:val="285"/>
        </w:trPr>
        <w:tc>
          <w:tcPr>
            <w:tcW w:w="2122" w:type="dxa"/>
            <w:vMerge/>
            <w:tcBorders>
              <w:top w:val="nil"/>
              <w:left w:val="single" w:sz="4" w:space="0" w:color="auto"/>
              <w:bottom w:val="single" w:sz="4" w:space="0" w:color="auto"/>
              <w:right w:val="single" w:sz="4" w:space="0" w:color="auto"/>
            </w:tcBorders>
            <w:vAlign w:val="center"/>
          </w:tcPr>
          <w:p w:rsidR="007A766C" w:rsidRDefault="007A766C">
            <w:pPr>
              <w:widowControl/>
              <w:spacing w:line="500" w:lineRule="exact"/>
              <w:jc w:val="left"/>
              <w:rPr>
                <w:rFonts w:ascii="仿宋_GB2312" w:eastAsia="黑体" w:hAnsi="宋体" w:cs="宋体"/>
                <w:b/>
                <w:bCs/>
                <w:kern w:val="0"/>
              </w:rPr>
            </w:pPr>
          </w:p>
        </w:tc>
        <w:tc>
          <w:tcPr>
            <w:tcW w:w="1118" w:type="dxa"/>
            <w:tcBorders>
              <w:top w:val="nil"/>
              <w:left w:val="nil"/>
              <w:bottom w:val="single" w:sz="4" w:space="0" w:color="auto"/>
              <w:right w:val="single" w:sz="4" w:space="0" w:color="auto"/>
            </w:tcBorders>
            <w:noWrap/>
            <w:vAlign w:val="bottom"/>
          </w:tcPr>
          <w:p w:rsidR="007A766C" w:rsidRDefault="007A766C">
            <w:pPr>
              <w:widowControl/>
              <w:spacing w:line="500" w:lineRule="exact"/>
              <w:jc w:val="left"/>
              <w:rPr>
                <w:rFonts w:ascii="仿宋_GB2312" w:eastAsia="黑体" w:hAnsi="宋体" w:cs="宋体"/>
                <w:b/>
                <w:bCs/>
                <w:kern w:val="0"/>
                <w:szCs w:val="21"/>
              </w:rPr>
            </w:pPr>
            <w:r>
              <w:rPr>
                <w:rFonts w:ascii="仿宋_GB2312" w:eastAsia="黑体" w:hAnsi="宋体" w:cs="宋体" w:hint="eastAsia"/>
                <w:b/>
                <w:bCs/>
                <w:kern w:val="0"/>
                <w:szCs w:val="21"/>
              </w:rPr>
              <w:t>平均粮温</w:t>
            </w:r>
          </w:p>
        </w:tc>
        <w:tc>
          <w:tcPr>
            <w:tcW w:w="1080" w:type="dxa"/>
            <w:tcBorders>
              <w:top w:val="nil"/>
              <w:left w:val="nil"/>
              <w:bottom w:val="single" w:sz="4" w:space="0" w:color="auto"/>
              <w:right w:val="single" w:sz="4" w:space="0" w:color="auto"/>
            </w:tcBorders>
            <w:noWrap/>
            <w:vAlign w:val="bottom"/>
          </w:tcPr>
          <w:p w:rsidR="007A766C" w:rsidRDefault="007A766C">
            <w:pPr>
              <w:widowControl/>
              <w:spacing w:line="500" w:lineRule="exact"/>
              <w:jc w:val="left"/>
              <w:rPr>
                <w:rFonts w:ascii="仿宋_GB2312" w:eastAsia="黑体" w:hAnsi="宋体" w:cs="宋体"/>
                <w:b/>
                <w:bCs/>
                <w:kern w:val="0"/>
                <w:szCs w:val="21"/>
              </w:rPr>
            </w:pPr>
            <w:r>
              <w:rPr>
                <w:rFonts w:ascii="仿宋_GB2312" w:eastAsia="黑体" w:hAnsi="宋体" w:cs="宋体" w:hint="eastAsia"/>
                <w:b/>
                <w:bCs/>
                <w:kern w:val="0"/>
                <w:szCs w:val="21"/>
              </w:rPr>
              <w:t>最高粮温</w:t>
            </w:r>
          </w:p>
        </w:tc>
        <w:tc>
          <w:tcPr>
            <w:tcW w:w="1080" w:type="dxa"/>
            <w:tcBorders>
              <w:top w:val="nil"/>
              <w:left w:val="nil"/>
              <w:bottom w:val="single" w:sz="4" w:space="0" w:color="auto"/>
              <w:right w:val="single" w:sz="4" w:space="0" w:color="auto"/>
            </w:tcBorders>
            <w:noWrap/>
            <w:vAlign w:val="bottom"/>
          </w:tcPr>
          <w:p w:rsidR="007A766C" w:rsidRDefault="007A766C">
            <w:pPr>
              <w:widowControl/>
              <w:spacing w:line="500" w:lineRule="exact"/>
              <w:jc w:val="left"/>
              <w:rPr>
                <w:rFonts w:ascii="仿宋_GB2312" w:eastAsia="黑体" w:hAnsi="宋体" w:cs="宋体"/>
                <w:b/>
                <w:bCs/>
                <w:kern w:val="0"/>
                <w:szCs w:val="21"/>
              </w:rPr>
            </w:pPr>
            <w:r>
              <w:rPr>
                <w:rFonts w:ascii="仿宋_GB2312" w:eastAsia="黑体" w:hAnsi="宋体" w:cs="宋体" w:hint="eastAsia"/>
                <w:b/>
                <w:bCs/>
                <w:kern w:val="0"/>
                <w:szCs w:val="21"/>
              </w:rPr>
              <w:t>平均粮温</w:t>
            </w:r>
          </w:p>
        </w:tc>
        <w:tc>
          <w:tcPr>
            <w:tcW w:w="1080" w:type="dxa"/>
            <w:tcBorders>
              <w:top w:val="nil"/>
              <w:left w:val="nil"/>
              <w:bottom w:val="single" w:sz="4" w:space="0" w:color="auto"/>
              <w:right w:val="single" w:sz="4" w:space="0" w:color="auto"/>
            </w:tcBorders>
            <w:noWrap/>
            <w:vAlign w:val="bottom"/>
          </w:tcPr>
          <w:p w:rsidR="007A766C" w:rsidRDefault="007A766C">
            <w:pPr>
              <w:widowControl/>
              <w:spacing w:line="500" w:lineRule="exact"/>
              <w:jc w:val="left"/>
              <w:rPr>
                <w:rFonts w:ascii="仿宋_GB2312" w:eastAsia="黑体" w:hAnsi="宋体" w:cs="宋体"/>
                <w:b/>
                <w:bCs/>
                <w:kern w:val="0"/>
                <w:szCs w:val="21"/>
              </w:rPr>
            </w:pPr>
            <w:r>
              <w:rPr>
                <w:rFonts w:ascii="仿宋_GB2312" w:eastAsia="黑体" w:hAnsi="宋体" w:cs="宋体" w:hint="eastAsia"/>
                <w:b/>
                <w:bCs/>
                <w:kern w:val="0"/>
                <w:szCs w:val="21"/>
              </w:rPr>
              <w:t>最高粮温</w:t>
            </w:r>
          </w:p>
        </w:tc>
        <w:tc>
          <w:tcPr>
            <w:tcW w:w="1080" w:type="dxa"/>
            <w:tcBorders>
              <w:top w:val="nil"/>
              <w:left w:val="nil"/>
              <w:bottom w:val="single" w:sz="4" w:space="0" w:color="auto"/>
              <w:right w:val="single" w:sz="4" w:space="0" w:color="auto"/>
            </w:tcBorders>
            <w:noWrap/>
            <w:vAlign w:val="bottom"/>
          </w:tcPr>
          <w:p w:rsidR="007A766C" w:rsidRDefault="007A766C">
            <w:pPr>
              <w:widowControl/>
              <w:spacing w:line="500" w:lineRule="exact"/>
              <w:jc w:val="left"/>
              <w:rPr>
                <w:rFonts w:ascii="仿宋_GB2312" w:eastAsia="黑体" w:hAnsi="宋体" w:cs="宋体"/>
                <w:b/>
                <w:bCs/>
                <w:kern w:val="0"/>
                <w:szCs w:val="21"/>
              </w:rPr>
            </w:pPr>
            <w:r>
              <w:rPr>
                <w:rFonts w:ascii="仿宋_GB2312" w:eastAsia="黑体" w:hAnsi="宋体" w:cs="宋体" w:hint="eastAsia"/>
                <w:b/>
                <w:bCs/>
                <w:kern w:val="0"/>
                <w:szCs w:val="21"/>
              </w:rPr>
              <w:t>平均粮温</w:t>
            </w:r>
          </w:p>
        </w:tc>
        <w:tc>
          <w:tcPr>
            <w:tcW w:w="1080" w:type="dxa"/>
            <w:tcBorders>
              <w:top w:val="nil"/>
              <w:left w:val="nil"/>
              <w:bottom w:val="single" w:sz="4" w:space="0" w:color="auto"/>
              <w:right w:val="single" w:sz="4" w:space="0" w:color="auto"/>
            </w:tcBorders>
            <w:noWrap/>
            <w:vAlign w:val="bottom"/>
          </w:tcPr>
          <w:p w:rsidR="007A766C" w:rsidRDefault="007A766C">
            <w:pPr>
              <w:widowControl/>
              <w:spacing w:line="500" w:lineRule="exact"/>
              <w:jc w:val="left"/>
              <w:rPr>
                <w:rFonts w:ascii="仿宋_GB2312" w:eastAsia="黑体" w:hAnsi="宋体" w:cs="宋体"/>
                <w:b/>
                <w:bCs/>
                <w:kern w:val="0"/>
                <w:szCs w:val="21"/>
              </w:rPr>
            </w:pPr>
            <w:r>
              <w:rPr>
                <w:rFonts w:ascii="仿宋_GB2312" w:eastAsia="黑体" w:hAnsi="宋体" w:cs="宋体" w:hint="eastAsia"/>
                <w:b/>
                <w:bCs/>
                <w:kern w:val="0"/>
                <w:szCs w:val="21"/>
              </w:rPr>
              <w:t>最高粮温</w:t>
            </w:r>
          </w:p>
        </w:tc>
        <w:tc>
          <w:tcPr>
            <w:tcW w:w="1080" w:type="dxa"/>
            <w:tcBorders>
              <w:top w:val="nil"/>
              <w:left w:val="nil"/>
              <w:bottom w:val="single" w:sz="4" w:space="0" w:color="auto"/>
              <w:right w:val="single" w:sz="4" w:space="0" w:color="auto"/>
            </w:tcBorders>
            <w:noWrap/>
            <w:vAlign w:val="bottom"/>
          </w:tcPr>
          <w:p w:rsidR="007A766C" w:rsidRDefault="007A766C">
            <w:pPr>
              <w:widowControl/>
              <w:spacing w:line="500" w:lineRule="exact"/>
              <w:jc w:val="left"/>
              <w:rPr>
                <w:rFonts w:ascii="仿宋_GB2312" w:eastAsia="黑体" w:hAnsi="宋体" w:cs="宋体"/>
                <w:b/>
                <w:bCs/>
                <w:kern w:val="0"/>
                <w:szCs w:val="21"/>
              </w:rPr>
            </w:pPr>
            <w:r>
              <w:rPr>
                <w:rFonts w:ascii="仿宋_GB2312" w:eastAsia="黑体" w:hAnsi="宋体" w:cs="宋体" w:hint="eastAsia"/>
                <w:b/>
                <w:bCs/>
                <w:kern w:val="0"/>
                <w:szCs w:val="21"/>
              </w:rPr>
              <w:t>平均粮温</w:t>
            </w:r>
          </w:p>
        </w:tc>
        <w:tc>
          <w:tcPr>
            <w:tcW w:w="1222" w:type="dxa"/>
            <w:tcBorders>
              <w:top w:val="nil"/>
              <w:left w:val="nil"/>
              <w:bottom w:val="single" w:sz="4" w:space="0" w:color="auto"/>
              <w:right w:val="single" w:sz="4" w:space="0" w:color="auto"/>
            </w:tcBorders>
            <w:noWrap/>
            <w:vAlign w:val="bottom"/>
          </w:tcPr>
          <w:p w:rsidR="007A766C" w:rsidRDefault="007A766C">
            <w:pPr>
              <w:widowControl/>
              <w:spacing w:line="500" w:lineRule="exact"/>
              <w:jc w:val="left"/>
              <w:rPr>
                <w:rFonts w:ascii="仿宋_GB2312" w:eastAsia="黑体" w:hAnsi="宋体" w:cs="宋体"/>
                <w:b/>
                <w:bCs/>
                <w:kern w:val="0"/>
                <w:szCs w:val="21"/>
              </w:rPr>
            </w:pPr>
            <w:r>
              <w:rPr>
                <w:rFonts w:ascii="仿宋_GB2312" w:eastAsia="黑体" w:hAnsi="宋体" w:cs="宋体" w:hint="eastAsia"/>
                <w:b/>
                <w:bCs/>
                <w:kern w:val="0"/>
                <w:szCs w:val="21"/>
              </w:rPr>
              <w:t>最高粮温</w:t>
            </w:r>
          </w:p>
        </w:tc>
      </w:tr>
      <w:tr w:rsidR="007A766C">
        <w:trPr>
          <w:trHeight w:val="600"/>
        </w:trPr>
        <w:tc>
          <w:tcPr>
            <w:tcW w:w="2122" w:type="dxa"/>
            <w:tcBorders>
              <w:top w:val="nil"/>
              <w:left w:val="single" w:sz="4" w:space="0" w:color="auto"/>
              <w:bottom w:val="single" w:sz="4" w:space="0" w:color="auto"/>
              <w:right w:val="single" w:sz="4" w:space="0" w:color="auto"/>
            </w:tcBorders>
            <w:vAlign w:val="center"/>
          </w:tcPr>
          <w:p w:rsidR="007A766C" w:rsidRDefault="007A766C">
            <w:pPr>
              <w:widowControl/>
              <w:spacing w:line="500" w:lineRule="exact"/>
              <w:jc w:val="center"/>
              <w:rPr>
                <w:rFonts w:ascii="仿宋_GB2312" w:eastAsia="黑体" w:hAnsi="宋体" w:cs="宋体"/>
                <w:kern w:val="0"/>
                <w:szCs w:val="21"/>
              </w:rPr>
            </w:pPr>
            <w:r>
              <w:rPr>
                <w:rFonts w:ascii="仿宋_GB2312" w:eastAsia="黑体" w:hAnsi="宋体" w:cs="宋体" w:hint="eastAsia"/>
                <w:kern w:val="0"/>
                <w:szCs w:val="21"/>
              </w:rPr>
              <w:t>华南高温高湿储粮区</w:t>
            </w:r>
          </w:p>
        </w:tc>
        <w:tc>
          <w:tcPr>
            <w:tcW w:w="1118" w:type="dxa"/>
            <w:tcBorders>
              <w:top w:val="nil"/>
              <w:left w:val="nil"/>
              <w:bottom w:val="single" w:sz="4" w:space="0" w:color="auto"/>
              <w:right w:val="single" w:sz="4" w:space="0" w:color="auto"/>
            </w:tcBorders>
            <w:noWrap/>
            <w:vAlign w:val="center"/>
          </w:tcPr>
          <w:p w:rsidR="007A766C" w:rsidRDefault="007A766C">
            <w:pPr>
              <w:widowControl/>
              <w:spacing w:line="500" w:lineRule="exact"/>
              <w:jc w:val="center"/>
              <w:rPr>
                <w:rFonts w:ascii="仿宋_GB2312" w:eastAsia="黑体" w:hAnsi="宋体" w:cs="宋体"/>
                <w:kern w:val="0"/>
              </w:rPr>
            </w:pPr>
            <w:r>
              <w:rPr>
                <w:rFonts w:ascii="仿宋_GB2312" w:eastAsia="黑体" w:hAnsi="宋体" w:cs="宋体" w:hint="eastAsia"/>
                <w:kern w:val="0"/>
              </w:rPr>
              <w:t>18</w:t>
            </w:r>
          </w:p>
        </w:tc>
        <w:tc>
          <w:tcPr>
            <w:tcW w:w="1080" w:type="dxa"/>
            <w:tcBorders>
              <w:top w:val="nil"/>
              <w:left w:val="nil"/>
              <w:bottom w:val="single" w:sz="4" w:space="0" w:color="auto"/>
              <w:right w:val="single" w:sz="4" w:space="0" w:color="auto"/>
            </w:tcBorders>
            <w:noWrap/>
            <w:vAlign w:val="center"/>
          </w:tcPr>
          <w:p w:rsidR="007A766C" w:rsidRDefault="007A766C">
            <w:pPr>
              <w:widowControl/>
              <w:spacing w:line="500" w:lineRule="exact"/>
              <w:jc w:val="center"/>
              <w:rPr>
                <w:rFonts w:ascii="仿宋_GB2312" w:eastAsia="黑体" w:hAnsi="宋体" w:cs="宋体"/>
                <w:kern w:val="0"/>
              </w:rPr>
            </w:pPr>
            <w:r>
              <w:rPr>
                <w:rFonts w:ascii="仿宋_GB2312" w:eastAsia="黑体" w:hAnsi="宋体" w:cs="宋体" w:hint="eastAsia"/>
                <w:kern w:val="0"/>
              </w:rPr>
              <w:t>25</w:t>
            </w:r>
          </w:p>
        </w:tc>
        <w:tc>
          <w:tcPr>
            <w:tcW w:w="1080" w:type="dxa"/>
            <w:tcBorders>
              <w:top w:val="nil"/>
              <w:left w:val="nil"/>
              <w:bottom w:val="single" w:sz="4" w:space="0" w:color="auto"/>
              <w:right w:val="single" w:sz="4" w:space="0" w:color="auto"/>
            </w:tcBorders>
            <w:noWrap/>
            <w:vAlign w:val="center"/>
          </w:tcPr>
          <w:p w:rsidR="007A766C" w:rsidRDefault="007A766C">
            <w:pPr>
              <w:widowControl/>
              <w:spacing w:line="500" w:lineRule="exact"/>
              <w:jc w:val="center"/>
              <w:rPr>
                <w:rFonts w:ascii="仿宋_GB2312" w:eastAsia="黑体" w:hAnsi="宋体" w:cs="宋体"/>
                <w:kern w:val="0"/>
              </w:rPr>
            </w:pPr>
            <w:r>
              <w:rPr>
                <w:rFonts w:ascii="仿宋_GB2312" w:eastAsia="黑体" w:hAnsi="宋体" w:cs="宋体" w:hint="eastAsia"/>
                <w:kern w:val="0"/>
              </w:rPr>
              <w:t>20</w:t>
            </w:r>
          </w:p>
        </w:tc>
        <w:tc>
          <w:tcPr>
            <w:tcW w:w="1080" w:type="dxa"/>
            <w:tcBorders>
              <w:top w:val="nil"/>
              <w:left w:val="nil"/>
              <w:bottom w:val="single" w:sz="4" w:space="0" w:color="auto"/>
              <w:right w:val="single" w:sz="4" w:space="0" w:color="auto"/>
            </w:tcBorders>
            <w:noWrap/>
            <w:vAlign w:val="center"/>
          </w:tcPr>
          <w:p w:rsidR="007A766C" w:rsidRDefault="007A766C">
            <w:pPr>
              <w:widowControl/>
              <w:spacing w:line="500" w:lineRule="exact"/>
              <w:jc w:val="center"/>
              <w:rPr>
                <w:rFonts w:ascii="仿宋_GB2312" w:eastAsia="黑体" w:hAnsi="宋体" w:cs="宋体"/>
                <w:kern w:val="0"/>
              </w:rPr>
            </w:pPr>
            <w:r>
              <w:rPr>
                <w:rFonts w:ascii="仿宋_GB2312" w:eastAsia="黑体" w:hAnsi="宋体" w:cs="宋体" w:hint="eastAsia"/>
                <w:kern w:val="0"/>
              </w:rPr>
              <w:t>28</w:t>
            </w:r>
          </w:p>
        </w:tc>
        <w:tc>
          <w:tcPr>
            <w:tcW w:w="1080" w:type="dxa"/>
            <w:tcBorders>
              <w:top w:val="nil"/>
              <w:left w:val="nil"/>
              <w:bottom w:val="single" w:sz="4" w:space="0" w:color="auto"/>
              <w:right w:val="single" w:sz="4" w:space="0" w:color="auto"/>
            </w:tcBorders>
            <w:noWrap/>
            <w:vAlign w:val="center"/>
          </w:tcPr>
          <w:p w:rsidR="007A766C" w:rsidRDefault="007A766C">
            <w:pPr>
              <w:widowControl/>
              <w:spacing w:line="500" w:lineRule="exact"/>
              <w:jc w:val="center"/>
              <w:rPr>
                <w:rFonts w:ascii="仿宋_GB2312" w:eastAsia="黑体" w:hAnsi="宋体" w:cs="宋体"/>
                <w:kern w:val="0"/>
              </w:rPr>
            </w:pPr>
            <w:r>
              <w:rPr>
                <w:rFonts w:ascii="仿宋_GB2312" w:eastAsia="黑体" w:hAnsi="宋体" w:cs="宋体" w:hint="eastAsia"/>
                <w:kern w:val="0"/>
              </w:rPr>
              <w:t>15</w:t>
            </w:r>
          </w:p>
        </w:tc>
        <w:tc>
          <w:tcPr>
            <w:tcW w:w="1080" w:type="dxa"/>
            <w:tcBorders>
              <w:top w:val="nil"/>
              <w:left w:val="nil"/>
              <w:bottom w:val="single" w:sz="4" w:space="0" w:color="auto"/>
              <w:right w:val="single" w:sz="4" w:space="0" w:color="auto"/>
            </w:tcBorders>
            <w:noWrap/>
            <w:vAlign w:val="center"/>
          </w:tcPr>
          <w:p w:rsidR="007A766C" w:rsidRDefault="007A766C">
            <w:pPr>
              <w:widowControl/>
              <w:spacing w:line="500" w:lineRule="exact"/>
              <w:jc w:val="center"/>
              <w:rPr>
                <w:rFonts w:ascii="仿宋_GB2312" w:eastAsia="黑体" w:hAnsi="宋体" w:cs="宋体"/>
                <w:kern w:val="0"/>
              </w:rPr>
            </w:pPr>
            <w:r>
              <w:rPr>
                <w:rFonts w:ascii="仿宋_GB2312" w:eastAsia="黑体" w:hAnsi="宋体" w:cs="宋体" w:hint="eastAsia"/>
                <w:kern w:val="0"/>
              </w:rPr>
              <w:t>20</w:t>
            </w:r>
          </w:p>
        </w:tc>
        <w:tc>
          <w:tcPr>
            <w:tcW w:w="1080" w:type="dxa"/>
            <w:tcBorders>
              <w:top w:val="nil"/>
              <w:left w:val="nil"/>
              <w:bottom w:val="single" w:sz="4" w:space="0" w:color="auto"/>
              <w:right w:val="single" w:sz="4" w:space="0" w:color="auto"/>
            </w:tcBorders>
            <w:noWrap/>
            <w:vAlign w:val="center"/>
          </w:tcPr>
          <w:p w:rsidR="007A766C" w:rsidRDefault="007A766C">
            <w:pPr>
              <w:widowControl/>
              <w:spacing w:line="500" w:lineRule="exact"/>
              <w:jc w:val="center"/>
              <w:rPr>
                <w:rFonts w:ascii="仿宋_GB2312" w:eastAsia="黑体" w:hAnsi="宋体" w:cs="宋体"/>
                <w:kern w:val="0"/>
              </w:rPr>
            </w:pPr>
            <w:r>
              <w:rPr>
                <w:rFonts w:ascii="仿宋_GB2312" w:eastAsia="黑体" w:hAnsi="宋体" w:cs="宋体" w:hint="eastAsia"/>
                <w:kern w:val="0"/>
              </w:rPr>
              <w:t>18</w:t>
            </w:r>
          </w:p>
        </w:tc>
        <w:tc>
          <w:tcPr>
            <w:tcW w:w="1222" w:type="dxa"/>
            <w:tcBorders>
              <w:top w:val="nil"/>
              <w:left w:val="nil"/>
              <w:bottom w:val="single" w:sz="4" w:space="0" w:color="auto"/>
              <w:right w:val="single" w:sz="4" w:space="0" w:color="auto"/>
            </w:tcBorders>
            <w:noWrap/>
            <w:vAlign w:val="center"/>
          </w:tcPr>
          <w:p w:rsidR="007A766C" w:rsidRDefault="007A766C">
            <w:pPr>
              <w:widowControl/>
              <w:spacing w:line="500" w:lineRule="exact"/>
              <w:jc w:val="center"/>
              <w:rPr>
                <w:rFonts w:ascii="仿宋_GB2312" w:eastAsia="黑体" w:hAnsi="宋体" w:cs="宋体"/>
                <w:kern w:val="0"/>
              </w:rPr>
            </w:pPr>
            <w:r>
              <w:rPr>
                <w:rFonts w:ascii="仿宋_GB2312" w:eastAsia="黑体" w:hAnsi="宋体" w:cs="宋体" w:hint="eastAsia"/>
                <w:kern w:val="0"/>
              </w:rPr>
              <w:t>28</w:t>
            </w:r>
          </w:p>
        </w:tc>
      </w:tr>
      <w:tr w:rsidR="007A766C">
        <w:trPr>
          <w:trHeight w:val="600"/>
        </w:trPr>
        <w:tc>
          <w:tcPr>
            <w:tcW w:w="2122" w:type="dxa"/>
            <w:tcBorders>
              <w:top w:val="nil"/>
              <w:left w:val="single" w:sz="4" w:space="0" w:color="auto"/>
              <w:bottom w:val="single" w:sz="4" w:space="0" w:color="auto"/>
              <w:right w:val="single" w:sz="4" w:space="0" w:color="auto"/>
            </w:tcBorders>
            <w:vAlign w:val="center"/>
          </w:tcPr>
          <w:p w:rsidR="007A766C" w:rsidRDefault="007A766C">
            <w:pPr>
              <w:widowControl/>
              <w:spacing w:line="500" w:lineRule="exact"/>
              <w:jc w:val="center"/>
              <w:rPr>
                <w:rFonts w:ascii="仿宋_GB2312" w:eastAsia="黑体" w:hAnsi="宋体" w:cs="宋体"/>
                <w:kern w:val="0"/>
                <w:szCs w:val="21"/>
              </w:rPr>
            </w:pPr>
            <w:r>
              <w:rPr>
                <w:rFonts w:ascii="仿宋_GB2312" w:eastAsia="黑体" w:hAnsi="宋体" w:cs="宋体" w:hint="eastAsia"/>
                <w:kern w:val="0"/>
                <w:szCs w:val="21"/>
              </w:rPr>
              <w:t>华中华东热湿储粮区</w:t>
            </w:r>
          </w:p>
        </w:tc>
        <w:tc>
          <w:tcPr>
            <w:tcW w:w="1118" w:type="dxa"/>
            <w:tcBorders>
              <w:top w:val="nil"/>
              <w:left w:val="nil"/>
              <w:bottom w:val="single" w:sz="4" w:space="0" w:color="auto"/>
              <w:right w:val="single" w:sz="4" w:space="0" w:color="auto"/>
            </w:tcBorders>
            <w:noWrap/>
            <w:vAlign w:val="center"/>
          </w:tcPr>
          <w:p w:rsidR="007A766C" w:rsidRDefault="007A766C">
            <w:pPr>
              <w:widowControl/>
              <w:spacing w:line="500" w:lineRule="exact"/>
              <w:jc w:val="center"/>
              <w:rPr>
                <w:rFonts w:ascii="仿宋_GB2312" w:eastAsia="黑体" w:hAnsi="宋体" w:cs="宋体"/>
                <w:kern w:val="0"/>
              </w:rPr>
            </w:pPr>
            <w:r>
              <w:rPr>
                <w:rFonts w:ascii="仿宋_GB2312" w:eastAsia="黑体" w:hAnsi="宋体" w:cs="宋体" w:hint="eastAsia"/>
                <w:kern w:val="0"/>
              </w:rPr>
              <w:t>15</w:t>
            </w:r>
          </w:p>
        </w:tc>
        <w:tc>
          <w:tcPr>
            <w:tcW w:w="1080" w:type="dxa"/>
            <w:tcBorders>
              <w:top w:val="nil"/>
              <w:left w:val="nil"/>
              <w:bottom w:val="single" w:sz="4" w:space="0" w:color="auto"/>
              <w:right w:val="single" w:sz="4" w:space="0" w:color="auto"/>
            </w:tcBorders>
            <w:noWrap/>
            <w:vAlign w:val="center"/>
          </w:tcPr>
          <w:p w:rsidR="007A766C" w:rsidRDefault="007A766C">
            <w:pPr>
              <w:widowControl/>
              <w:spacing w:line="500" w:lineRule="exact"/>
              <w:jc w:val="center"/>
              <w:rPr>
                <w:rFonts w:ascii="仿宋_GB2312" w:eastAsia="黑体" w:hAnsi="宋体" w:cs="宋体"/>
                <w:kern w:val="0"/>
              </w:rPr>
            </w:pPr>
            <w:r>
              <w:rPr>
                <w:rFonts w:ascii="仿宋_GB2312" w:eastAsia="黑体" w:hAnsi="宋体" w:cs="宋体" w:hint="eastAsia"/>
                <w:kern w:val="0"/>
              </w:rPr>
              <w:t>20</w:t>
            </w:r>
          </w:p>
        </w:tc>
        <w:tc>
          <w:tcPr>
            <w:tcW w:w="1080" w:type="dxa"/>
            <w:tcBorders>
              <w:top w:val="nil"/>
              <w:left w:val="nil"/>
              <w:bottom w:val="single" w:sz="4" w:space="0" w:color="auto"/>
              <w:right w:val="single" w:sz="4" w:space="0" w:color="auto"/>
            </w:tcBorders>
            <w:noWrap/>
            <w:vAlign w:val="center"/>
          </w:tcPr>
          <w:p w:rsidR="007A766C" w:rsidRDefault="007A766C">
            <w:pPr>
              <w:widowControl/>
              <w:spacing w:line="500" w:lineRule="exact"/>
              <w:jc w:val="center"/>
              <w:rPr>
                <w:rFonts w:ascii="仿宋_GB2312" w:eastAsia="黑体" w:hAnsi="宋体" w:cs="宋体"/>
                <w:kern w:val="0"/>
              </w:rPr>
            </w:pPr>
            <w:r>
              <w:rPr>
                <w:rFonts w:ascii="仿宋_GB2312" w:eastAsia="黑体" w:hAnsi="宋体" w:cs="宋体" w:hint="eastAsia"/>
                <w:kern w:val="0"/>
              </w:rPr>
              <w:t>20</w:t>
            </w:r>
          </w:p>
        </w:tc>
        <w:tc>
          <w:tcPr>
            <w:tcW w:w="1080" w:type="dxa"/>
            <w:tcBorders>
              <w:top w:val="nil"/>
              <w:left w:val="nil"/>
              <w:bottom w:val="single" w:sz="4" w:space="0" w:color="auto"/>
              <w:right w:val="single" w:sz="4" w:space="0" w:color="auto"/>
            </w:tcBorders>
            <w:noWrap/>
            <w:vAlign w:val="center"/>
          </w:tcPr>
          <w:p w:rsidR="007A766C" w:rsidRDefault="007A766C">
            <w:pPr>
              <w:widowControl/>
              <w:spacing w:line="500" w:lineRule="exact"/>
              <w:jc w:val="center"/>
              <w:rPr>
                <w:rFonts w:ascii="仿宋_GB2312" w:eastAsia="黑体" w:hAnsi="宋体" w:cs="宋体"/>
                <w:kern w:val="0"/>
              </w:rPr>
            </w:pPr>
            <w:r>
              <w:rPr>
                <w:rFonts w:ascii="仿宋_GB2312" w:eastAsia="黑体" w:hAnsi="宋体" w:cs="宋体" w:hint="eastAsia"/>
                <w:kern w:val="0"/>
              </w:rPr>
              <w:t>25</w:t>
            </w:r>
          </w:p>
        </w:tc>
        <w:tc>
          <w:tcPr>
            <w:tcW w:w="1080" w:type="dxa"/>
            <w:tcBorders>
              <w:top w:val="nil"/>
              <w:left w:val="nil"/>
              <w:bottom w:val="single" w:sz="4" w:space="0" w:color="auto"/>
              <w:right w:val="single" w:sz="4" w:space="0" w:color="auto"/>
            </w:tcBorders>
            <w:noWrap/>
            <w:vAlign w:val="center"/>
          </w:tcPr>
          <w:p w:rsidR="007A766C" w:rsidRDefault="007A766C">
            <w:pPr>
              <w:widowControl/>
              <w:spacing w:line="500" w:lineRule="exact"/>
              <w:jc w:val="center"/>
              <w:rPr>
                <w:rFonts w:ascii="仿宋_GB2312" w:eastAsia="黑体" w:hAnsi="宋体" w:cs="宋体"/>
                <w:kern w:val="0"/>
              </w:rPr>
            </w:pPr>
            <w:r>
              <w:rPr>
                <w:rFonts w:ascii="仿宋_GB2312" w:eastAsia="黑体" w:hAnsi="宋体" w:cs="宋体" w:hint="eastAsia"/>
                <w:kern w:val="0"/>
              </w:rPr>
              <w:t>10</w:t>
            </w:r>
          </w:p>
        </w:tc>
        <w:tc>
          <w:tcPr>
            <w:tcW w:w="1080" w:type="dxa"/>
            <w:tcBorders>
              <w:top w:val="nil"/>
              <w:left w:val="nil"/>
              <w:bottom w:val="single" w:sz="4" w:space="0" w:color="auto"/>
              <w:right w:val="single" w:sz="4" w:space="0" w:color="auto"/>
            </w:tcBorders>
            <w:noWrap/>
            <w:vAlign w:val="center"/>
          </w:tcPr>
          <w:p w:rsidR="007A766C" w:rsidRDefault="007A766C">
            <w:pPr>
              <w:widowControl/>
              <w:spacing w:line="500" w:lineRule="exact"/>
              <w:jc w:val="center"/>
              <w:rPr>
                <w:rFonts w:ascii="仿宋_GB2312" w:eastAsia="黑体" w:hAnsi="宋体" w:cs="宋体"/>
                <w:kern w:val="0"/>
              </w:rPr>
            </w:pPr>
            <w:r>
              <w:rPr>
                <w:rFonts w:ascii="仿宋_GB2312" w:eastAsia="黑体" w:hAnsi="宋体" w:cs="宋体" w:hint="eastAsia"/>
                <w:kern w:val="0"/>
              </w:rPr>
              <w:t>20</w:t>
            </w:r>
          </w:p>
        </w:tc>
        <w:tc>
          <w:tcPr>
            <w:tcW w:w="1080" w:type="dxa"/>
            <w:tcBorders>
              <w:top w:val="nil"/>
              <w:left w:val="nil"/>
              <w:bottom w:val="single" w:sz="4" w:space="0" w:color="auto"/>
              <w:right w:val="single" w:sz="4" w:space="0" w:color="auto"/>
            </w:tcBorders>
            <w:noWrap/>
            <w:vAlign w:val="center"/>
          </w:tcPr>
          <w:p w:rsidR="007A766C" w:rsidRDefault="007A766C">
            <w:pPr>
              <w:widowControl/>
              <w:spacing w:line="500" w:lineRule="exact"/>
              <w:jc w:val="center"/>
              <w:rPr>
                <w:rFonts w:ascii="仿宋_GB2312" w:eastAsia="黑体" w:hAnsi="宋体" w:cs="宋体"/>
                <w:kern w:val="0"/>
              </w:rPr>
            </w:pPr>
            <w:r>
              <w:rPr>
                <w:rFonts w:ascii="仿宋_GB2312" w:eastAsia="黑体" w:hAnsi="宋体" w:cs="宋体" w:hint="eastAsia"/>
                <w:kern w:val="0"/>
              </w:rPr>
              <w:t>18</w:t>
            </w:r>
          </w:p>
        </w:tc>
        <w:tc>
          <w:tcPr>
            <w:tcW w:w="1222" w:type="dxa"/>
            <w:tcBorders>
              <w:top w:val="nil"/>
              <w:left w:val="nil"/>
              <w:bottom w:val="single" w:sz="4" w:space="0" w:color="auto"/>
              <w:right w:val="single" w:sz="4" w:space="0" w:color="auto"/>
            </w:tcBorders>
            <w:noWrap/>
            <w:vAlign w:val="center"/>
          </w:tcPr>
          <w:p w:rsidR="007A766C" w:rsidRDefault="007A766C">
            <w:pPr>
              <w:widowControl/>
              <w:spacing w:line="500" w:lineRule="exact"/>
              <w:jc w:val="center"/>
              <w:rPr>
                <w:rFonts w:ascii="仿宋_GB2312" w:eastAsia="黑体" w:hAnsi="宋体" w:cs="宋体"/>
                <w:kern w:val="0"/>
              </w:rPr>
            </w:pPr>
            <w:r>
              <w:rPr>
                <w:rFonts w:ascii="仿宋_GB2312" w:eastAsia="黑体" w:hAnsi="宋体" w:cs="宋体" w:hint="eastAsia"/>
                <w:kern w:val="0"/>
              </w:rPr>
              <w:t>25</w:t>
            </w:r>
          </w:p>
        </w:tc>
      </w:tr>
      <w:tr w:rsidR="007A766C">
        <w:trPr>
          <w:trHeight w:val="600"/>
        </w:trPr>
        <w:tc>
          <w:tcPr>
            <w:tcW w:w="2122" w:type="dxa"/>
            <w:tcBorders>
              <w:top w:val="nil"/>
              <w:left w:val="single" w:sz="4" w:space="0" w:color="auto"/>
              <w:bottom w:val="single" w:sz="4" w:space="0" w:color="auto"/>
              <w:right w:val="single" w:sz="4" w:space="0" w:color="auto"/>
            </w:tcBorders>
            <w:vAlign w:val="center"/>
          </w:tcPr>
          <w:p w:rsidR="007A766C" w:rsidRDefault="007A766C">
            <w:pPr>
              <w:widowControl/>
              <w:spacing w:line="500" w:lineRule="exact"/>
              <w:jc w:val="center"/>
              <w:rPr>
                <w:rFonts w:ascii="仿宋_GB2312" w:eastAsia="黑体" w:hAnsi="宋体" w:cs="宋体"/>
                <w:kern w:val="0"/>
                <w:szCs w:val="21"/>
              </w:rPr>
            </w:pPr>
            <w:r>
              <w:rPr>
                <w:rFonts w:ascii="仿宋_GB2312" w:eastAsia="黑体" w:hAnsi="宋体" w:cs="宋体" w:hint="eastAsia"/>
                <w:kern w:val="0"/>
                <w:szCs w:val="21"/>
              </w:rPr>
              <w:t>云贵中温低湿储粮区</w:t>
            </w:r>
          </w:p>
        </w:tc>
        <w:tc>
          <w:tcPr>
            <w:tcW w:w="1118" w:type="dxa"/>
            <w:tcBorders>
              <w:top w:val="nil"/>
              <w:left w:val="nil"/>
              <w:bottom w:val="single" w:sz="4" w:space="0" w:color="auto"/>
              <w:right w:val="single" w:sz="4" w:space="0" w:color="auto"/>
            </w:tcBorders>
            <w:noWrap/>
            <w:vAlign w:val="center"/>
          </w:tcPr>
          <w:p w:rsidR="007A766C" w:rsidRDefault="007A766C">
            <w:pPr>
              <w:widowControl/>
              <w:spacing w:line="500" w:lineRule="exact"/>
              <w:jc w:val="center"/>
              <w:rPr>
                <w:rFonts w:ascii="仿宋_GB2312" w:eastAsia="黑体" w:hAnsi="宋体" w:cs="宋体"/>
                <w:kern w:val="0"/>
              </w:rPr>
            </w:pPr>
            <w:r>
              <w:rPr>
                <w:rFonts w:ascii="仿宋_GB2312" w:eastAsia="黑体" w:hAnsi="宋体" w:cs="宋体" w:hint="eastAsia"/>
                <w:kern w:val="0"/>
              </w:rPr>
              <w:t>15</w:t>
            </w:r>
          </w:p>
        </w:tc>
        <w:tc>
          <w:tcPr>
            <w:tcW w:w="1080" w:type="dxa"/>
            <w:tcBorders>
              <w:top w:val="nil"/>
              <w:left w:val="nil"/>
              <w:bottom w:val="single" w:sz="4" w:space="0" w:color="auto"/>
              <w:right w:val="single" w:sz="4" w:space="0" w:color="auto"/>
            </w:tcBorders>
            <w:noWrap/>
            <w:vAlign w:val="center"/>
          </w:tcPr>
          <w:p w:rsidR="007A766C" w:rsidRDefault="007A766C">
            <w:pPr>
              <w:widowControl/>
              <w:spacing w:line="500" w:lineRule="exact"/>
              <w:jc w:val="center"/>
              <w:rPr>
                <w:rFonts w:ascii="仿宋_GB2312" w:eastAsia="黑体" w:hAnsi="宋体" w:cs="宋体"/>
                <w:kern w:val="0"/>
              </w:rPr>
            </w:pPr>
            <w:r>
              <w:rPr>
                <w:rFonts w:ascii="仿宋_GB2312" w:eastAsia="黑体" w:hAnsi="宋体" w:cs="宋体" w:hint="eastAsia"/>
                <w:kern w:val="0"/>
              </w:rPr>
              <w:t>20</w:t>
            </w:r>
          </w:p>
        </w:tc>
        <w:tc>
          <w:tcPr>
            <w:tcW w:w="1080" w:type="dxa"/>
            <w:tcBorders>
              <w:top w:val="nil"/>
              <w:left w:val="nil"/>
              <w:bottom w:val="single" w:sz="4" w:space="0" w:color="auto"/>
              <w:right w:val="single" w:sz="4" w:space="0" w:color="auto"/>
            </w:tcBorders>
            <w:noWrap/>
            <w:vAlign w:val="center"/>
          </w:tcPr>
          <w:p w:rsidR="007A766C" w:rsidRDefault="007A766C">
            <w:pPr>
              <w:widowControl/>
              <w:spacing w:line="500" w:lineRule="exact"/>
              <w:jc w:val="center"/>
              <w:rPr>
                <w:rFonts w:ascii="仿宋_GB2312" w:eastAsia="黑体" w:hAnsi="宋体" w:cs="宋体"/>
                <w:kern w:val="0"/>
              </w:rPr>
            </w:pPr>
            <w:r>
              <w:rPr>
                <w:rFonts w:ascii="仿宋_GB2312" w:eastAsia="黑体" w:hAnsi="宋体" w:cs="宋体" w:hint="eastAsia"/>
                <w:kern w:val="0"/>
              </w:rPr>
              <w:t>18</w:t>
            </w:r>
          </w:p>
        </w:tc>
        <w:tc>
          <w:tcPr>
            <w:tcW w:w="1080" w:type="dxa"/>
            <w:tcBorders>
              <w:top w:val="nil"/>
              <w:left w:val="nil"/>
              <w:bottom w:val="single" w:sz="4" w:space="0" w:color="auto"/>
              <w:right w:val="single" w:sz="4" w:space="0" w:color="auto"/>
            </w:tcBorders>
            <w:noWrap/>
            <w:vAlign w:val="center"/>
          </w:tcPr>
          <w:p w:rsidR="007A766C" w:rsidRDefault="007A766C">
            <w:pPr>
              <w:widowControl/>
              <w:spacing w:line="500" w:lineRule="exact"/>
              <w:jc w:val="center"/>
              <w:rPr>
                <w:rFonts w:ascii="仿宋_GB2312" w:eastAsia="黑体" w:hAnsi="宋体" w:cs="宋体"/>
                <w:kern w:val="0"/>
              </w:rPr>
            </w:pPr>
            <w:r>
              <w:rPr>
                <w:rFonts w:ascii="仿宋_GB2312" w:eastAsia="黑体" w:hAnsi="宋体" w:cs="宋体" w:hint="eastAsia"/>
                <w:kern w:val="0"/>
              </w:rPr>
              <w:t>25</w:t>
            </w:r>
          </w:p>
        </w:tc>
        <w:tc>
          <w:tcPr>
            <w:tcW w:w="1080" w:type="dxa"/>
            <w:tcBorders>
              <w:top w:val="nil"/>
              <w:left w:val="nil"/>
              <w:bottom w:val="single" w:sz="4" w:space="0" w:color="auto"/>
              <w:right w:val="single" w:sz="4" w:space="0" w:color="auto"/>
            </w:tcBorders>
            <w:noWrap/>
            <w:vAlign w:val="center"/>
          </w:tcPr>
          <w:p w:rsidR="007A766C" w:rsidRDefault="007A766C">
            <w:pPr>
              <w:widowControl/>
              <w:spacing w:line="500" w:lineRule="exact"/>
              <w:jc w:val="center"/>
              <w:rPr>
                <w:rFonts w:ascii="仿宋_GB2312" w:eastAsia="黑体" w:hAnsi="宋体" w:cs="宋体"/>
                <w:kern w:val="0"/>
              </w:rPr>
            </w:pPr>
            <w:r>
              <w:rPr>
                <w:rFonts w:ascii="仿宋_GB2312" w:eastAsia="黑体" w:hAnsi="宋体" w:cs="宋体" w:hint="eastAsia"/>
                <w:kern w:val="0"/>
              </w:rPr>
              <w:t>10</w:t>
            </w:r>
          </w:p>
        </w:tc>
        <w:tc>
          <w:tcPr>
            <w:tcW w:w="1080" w:type="dxa"/>
            <w:tcBorders>
              <w:top w:val="nil"/>
              <w:left w:val="nil"/>
              <w:bottom w:val="single" w:sz="4" w:space="0" w:color="auto"/>
              <w:right w:val="single" w:sz="4" w:space="0" w:color="auto"/>
            </w:tcBorders>
            <w:noWrap/>
            <w:vAlign w:val="center"/>
          </w:tcPr>
          <w:p w:rsidR="007A766C" w:rsidRDefault="007A766C">
            <w:pPr>
              <w:widowControl/>
              <w:spacing w:line="500" w:lineRule="exact"/>
              <w:jc w:val="center"/>
              <w:rPr>
                <w:rFonts w:ascii="仿宋_GB2312" w:eastAsia="黑体" w:hAnsi="宋体" w:cs="宋体"/>
                <w:kern w:val="0"/>
              </w:rPr>
            </w:pPr>
            <w:r>
              <w:rPr>
                <w:rFonts w:ascii="仿宋_GB2312" w:eastAsia="黑体" w:hAnsi="宋体" w:cs="宋体" w:hint="eastAsia"/>
                <w:kern w:val="0"/>
              </w:rPr>
              <w:t>15</w:t>
            </w:r>
          </w:p>
        </w:tc>
        <w:tc>
          <w:tcPr>
            <w:tcW w:w="1080" w:type="dxa"/>
            <w:tcBorders>
              <w:top w:val="nil"/>
              <w:left w:val="nil"/>
              <w:bottom w:val="single" w:sz="4" w:space="0" w:color="auto"/>
              <w:right w:val="single" w:sz="4" w:space="0" w:color="auto"/>
            </w:tcBorders>
            <w:noWrap/>
            <w:vAlign w:val="center"/>
          </w:tcPr>
          <w:p w:rsidR="007A766C" w:rsidRDefault="007A766C">
            <w:pPr>
              <w:widowControl/>
              <w:spacing w:line="500" w:lineRule="exact"/>
              <w:jc w:val="center"/>
              <w:rPr>
                <w:rFonts w:ascii="仿宋_GB2312" w:eastAsia="黑体" w:hAnsi="宋体" w:cs="宋体"/>
                <w:kern w:val="0"/>
              </w:rPr>
            </w:pPr>
            <w:r>
              <w:rPr>
                <w:rFonts w:ascii="仿宋_GB2312" w:eastAsia="黑体" w:hAnsi="宋体" w:cs="宋体" w:hint="eastAsia"/>
                <w:kern w:val="0"/>
              </w:rPr>
              <w:t>15</w:t>
            </w:r>
          </w:p>
        </w:tc>
        <w:tc>
          <w:tcPr>
            <w:tcW w:w="1222" w:type="dxa"/>
            <w:tcBorders>
              <w:top w:val="nil"/>
              <w:left w:val="nil"/>
              <w:bottom w:val="single" w:sz="4" w:space="0" w:color="auto"/>
              <w:right w:val="single" w:sz="4" w:space="0" w:color="auto"/>
            </w:tcBorders>
            <w:noWrap/>
            <w:vAlign w:val="center"/>
          </w:tcPr>
          <w:p w:rsidR="007A766C" w:rsidRDefault="007A766C">
            <w:pPr>
              <w:widowControl/>
              <w:spacing w:line="500" w:lineRule="exact"/>
              <w:jc w:val="center"/>
              <w:rPr>
                <w:rFonts w:ascii="仿宋_GB2312" w:eastAsia="黑体" w:hAnsi="宋体" w:cs="宋体"/>
                <w:kern w:val="0"/>
              </w:rPr>
            </w:pPr>
            <w:r>
              <w:rPr>
                <w:rFonts w:ascii="仿宋_GB2312" w:eastAsia="黑体" w:hAnsi="宋体" w:cs="宋体" w:hint="eastAsia"/>
                <w:kern w:val="0"/>
              </w:rPr>
              <w:t>20</w:t>
            </w:r>
          </w:p>
        </w:tc>
      </w:tr>
      <w:tr w:rsidR="007A766C">
        <w:trPr>
          <w:trHeight w:val="510"/>
        </w:trPr>
        <w:tc>
          <w:tcPr>
            <w:tcW w:w="10942" w:type="dxa"/>
            <w:gridSpan w:val="9"/>
            <w:tcBorders>
              <w:top w:val="nil"/>
              <w:left w:val="nil"/>
              <w:bottom w:val="nil"/>
              <w:right w:val="nil"/>
            </w:tcBorders>
            <w:noWrap/>
            <w:vAlign w:val="center"/>
          </w:tcPr>
          <w:p w:rsidR="007A766C" w:rsidRDefault="007A766C">
            <w:pPr>
              <w:pStyle w:val="af"/>
              <w:widowControl w:val="0"/>
              <w:numPr>
                <w:ilvl w:val="0"/>
                <w:numId w:val="0"/>
              </w:numPr>
              <w:spacing w:beforeLines="0" w:before="0" w:afterLines="0" w:after="0" w:line="500" w:lineRule="exact"/>
              <w:outlineLvl w:val="9"/>
              <w:rPr>
                <w:rFonts w:ascii="Times New Roman"/>
                <w:szCs w:val="24"/>
              </w:rPr>
            </w:pPr>
            <w:r>
              <w:rPr>
                <w:rFonts w:ascii="Times New Roman" w:hint="eastAsia"/>
                <w:szCs w:val="24"/>
              </w:rPr>
              <w:t>华南高温高湿储粮区：广东、广西、福建漳州以南地区，云南蒙自县以南地区</w:t>
            </w:r>
          </w:p>
        </w:tc>
      </w:tr>
      <w:tr w:rsidR="007A766C">
        <w:trPr>
          <w:trHeight w:val="795"/>
        </w:trPr>
        <w:tc>
          <w:tcPr>
            <w:tcW w:w="10942" w:type="dxa"/>
            <w:gridSpan w:val="9"/>
            <w:tcBorders>
              <w:top w:val="nil"/>
              <w:left w:val="nil"/>
              <w:bottom w:val="nil"/>
              <w:right w:val="nil"/>
            </w:tcBorders>
            <w:vAlign w:val="center"/>
          </w:tcPr>
          <w:p w:rsidR="007A766C" w:rsidRDefault="007A766C">
            <w:pPr>
              <w:spacing w:line="500" w:lineRule="exact"/>
              <w:rPr>
                <w:rFonts w:eastAsia="黑体"/>
                <w:kern w:val="0"/>
              </w:rPr>
            </w:pPr>
            <w:r>
              <w:rPr>
                <w:rFonts w:eastAsia="黑体" w:hint="eastAsia"/>
                <w:kern w:val="0"/>
              </w:rPr>
              <w:t>华中华东热湿储粮区：福建（漳州以北地区）、浙江、江西、湖南、重庆、上海、江苏、安徽、湖北、贵州省（遵义、铜仁、黔东南地区）、四川省（西昌以北地区）</w:t>
            </w:r>
          </w:p>
        </w:tc>
      </w:tr>
      <w:tr w:rsidR="007A766C">
        <w:trPr>
          <w:trHeight w:val="600"/>
        </w:trPr>
        <w:tc>
          <w:tcPr>
            <w:tcW w:w="10942" w:type="dxa"/>
            <w:gridSpan w:val="9"/>
            <w:tcBorders>
              <w:top w:val="nil"/>
              <w:left w:val="nil"/>
              <w:bottom w:val="nil"/>
              <w:right w:val="nil"/>
            </w:tcBorders>
            <w:noWrap/>
            <w:vAlign w:val="center"/>
          </w:tcPr>
          <w:p w:rsidR="007A766C" w:rsidRDefault="007A766C">
            <w:pPr>
              <w:spacing w:line="500" w:lineRule="exact"/>
              <w:rPr>
                <w:rFonts w:eastAsia="黑体"/>
                <w:kern w:val="0"/>
              </w:rPr>
            </w:pPr>
            <w:r>
              <w:rPr>
                <w:rFonts w:eastAsia="黑体" w:hint="eastAsia"/>
                <w:kern w:val="0"/>
              </w:rPr>
              <w:t>云贵中温低湿储粮区：云南蒙自县以北地区、贵州（除遵义、铜仁、黔东南地区外）、四川西昌以南地区</w:t>
            </w:r>
          </w:p>
        </w:tc>
      </w:tr>
    </w:tbl>
    <w:p w:rsidR="007A766C" w:rsidRDefault="007A766C">
      <w:pPr>
        <w:pStyle w:val="af"/>
        <w:widowControl w:val="0"/>
        <w:numPr>
          <w:ilvl w:val="0"/>
          <w:numId w:val="0"/>
        </w:numPr>
        <w:spacing w:beforeLines="0" w:before="0" w:afterLines="0" w:after="0" w:line="500" w:lineRule="exact"/>
        <w:outlineLvl w:val="9"/>
        <w:rPr>
          <w:rFonts w:ascii="Times New Roman" w:hint="eastAsia"/>
          <w:kern w:val="2"/>
          <w:szCs w:val="28"/>
        </w:rPr>
      </w:pPr>
    </w:p>
    <w:p w:rsidR="007A766C" w:rsidRDefault="007A766C">
      <w:pPr>
        <w:spacing w:line="500" w:lineRule="exact"/>
        <w:rPr>
          <w:rFonts w:eastAsia="黑体" w:hint="eastAsia"/>
          <w:szCs w:val="28"/>
        </w:rPr>
      </w:pPr>
    </w:p>
    <w:p w:rsidR="007A766C" w:rsidRDefault="007A766C">
      <w:pPr>
        <w:spacing w:line="500" w:lineRule="exact"/>
        <w:rPr>
          <w:rFonts w:eastAsia="黑体" w:hint="eastAsia"/>
          <w:szCs w:val="28"/>
        </w:rPr>
      </w:pPr>
    </w:p>
    <w:p w:rsidR="007A766C" w:rsidRDefault="007A766C">
      <w:pPr>
        <w:spacing w:line="500" w:lineRule="exact"/>
        <w:rPr>
          <w:rFonts w:eastAsia="黑体" w:hint="eastAsia"/>
          <w:szCs w:val="28"/>
        </w:rPr>
      </w:pPr>
    </w:p>
    <w:p w:rsidR="007A766C" w:rsidRDefault="007A766C">
      <w:pPr>
        <w:spacing w:line="500" w:lineRule="exact"/>
        <w:rPr>
          <w:rFonts w:eastAsia="黑体" w:hint="eastAsia"/>
          <w:szCs w:val="28"/>
        </w:rPr>
      </w:pPr>
    </w:p>
    <w:p w:rsidR="007A766C" w:rsidRDefault="007A766C">
      <w:pPr>
        <w:spacing w:line="500" w:lineRule="exact"/>
        <w:rPr>
          <w:rFonts w:eastAsia="黑体" w:hint="eastAsia"/>
          <w:szCs w:val="28"/>
        </w:rPr>
      </w:pPr>
    </w:p>
    <w:p w:rsidR="007A766C" w:rsidRDefault="007A766C">
      <w:pPr>
        <w:spacing w:line="500" w:lineRule="exact"/>
        <w:rPr>
          <w:rFonts w:eastAsia="黑体" w:hint="eastAsia"/>
          <w:szCs w:val="28"/>
        </w:rPr>
      </w:pPr>
    </w:p>
    <w:p w:rsidR="007A766C" w:rsidRDefault="007A766C">
      <w:pPr>
        <w:spacing w:line="500" w:lineRule="exact"/>
        <w:rPr>
          <w:rFonts w:eastAsia="黑体" w:hint="eastAsia"/>
          <w:szCs w:val="28"/>
        </w:rPr>
      </w:pPr>
    </w:p>
    <w:p w:rsidR="007A766C" w:rsidRDefault="007A766C">
      <w:pPr>
        <w:spacing w:line="500" w:lineRule="exact"/>
        <w:rPr>
          <w:rFonts w:eastAsia="黑体" w:hint="eastAsia"/>
          <w:szCs w:val="28"/>
        </w:rPr>
      </w:pPr>
      <w:r>
        <w:rPr>
          <w:rFonts w:eastAsia="黑体" w:hint="eastAsia"/>
          <w:szCs w:val="28"/>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49.65pt;height:189.5pt">
            <v:imagedata r:id="rId13" o:title=""/>
          </v:shape>
        </w:pict>
      </w:r>
    </w:p>
    <w:p w:rsidR="007A766C" w:rsidRDefault="007A766C">
      <w:pPr>
        <w:spacing w:line="500" w:lineRule="exact"/>
        <w:rPr>
          <w:rFonts w:eastAsia="黑体" w:hint="eastAsia"/>
          <w:szCs w:val="28"/>
        </w:rPr>
      </w:pPr>
    </w:p>
    <w:p w:rsidR="007A766C" w:rsidRDefault="007A766C">
      <w:pPr>
        <w:spacing w:line="500" w:lineRule="exact"/>
        <w:jc w:val="center"/>
        <w:rPr>
          <w:rFonts w:eastAsia="黑体" w:hint="eastAsia"/>
          <w:szCs w:val="28"/>
        </w:rPr>
      </w:pPr>
      <w:r>
        <w:rPr>
          <w:rFonts w:eastAsia="黑体" w:hint="eastAsia"/>
          <w:szCs w:val="28"/>
        </w:rPr>
        <w:pict>
          <v:shape id="_x0000_i1026" type="#_x0000_t75" style="width:252pt;height:47.55pt">
            <v:imagedata r:id="rId14" o:title=""/>
          </v:shape>
        </w:pict>
      </w:r>
    </w:p>
    <w:p w:rsidR="007A766C" w:rsidRDefault="007A766C">
      <w:pPr>
        <w:spacing w:line="500" w:lineRule="exact"/>
        <w:rPr>
          <w:rFonts w:eastAsia="黑体" w:hint="eastAsia"/>
        </w:rPr>
      </w:pPr>
    </w:p>
    <w:p w:rsidR="007A766C" w:rsidRDefault="007A766C">
      <w:pPr>
        <w:pStyle w:val="aff5"/>
        <w:spacing w:line="500" w:lineRule="exact"/>
        <w:ind w:firstLine="420"/>
        <w:rPr>
          <w:rFonts w:eastAsia="黑体" w:hint="eastAsia"/>
        </w:rPr>
      </w:pPr>
    </w:p>
    <w:bookmarkEnd w:id="2"/>
    <w:p w:rsidR="007A766C" w:rsidRDefault="007A766C">
      <w:pPr>
        <w:pStyle w:val="aff5"/>
        <w:spacing w:line="500" w:lineRule="exact"/>
        <w:ind w:firstLine="420"/>
        <w:rPr>
          <w:rFonts w:eastAsia="黑体" w:hint="eastAsia"/>
        </w:rPr>
      </w:pPr>
    </w:p>
    <w:sectPr w:rsidR="007A766C">
      <w:headerReference w:type="default" r:id="rId15"/>
      <w:footerReference w:type="default" r:id="rId16"/>
      <w:pgSz w:w="11907" w:h="16839"/>
      <w:pgMar w:top="1418" w:right="1134" w:bottom="1134" w:left="1418" w:header="1418" w:footer="851"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BE0CDA" w:rsidRDefault="00BE0CDA">
      <w:r>
        <w:separator/>
      </w:r>
    </w:p>
  </w:endnote>
  <w:endnote w:type="continuationSeparator" w:id="0">
    <w:p w:rsidR="00BE0CDA" w:rsidRDefault="00BE0C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仿宋_GB2312">
    <w:altName w:val="微软雅黑"/>
    <w:charset w:val="86"/>
    <w:family w:val="modern"/>
    <w:pitch w:val="default"/>
    <w:sig w:usb0="00000001" w:usb1="080E0000" w:usb2="00000000" w:usb3="00000000" w:csb0="0004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A766C" w:rsidRDefault="007A766C">
    <w:pPr>
      <w:pStyle w:val="afffd"/>
      <w:framePr w:wrap="around" w:vAnchor="text" w:hAnchor="margin" w:xAlign="right" w:y="1"/>
      <w:rPr>
        <w:rStyle w:val="afffe"/>
      </w:rPr>
    </w:pPr>
    <w:r>
      <w:rPr>
        <w:rStyle w:val="afffe"/>
      </w:rPr>
      <w:fldChar w:fldCharType="begin"/>
    </w:r>
    <w:r>
      <w:rPr>
        <w:rStyle w:val="afffe"/>
      </w:rPr>
      <w:instrText xml:space="preserve">PAGE  </w:instrText>
    </w:r>
    <w:r>
      <w:rPr>
        <w:rStyle w:val="afffe"/>
      </w:rPr>
      <w:fldChar w:fldCharType="separate"/>
    </w:r>
    <w:r>
      <w:rPr>
        <w:rStyle w:val="afffe"/>
        <w:noProof/>
      </w:rPr>
      <w:t>2</w:t>
    </w:r>
    <w:r>
      <w:rPr>
        <w:rStyle w:val="afffe"/>
      </w:rPr>
      <w:fldChar w:fldCharType="end"/>
    </w:r>
  </w:p>
  <w:p w:rsidR="007A766C" w:rsidRDefault="007A766C">
    <w:pPr>
      <w:pStyle w:val="afffd"/>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A766C" w:rsidRDefault="007A766C">
    <w:pPr>
      <w:pStyle w:val="aff"/>
      <w:rPr>
        <w:rStyle w:val="afffe"/>
      </w:rPr>
    </w:pPr>
    <w:r>
      <w:rPr>
        <w:rStyle w:val="afffe"/>
      </w:rPr>
      <w:fldChar w:fldCharType="begin"/>
    </w:r>
    <w:r>
      <w:rPr>
        <w:rStyle w:val="afffe"/>
      </w:rPr>
      <w:instrText xml:space="preserve">PAGE  </w:instrText>
    </w:r>
    <w:r>
      <w:rPr>
        <w:rStyle w:val="afffe"/>
      </w:rPr>
      <w:fldChar w:fldCharType="separate"/>
    </w:r>
    <w:r>
      <w:rPr>
        <w:rStyle w:val="afffe"/>
        <w:noProof/>
      </w:rPr>
      <w:t>1</w:t>
    </w:r>
    <w:r>
      <w:rPr>
        <w:rStyle w:val="afffe"/>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563CC" w:rsidRDefault="006563CC">
    <w:pPr>
      <w:pStyle w:val="afffd"/>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A766C" w:rsidRDefault="007A766C">
    <w:pPr>
      <w:pStyle w:val="aff"/>
      <w:rPr>
        <w:rStyle w:val="afffe"/>
      </w:rPr>
    </w:pPr>
    <w:r>
      <w:rPr>
        <w:rStyle w:val="afffe"/>
      </w:rPr>
      <w:fldChar w:fldCharType="begin"/>
    </w:r>
    <w:r>
      <w:rPr>
        <w:rStyle w:val="afffe"/>
      </w:rPr>
      <w:instrText xml:space="preserve">PAGE  </w:instrText>
    </w:r>
    <w:r>
      <w:rPr>
        <w:rStyle w:val="afffe"/>
      </w:rPr>
      <w:fldChar w:fldCharType="separate"/>
    </w:r>
    <w:r w:rsidR="006563CC">
      <w:rPr>
        <w:rStyle w:val="afffe"/>
        <w:noProof/>
      </w:rPr>
      <w:t>10</w:t>
    </w:r>
    <w:r>
      <w:rPr>
        <w:rStyle w:val="afffe"/>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BE0CDA" w:rsidRDefault="00BE0CDA">
      <w:r>
        <w:separator/>
      </w:r>
    </w:p>
  </w:footnote>
  <w:footnote w:type="continuationSeparator" w:id="0">
    <w:p w:rsidR="00BE0CDA" w:rsidRDefault="00BE0CD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563CC" w:rsidRDefault="006563CC">
    <w:pPr>
      <w:pStyle w:val="affff"/>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A766C" w:rsidRDefault="007A766C">
    <w:pPr>
      <w:pStyle w:val="aff0"/>
    </w:pPr>
    <w:r>
      <w:t>Q/ZCL T006—2008</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A766C" w:rsidRDefault="007A766C">
    <w:pPr>
      <w:pStyle w:val="aff2"/>
    </w:pPr>
    <w: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A766C" w:rsidRDefault="007A766C">
    <w:pPr>
      <w:pStyle w:val="aff0"/>
    </w:pPr>
    <w:r>
      <w:t>Q/ZCL T6—2008</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AE367E9"/>
    <w:multiLevelType w:val="hybridMultilevel"/>
    <w:tmpl w:val="B9E64DD8"/>
    <w:lvl w:ilvl="0" w:tplc="62CC9F74">
      <w:start w:val="1"/>
      <w:numFmt w:val="none"/>
      <w:pStyle w:val="a"/>
      <w:lvlText w:val="%1示例"/>
      <w:lvlJc w:val="left"/>
      <w:pPr>
        <w:tabs>
          <w:tab w:val="num" w:pos="1120"/>
        </w:tabs>
        <w:ind w:left="0" w:firstLine="400"/>
      </w:pPr>
      <w:rPr>
        <w:rFonts w:ascii="宋体" w:eastAsia="宋体" w:hint="eastAsia"/>
        <w:b w:val="0"/>
        <w:i w:val="0"/>
        <w:sz w:val="18"/>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 w15:restartNumberingAfterBreak="0">
    <w:nsid w:val="46806F7D"/>
    <w:multiLevelType w:val="hybridMultilevel"/>
    <w:tmpl w:val="FE1AD4C8"/>
    <w:lvl w:ilvl="0" w:tplc="7640147C">
      <w:start w:val="1"/>
      <w:numFmt w:val="none"/>
      <w:pStyle w:val="a0"/>
      <w:lvlText w:val="图"/>
      <w:lvlJc w:val="left"/>
      <w:pPr>
        <w:tabs>
          <w:tab w:val="num" w:pos="360"/>
        </w:tabs>
        <w:ind w:left="0" w:firstLine="0"/>
      </w:pPr>
      <w:rPr>
        <w:rFonts w:ascii="黑体" w:eastAsia="黑体" w:hint="eastAsia"/>
        <w:b w:val="0"/>
        <w:i w:val="0"/>
        <w:sz w:val="21"/>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 w15:restartNumberingAfterBreak="0">
    <w:nsid w:val="46D22D8F"/>
    <w:multiLevelType w:val="hybridMultilevel"/>
    <w:tmpl w:val="8EDC0606"/>
    <w:lvl w:ilvl="0" w:tplc="15409222">
      <w:start w:val="1"/>
      <w:numFmt w:val="none"/>
      <w:pStyle w:val="a1"/>
      <w:lvlText w:val="%1◆　"/>
      <w:lvlJc w:val="left"/>
      <w:pPr>
        <w:tabs>
          <w:tab w:val="num" w:pos="960"/>
        </w:tabs>
        <w:ind w:left="917" w:hanging="317"/>
      </w:pPr>
      <w:rPr>
        <w:rFonts w:ascii="宋体" w:eastAsia="宋体" w:hAnsi="Times New Roman" w:hint="eastAsia"/>
        <w:b w:val="0"/>
        <w:i w:val="0"/>
        <w:position w:val="4"/>
        <w:sz w:val="11"/>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496E4D7B"/>
    <w:multiLevelType w:val="hybridMultilevel"/>
    <w:tmpl w:val="EF5899CE"/>
    <w:lvl w:ilvl="0" w:tplc="23C0052E">
      <w:start w:val="1"/>
      <w:numFmt w:val="none"/>
      <w:pStyle w:val="a2"/>
      <w:lvlText w:val="%1注"/>
      <w:lvlJc w:val="left"/>
      <w:pPr>
        <w:tabs>
          <w:tab w:val="num" w:pos="900"/>
        </w:tabs>
        <w:ind w:left="900" w:hanging="500"/>
      </w:pPr>
      <w:rPr>
        <w:rFonts w:ascii="宋体" w:eastAsia="宋体" w:hAnsi="Times New Roman" w:hint="eastAsia"/>
        <w:b w:val="0"/>
        <w:i w:val="0"/>
        <w:sz w:val="18"/>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 w15:restartNumberingAfterBreak="0">
    <w:nsid w:val="4F302902"/>
    <w:multiLevelType w:val="hybridMultilevel"/>
    <w:tmpl w:val="65D8A96C"/>
    <w:lvl w:ilvl="0" w:tplc="A4A00172">
      <w:start w:val="1"/>
      <w:numFmt w:val="none"/>
      <w:pStyle w:val="a3"/>
      <w:lvlText w:val="表"/>
      <w:lvlJc w:val="left"/>
      <w:pPr>
        <w:tabs>
          <w:tab w:val="num" w:pos="360"/>
        </w:tabs>
        <w:ind w:left="0" w:firstLine="0"/>
      </w:pPr>
      <w:rPr>
        <w:rFonts w:ascii="黑体" w:eastAsia="黑体" w:hint="eastAsia"/>
        <w:b w:val="0"/>
        <w:i w:val="0"/>
        <w:sz w:val="21"/>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5" w15:restartNumberingAfterBreak="0">
    <w:nsid w:val="557C2AF5"/>
    <w:multiLevelType w:val="multilevel"/>
    <w:tmpl w:val="C65E775C"/>
    <w:lvl w:ilvl="0">
      <w:start w:val="1"/>
      <w:numFmt w:val="decimal"/>
      <w:pStyle w:val="a4"/>
      <w:suff w:val="nothing"/>
      <w:lvlText w:val="图%1　"/>
      <w:lvlJc w:val="left"/>
      <w:pPr>
        <w:ind w:left="0" w:firstLine="0"/>
      </w:pPr>
      <w:rPr>
        <w:rFonts w:ascii="黑体" w:eastAsia="黑体" w:hAnsi="Times New Roman" w:hint="eastAsia"/>
        <w:b w:val="0"/>
        <w:i w:val="0"/>
        <w:sz w:val="21"/>
      </w:rPr>
    </w:lvl>
    <w:lvl w:ilvl="1">
      <w:start w:val="1"/>
      <w:numFmt w:val="decimal"/>
      <w:suff w:val="nothing"/>
      <w:lvlText w:val="%1%2　"/>
      <w:lvlJc w:val="left"/>
      <w:pPr>
        <w:ind w:left="0" w:firstLine="0"/>
      </w:pPr>
      <w:rPr>
        <w:rFonts w:ascii="Times New Roman" w:eastAsia="黑体" w:hAnsi="Times New Roman" w:hint="default"/>
        <w:b w:val="0"/>
        <w:i w:val="0"/>
        <w:sz w:val="21"/>
      </w:rPr>
    </w:lvl>
    <w:lvl w:ilvl="2">
      <w:start w:val="1"/>
      <w:numFmt w:val="decimal"/>
      <w:suff w:val="nothing"/>
      <w:lvlText w:val="%1%2.%3　"/>
      <w:lvlJc w:val="left"/>
      <w:pPr>
        <w:ind w:left="0" w:firstLine="0"/>
      </w:pPr>
      <w:rPr>
        <w:rFonts w:ascii="Times New Roman" w:eastAsia="黑体" w:hAnsi="Times New Roman" w:hint="default"/>
        <w:b w:val="0"/>
        <w:i w:val="0"/>
        <w:sz w:val="21"/>
      </w:rPr>
    </w:lvl>
    <w:lvl w:ilvl="3">
      <w:start w:val="1"/>
      <w:numFmt w:val="decimal"/>
      <w:suff w:val="nothing"/>
      <w:lvlText w:val="%1%2.%3.%4　"/>
      <w:lvlJc w:val="left"/>
      <w:pPr>
        <w:ind w:left="0" w:firstLine="0"/>
      </w:pPr>
      <w:rPr>
        <w:rFonts w:ascii="Times New Roman" w:eastAsia="黑体" w:hAnsi="Times New Roman" w:hint="default"/>
        <w:b w:val="0"/>
        <w:i w:val="0"/>
        <w:sz w:val="21"/>
      </w:rPr>
    </w:lvl>
    <w:lvl w:ilvl="4">
      <w:start w:val="1"/>
      <w:numFmt w:val="decimal"/>
      <w:suff w:val="nothing"/>
      <w:lvlText w:val="%1%2.%3.%4.%5　"/>
      <w:lvlJc w:val="left"/>
      <w:pPr>
        <w:ind w:left="0" w:firstLine="0"/>
      </w:pPr>
      <w:rPr>
        <w:rFonts w:ascii="Times New Roman" w:eastAsia="黑体" w:hAnsi="Times New Roman" w:hint="default"/>
        <w:b w:val="0"/>
        <w:i w:val="0"/>
        <w:sz w:val="21"/>
      </w:rPr>
    </w:lvl>
    <w:lvl w:ilvl="5">
      <w:start w:val="1"/>
      <w:numFmt w:val="decimal"/>
      <w:suff w:val="nothing"/>
      <w:lvlText w:val="%1%2.%3.%4.%5.%6　"/>
      <w:lvlJc w:val="left"/>
      <w:pPr>
        <w:ind w:left="0" w:firstLine="0"/>
      </w:pPr>
      <w:rPr>
        <w:rFonts w:ascii="Times New Roman" w:eastAsia="黑体" w:hAnsi="Times New Roman" w:hint="default"/>
        <w:b w:val="0"/>
        <w:i w:val="0"/>
        <w:sz w:val="21"/>
      </w:rPr>
    </w:lvl>
    <w:lvl w:ilvl="6">
      <w:start w:val="1"/>
      <w:numFmt w:val="decimal"/>
      <w:suff w:val="nothing"/>
      <w:lvlText w:val="%1%2.%3.%4.%5.%6.%7　"/>
      <w:lvlJc w:val="left"/>
      <w:pPr>
        <w:ind w:left="0" w:firstLine="0"/>
      </w:pPr>
      <w:rPr>
        <w:rFonts w:ascii="Times New Roman" w:eastAsia="黑体" w:hAnsi="Times New Roman" w:hint="default"/>
        <w:b w:val="0"/>
        <w:i w:val="0"/>
        <w:sz w:val="21"/>
      </w:rPr>
    </w:lvl>
    <w:lvl w:ilvl="7">
      <w:start w:val="1"/>
      <w:numFmt w:val="decimal"/>
      <w:lvlText w:val="%1.%2.%3.%4.%5.%6.%7.%8"/>
      <w:lvlJc w:val="left"/>
      <w:pPr>
        <w:tabs>
          <w:tab w:val="num" w:pos="4351"/>
        </w:tabs>
        <w:ind w:left="3969" w:hanging="1418"/>
      </w:pPr>
      <w:rPr>
        <w:rFonts w:hint="eastAsia"/>
      </w:rPr>
    </w:lvl>
    <w:lvl w:ilvl="8">
      <w:start w:val="1"/>
      <w:numFmt w:val="decimal"/>
      <w:lvlText w:val="%1.%2.%3.%4.%5.%6.%7.%8.%9"/>
      <w:lvlJc w:val="left"/>
      <w:pPr>
        <w:tabs>
          <w:tab w:val="num" w:pos="4777"/>
        </w:tabs>
        <w:ind w:left="4677" w:hanging="1700"/>
      </w:pPr>
      <w:rPr>
        <w:rFonts w:hint="eastAsia"/>
      </w:rPr>
    </w:lvl>
  </w:abstractNum>
  <w:abstractNum w:abstractNumId="6" w15:restartNumberingAfterBreak="0">
    <w:nsid w:val="6350366A"/>
    <w:multiLevelType w:val="hybridMultilevel"/>
    <w:tmpl w:val="E73210EE"/>
    <w:lvl w:ilvl="0" w:tplc="7D92E628">
      <w:start w:val="1"/>
      <w:numFmt w:val="none"/>
      <w:pStyle w:val="a5"/>
      <w:lvlText w:val="%1●　"/>
      <w:lvlJc w:val="left"/>
      <w:pPr>
        <w:tabs>
          <w:tab w:val="num" w:pos="760"/>
        </w:tabs>
        <w:ind w:left="717" w:hanging="317"/>
      </w:pPr>
      <w:rPr>
        <w:rFonts w:ascii="宋体" w:eastAsia="宋体" w:hAnsi="Times New Roman" w:hint="eastAsia"/>
        <w:b w:val="0"/>
        <w:i w:val="0"/>
        <w:position w:val="4"/>
        <w:sz w:val="13"/>
      </w:rPr>
    </w:lvl>
    <w:lvl w:ilvl="1" w:tplc="42006E5E">
      <w:start w:val="1"/>
      <w:numFmt w:val="lowerLetter"/>
      <w:lvlText w:val="%2)"/>
      <w:lvlJc w:val="left"/>
      <w:pPr>
        <w:tabs>
          <w:tab w:val="num" w:pos="780"/>
        </w:tabs>
        <w:ind w:left="780" w:hanging="360"/>
      </w:pPr>
      <w:rPr>
        <w:rFonts w:hint="eastAsia"/>
      </w:rPr>
    </w:lvl>
    <w:lvl w:ilvl="2" w:tplc="5E96FABA">
      <w:start w:val="1"/>
      <w:numFmt w:val="decimal"/>
      <w:lvlText w:val="%3)"/>
      <w:lvlJc w:val="left"/>
      <w:pPr>
        <w:tabs>
          <w:tab w:val="num" w:pos="1200"/>
        </w:tabs>
        <w:ind w:left="1200" w:hanging="360"/>
      </w:pPr>
      <w:rPr>
        <w:rFonts w:hint="eastAsia"/>
      </w:r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7" w15:restartNumberingAfterBreak="0">
    <w:nsid w:val="646260FA"/>
    <w:multiLevelType w:val="multilevel"/>
    <w:tmpl w:val="FEE8B784"/>
    <w:lvl w:ilvl="0">
      <w:start w:val="1"/>
      <w:numFmt w:val="decimal"/>
      <w:pStyle w:val="a6"/>
      <w:suff w:val="nothing"/>
      <w:lvlText w:val="表%1　"/>
      <w:lvlJc w:val="left"/>
      <w:pPr>
        <w:ind w:left="0" w:firstLine="0"/>
      </w:pPr>
      <w:rPr>
        <w:rFonts w:ascii="黑体" w:eastAsia="黑体" w:hAnsi="Times New Roman" w:hint="eastAsia"/>
        <w:b w:val="0"/>
        <w:i w:val="0"/>
        <w:sz w:val="21"/>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8" w15:restartNumberingAfterBreak="0">
    <w:nsid w:val="657D3FBC"/>
    <w:multiLevelType w:val="multilevel"/>
    <w:tmpl w:val="105AC634"/>
    <w:lvl w:ilvl="0">
      <w:start w:val="1"/>
      <w:numFmt w:val="upperLetter"/>
      <w:pStyle w:val="a7"/>
      <w:suff w:val="nothing"/>
      <w:lvlText w:val="附　录　%1"/>
      <w:lvlJc w:val="left"/>
      <w:pPr>
        <w:ind w:left="0" w:firstLine="0"/>
      </w:pPr>
      <w:rPr>
        <w:rFonts w:ascii="黑体" w:eastAsia="黑体" w:hAnsi="Times New Roman" w:hint="eastAsia"/>
        <w:b w:val="0"/>
        <w:i w:val="0"/>
        <w:sz w:val="21"/>
      </w:rPr>
    </w:lvl>
    <w:lvl w:ilvl="1">
      <w:start w:val="1"/>
      <w:numFmt w:val="decimal"/>
      <w:pStyle w:val="a8"/>
      <w:suff w:val="nothing"/>
      <w:lvlText w:val="%1.%2　"/>
      <w:lvlJc w:val="left"/>
      <w:pPr>
        <w:ind w:left="0" w:firstLine="0"/>
      </w:pPr>
      <w:rPr>
        <w:rFonts w:ascii="黑体" w:eastAsia="黑体" w:hAnsi="Times New Roman" w:hint="eastAsia"/>
        <w:b w:val="0"/>
        <w:i w:val="0"/>
        <w:snapToGrid/>
        <w:spacing w:val="0"/>
        <w:w w:val="100"/>
        <w:kern w:val="21"/>
        <w:sz w:val="21"/>
      </w:rPr>
    </w:lvl>
    <w:lvl w:ilvl="2">
      <w:start w:val="1"/>
      <w:numFmt w:val="decimal"/>
      <w:pStyle w:val="a9"/>
      <w:suff w:val="nothing"/>
      <w:lvlText w:val="%1.%2.%3　"/>
      <w:lvlJc w:val="left"/>
      <w:pPr>
        <w:ind w:left="0" w:firstLine="0"/>
      </w:pPr>
      <w:rPr>
        <w:rFonts w:ascii="黑体" w:eastAsia="黑体" w:hAnsi="Times New Roman" w:hint="eastAsia"/>
        <w:b w:val="0"/>
        <w:i w:val="0"/>
        <w:sz w:val="21"/>
      </w:rPr>
    </w:lvl>
    <w:lvl w:ilvl="3">
      <w:start w:val="1"/>
      <w:numFmt w:val="decimal"/>
      <w:pStyle w:val="aa"/>
      <w:suff w:val="nothing"/>
      <w:lvlText w:val="%1.%2.%3.%4　"/>
      <w:lvlJc w:val="left"/>
      <w:pPr>
        <w:ind w:left="0" w:firstLine="0"/>
      </w:pPr>
      <w:rPr>
        <w:rFonts w:ascii="黑体" w:eastAsia="黑体" w:hAnsi="Times New Roman" w:hint="eastAsia"/>
        <w:b w:val="0"/>
        <w:i w:val="0"/>
        <w:sz w:val="21"/>
      </w:rPr>
    </w:lvl>
    <w:lvl w:ilvl="4">
      <w:start w:val="1"/>
      <w:numFmt w:val="decimal"/>
      <w:pStyle w:val="ab"/>
      <w:suff w:val="nothing"/>
      <w:lvlText w:val="%1.%2.%3.%4.%5　"/>
      <w:lvlJc w:val="left"/>
      <w:pPr>
        <w:ind w:left="0" w:firstLine="0"/>
      </w:pPr>
      <w:rPr>
        <w:rFonts w:ascii="黑体" w:eastAsia="黑体" w:hAnsi="Times New Roman" w:hint="eastAsia"/>
        <w:b w:val="0"/>
        <w:i w:val="0"/>
        <w:sz w:val="21"/>
      </w:rPr>
    </w:lvl>
    <w:lvl w:ilvl="5">
      <w:start w:val="1"/>
      <w:numFmt w:val="decimal"/>
      <w:pStyle w:val="ac"/>
      <w:suff w:val="nothing"/>
      <w:lvlText w:val="%1.%2.%3.%4.%5.%6　"/>
      <w:lvlJc w:val="left"/>
      <w:pPr>
        <w:ind w:left="0" w:firstLine="0"/>
      </w:pPr>
      <w:rPr>
        <w:rFonts w:ascii="黑体" w:eastAsia="黑体" w:hAnsi="Times New Roman" w:hint="eastAsia"/>
        <w:b w:val="0"/>
        <w:i w:val="0"/>
        <w:sz w:val="21"/>
      </w:rPr>
    </w:lvl>
    <w:lvl w:ilvl="6">
      <w:start w:val="1"/>
      <w:numFmt w:val="decimal"/>
      <w:pStyle w:val="ad"/>
      <w:suff w:val="nothing"/>
      <w:lvlText w:val="%1.%2.%3.%4.%5.%6.%7　"/>
      <w:lvlJc w:val="left"/>
      <w:pPr>
        <w:ind w:left="0" w:firstLine="0"/>
      </w:pPr>
      <w:rPr>
        <w:rFonts w:ascii="黑体" w:eastAsia="黑体" w:hAnsi="Times New Roman" w:hint="eastAsia"/>
        <w:b w:val="0"/>
        <w:i w:val="0"/>
        <w:sz w:val="21"/>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9" w15:restartNumberingAfterBreak="0">
    <w:nsid w:val="6CEA2025"/>
    <w:multiLevelType w:val="multilevel"/>
    <w:tmpl w:val="62083C6E"/>
    <w:lvl w:ilvl="0">
      <w:start w:val="1"/>
      <w:numFmt w:val="none"/>
      <w:pStyle w:val="ae"/>
      <w:suff w:val="nothing"/>
      <w:lvlText w:val="%1"/>
      <w:lvlJc w:val="left"/>
      <w:pPr>
        <w:ind w:left="0" w:firstLine="0"/>
      </w:pPr>
      <w:rPr>
        <w:rFonts w:ascii="Times New Roman" w:hAnsi="Times New Roman" w:hint="default"/>
        <w:b/>
        <w:i w:val="0"/>
        <w:sz w:val="21"/>
      </w:rPr>
    </w:lvl>
    <w:lvl w:ilvl="1">
      <w:start w:val="1"/>
      <w:numFmt w:val="decimal"/>
      <w:pStyle w:val="af"/>
      <w:suff w:val="nothing"/>
      <w:lvlText w:val="%1%2　"/>
      <w:lvlJc w:val="left"/>
      <w:pPr>
        <w:ind w:left="0" w:firstLine="0"/>
      </w:pPr>
      <w:rPr>
        <w:rFonts w:ascii="黑体" w:eastAsia="黑体" w:hAnsi="Times New Roman" w:hint="eastAsia"/>
        <w:b w:val="0"/>
        <w:i w:val="0"/>
        <w:sz w:val="21"/>
      </w:rPr>
    </w:lvl>
    <w:lvl w:ilvl="2">
      <w:start w:val="1"/>
      <w:numFmt w:val="decimal"/>
      <w:pStyle w:val="af0"/>
      <w:suff w:val="nothing"/>
      <w:lvlText w:val="%1%2.%3　"/>
      <w:lvlJc w:val="left"/>
      <w:pPr>
        <w:ind w:left="0" w:firstLine="0"/>
      </w:pPr>
      <w:rPr>
        <w:rFonts w:ascii="黑体" w:eastAsia="黑体" w:hAnsi="Times New Roman" w:hint="eastAsia"/>
        <w:b w:val="0"/>
        <w:i w:val="0"/>
        <w:sz w:val="21"/>
      </w:rPr>
    </w:lvl>
    <w:lvl w:ilvl="3">
      <w:start w:val="1"/>
      <w:numFmt w:val="decimal"/>
      <w:pStyle w:val="af1"/>
      <w:suff w:val="nothing"/>
      <w:lvlText w:val="%1%2.%3.%4　"/>
      <w:lvlJc w:val="left"/>
      <w:pPr>
        <w:ind w:left="0" w:firstLine="0"/>
      </w:pPr>
      <w:rPr>
        <w:rFonts w:ascii="黑体" w:eastAsia="黑体" w:hAnsi="Times New Roman" w:hint="eastAsia"/>
        <w:b w:val="0"/>
        <w:i w:val="0"/>
        <w:sz w:val="21"/>
      </w:rPr>
    </w:lvl>
    <w:lvl w:ilvl="4">
      <w:start w:val="1"/>
      <w:numFmt w:val="decimal"/>
      <w:pStyle w:val="af2"/>
      <w:suff w:val="nothing"/>
      <w:lvlText w:val="%1%2.%3.%4.%5　"/>
      <w:lvlJc w:val="left"/>
      <w:pPr>
        <w:ind w:left="0" w:firstLine="0"/>
      </w:pPr>
      <w:rPr>
        <w:rFonts w:ascii="黑体" w:eastAsia="黑体" w:hAnsi="Times New Roman" w:hint="eastAsia"/>
        <w:b w:val="0"/>
        <w:i w:val="0"/>
        <w:sz w:val="21"/>
      </w:rPr>
    </w:lvl>
    <w:lvl w:ilvl="5">
      <w:start w:val="1"/>
      <w:numFmt w:val="decimal"/>
      <w:pStyle w:val="af3"/>
      <w:suff w:val="nothing"/>
      <w:lvlText w:val="%1%2.%3.%4.%5.%6　"/>
      <w:lvlJc w:val="left"/>
      <w:pPr>
        <w:ind w:left="0" w:firstLine="0"/>
      </w:pPr>
      <w:rPr>
        <w:rFonts w:ascii="黑体" w:eastAsia="黑体" w:hAnsi="Times New Roman" w:hint="eastAsia"/>
        <w:b w:val="0"/>
        <w:i w:val="0"/>
        <w:sz w:val="21"/>
      </w:rPr>
    </w:lvl>
    <w:lvl w:ilvl="6">
      <w:start w:val="1"/>
      <w:numFmt w:val="decimal"/>
      <w:pStyle w:val="af4"/>
      <w:suff w:val="nothing"/>
      <w:lvlText w:val="%1%2.%3.%4.%5.%6.%7　"/>
      <w:lvlJc w:val="left"/>
      <w:pPr>
        <w:ind w:left="0" w:firstLine="0"/>
      </w:pPr>
      <w:rPr>
        <w:rFonts w:ascii="黑体" w:eastAsia="黑体" w:hAnsi="Times New Roman" w:hint="eastAsia"/>
        <w:b w:val="0"/>
        <w:i w:val="0"/>
        <w:sz w:val="21"/>
      </w:rPr>
    </w:lvl>
    <w:lvl w:ilvl="7">
      <w:start w:val="1"/>
      <w:numFmt w:val="decimal"/>
      <w:lvlText w:val="%1.%2.%3.%4.%5.%6.%7.%8"/>
      <w:lvlJc w:val="left"/>
      <w:pPr>
        <w:tabs>
          <w:tab w:val="num" w:pos="4351"/>
        </w:tabs>
        <w:ind w:left="3969" w:hanging="1418"/>
      </w:pPr>
      <w:rPr>
        <w:rFonts w:hint="eastAsia"/>
      </w:rPr>
    </w:lvl>
    <w:lvl w:ilvl="8">
      <w:start w:val="1"/>
      <w:numFmt w:val="decimal"/>
      <w:lvlText w:val="%1.%2.%3.%4.%5.%6.%7.%8.%9"/>
      <w:lvlJc w:val="left"/>
      <w:pPr>
        <w:tabs>
          <w:tab w:val="num" w:pos="4777"/>
        </w:tabs>
        <w:ind w:left="4677" w:hanging="1700"/>
      </w:pPr>
      <w:rPr>
        <w:rFonts w:hint="eastAsia"/>
      </w:rPr>
    </w:lvl>
  </w:abstractNum>
  <w:abstractNum w:abstractNumId="10" w15:restartNumberingAfterBreak="0">
    <w:nsid w:val="6DBF04F4"/>
    <w:multiLevelType w:val="hybridMultilevel"/>
    <w:tmpl w:val="BE72C340"/>
    <w:lvl w:ilvl="0" w:tplc="59FA5E12">
      <w:start w:val="1"/>
      <w:numFmt w:val="none"/>
      <w:pStyle w:val="af5"/>
      <w:lvlText w:val="%1注："/>
      <w:lvlJc w:val="left"/>
      <w:pPr>
        <w:tabs>
          <w:tab w:val="num" w:pos="1140"/>
        </w:tabs>
        <w:ind w:left="840" w:hanging="420"/>
      </w:pPr>
      <w:rPr>
        <w:rFonts w:ascii="宋体" w:eastAsia="宋体" w:hAnsi="Times New Roman" w:hint="eastAsia"/>
        <w:b w:val="0"/>
        <w:i w:val="0"/>
        <w:sz w:val="18"/>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1" w15:restartNumberingAfterBreak="0">
    <w:nsid w:val="76933334"/>
    <w:multiLevelType w:val="hybridMultilevel"/>
    <w:tmpl w:val="9DC4F176"/>
    <w:lvl w:ilvl="0" w:tplc="C7EAF6AE">
      <w:start w:val="1"/>
      <w:numFmt w:val="none"/>
      <w:pStyle w:val="af6"/>
      <w:lvlText w:val="%1——"/>
      <w:lvlJc w:val="left"/>
      <w:pPr>
        <w:tabs>
          <w:tab w:val="num" w:pos="1140"/>
        </w:tabs>
        <w:ind w:left="84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num w:numId="1">
    <w:abstractNumId w:val="9"/>
  </w:num>
  <w:num w:numId="2">
    <w:abstractNumId w:val="9"/>
  </w:num>
  <w:num w:numId="3">
    <w:abstractNumId w:val="9"/>
  </w:num>
  <w:num w:numId="4">
    <w:abstractNumId w:val="9"/>
  </w:num>
  <w:num w:numId="5">
    <w:abstractNumId w:val="9"/>
  </w:num>
  <w:num w:numId="6">
    <w:abstractNumId w:val="9"/>
  </w:num>
  <w:num w:numId="7">
    <w:abstractNumId w:val="9"/>
  </w:num>
  <w:num w:numId="8">
    <w:abstractNumId w:val="11"/>
  </w:num>
  <w:num w:numId="9">
    <w:abstractNumId w:val="6"/>
  </w:num>
  <w:num w:numId="10">
    <w:abstractNumId w:val="0"/>
  </w:num>
  <w:num w:numId="11">
    <w:abstractNumId w:val="10"/>
  </w:num>
  <w:num w:numId="12">
    <w:abstractNumId w:val="3"/>
  </w:num>
  <w:num w:numId="13">
    <w:abstractNumId w:val="7"/>
  </w:num>
  <w:num w:numId="14">
    <w:abstractNumId w:val="5"/>
  </w:num>
  <w:num w:numId="15">
    <w:abstractNumId w:val="8"/>
  </w:num>
  <w:num w:numId="16">
    <w:abstractNumId w:val="8"/>
  </w:num>
  <w:num w:numId="17">
    <w:abstractNumId w:val="8"/>
  </w:num>
  <w:num w:numId="18">
    <w:abstractNumId w:val="8"/>
  </w:num>
  <w:num w:numId="19">
    <w:abstractNumId w:val="8"/>
  </w:num>
  <w:num w:numId="20">
    <w:abstractNumId w:val="8"/>
  </w:num>
  <w:num w:numId="21">
    <w:abstractNumId w:val="8"/>
  </w:num>
  <w:num w:numId="22">
    <w:abstractNumId w:val="4"/>
  </w:num>
  <w:num w:numId="23">
    <w:abstractNumId w:val="1"/>
  </w:num>
  <w:num w:numId="2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embedSystemFonts/>
  <w:bordersDoNotSurroundHeader/>
  <w:bordersDoNotSurroundFooter/>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HorizontalSpacing w:val="105"/>
  <w:drawingGridVerticalSpacing w:val="156"/>
  <w:displayHorizontalDrawingGridEvery w:val="0"/>
  <w:displayVerticalDrawingGridEvery w:val="2"/>
  <w:characterSpacingControl w:val="compressPunctuation"/>
  <w:hdrShapeDefaults>
    <o:shapedefaults v:ext="edit" spidmax="3074"/>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B3285"/>
    <w:rsid w:val="006563CC"/>
    <w:rsid w:val="006B3285"/>
    <w:rsid w:val="007A766C"/>
    <w:rsid w:val="00BE0CDA"/>
    <w:rsid w:val="00D51D3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hmetcnv"/>
  <w:shapeDefaults>
    <o:shapedefaults v:ext="edit" spidmax="3074"/>
    <o:shapelayout v:ext="edit">
      <o:idmap v:ext="edit" data="1"/>
    </o:shapelayout>
  </w:shapeDefaults>
  <w:decimalSymbol w:val="."/>
  <w:listSeparator w:val=","/>
  <w15:chartTrackingRefBased/>
  <w15:docId w15:val="{251B5C4B-CBA3-47E1-A514-FEA21118EB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af7">
    <w:name w:val="Normal"/>
    <w:qFormat/>
    <w:pPr>
      <w:widowControl w:val="0"/>
      <w:jc w:val="both"/>
    </w:pPr>
    <w:rPr>
      <w:kern w:val="2"/>
      <w:sz w:val="21"/>
      <w:szCs w:val="24"/>
    </w:rPr>
  </w:style>
  <w:style w:type="paragraph" w:styleId="1">
    <w:name w:val="heading 1"/>
    <w:basedOn w:val="af7"/>
    <w:next w:val="af7"/>
    <w:qFormat/>
    <w:pPr>
      <w:keepNext/>
      <w:keepLines/>
      <w:spacing w:before="340" w:after="330" w:line="578" w:lineRule="auto"/>
      <w:outlineLvl w:val="0"/>
    </w:pPr>
    <w:rPr>
      <w:b/>
      <w:bCs/>
      <w:kern w:val="44"/>
      <w:sz w:val="44"/>
      <w:szCs w:val="44"/>
    </w:rPr>
  </w:style>
  <w:style w:type="paragraph" w:styleId="2">
    <w:name w:val="heading 2"/>
    <w:basedOn w:val="af7"/>
    <w:next w:val="af7"/>
    <w:qFormat/>
    <w:pPr>
      <w:keepNext/>
      <w:keepLines/>
      <w:spacing w:before="260" w:after="260" w:line="416" w:lineRule="auto"/>
      <w:outlineLvl w:val="1"/>
    </w:pPr>
    <w:rPr>
      <w:rFonts w:ascii="Arial" w:eastAsia="黑体" w:hAnsi="Arial"/>
      <w:b/>
      <w:bCs/>
      <w:sz w:val="32"/>
      <w:szCs w:val="32"/>
    </w:rPr>
  </w:style>
  <w:style w:type="paragraph" w:styleId="3">
    <w:name w:val="heading 3"/>
    <w:basedOn w:val="af7"/>
    <w:next w:val="af7"/>
    <w:qFormat/>
    <w:pPr>
      <w:keepNext/>
      <w:keepLines/>
      <w:spacing w:before="260" w:after="260" w:line="416" w:lineRule="auto"/>
      <w:outlineLvl w:val="2"/>
    </w:pPr>
    <w:rPr>
      <w:b/>
      <w:bCs/>
      <w:sz w:val="32"/>
      <w:szCs w:val="32"/>
    </w:rPr>
  </w:style>
  <w:style w:type="paragraph" w:styleId="4">
    <w:name w:val="heading 4"/>
    <w:basedOn w:val="af7"/>
    <w:next w:val="af7"/>
    <w:qFormat/>
    <w:pPr>
      <w:keepNext/>
      <w:keepLines/>
      <w:spacing w:before="280" w:after="290" w:line="376" w:lineRule="auto"/>
      <w:outlineLvl w:val="3"/>
    </w:pPr>
    <w:rPr>
      <w:rFonts w:ascii="Arial" w:eastAsia="黑体" w:hAnsi="Arial"/>
      <w:b/>
      <w:bCs/>
      <w:sz w:val="28"/>
      <w:szCs w:val="28"/>
    </w:rPr>
  </w:style>
  <w:style w:type="paragraph" w:styleId="5">
    <w:name w:val="heading 5"/>
    <w:basedOn w:val="af7"/>
    <w:next w:val="af7"/>
    <w:qFormat/>
    <w:pPr>
      <w:keepNext/>
      <w:keepLines/>
      <w:spacing w:before="280" w:after="290" w:line="376" w:lineRule="auto"/>
      <w:outlineLvl w:val="4"/>
    </w:pPr>
    <w:rPr>
      <w:b/>
      <w:bCs/>
      <w:sz w:val="28"/>
      <w:szCs w:val="28"/>
    </w:rPr>
  </w:style>
  <w:style w:type="paragraph" w:styleId="6">
    <w:name w:val="heading 6"/>
    <w:basedOn w:val="af7"/>
    <w:next w:val="af7"/>
    <w:qFormat/>
    <w:pPr>
      <w:keepNext/>
      <w:keepLines/>
      <w:spacing w:before="240" w:after="64" w:line="320" w:lineRule="auto"/>
      <w:outlineLvl w:val="5"/>
    </w:pPr>
    <w:rPr>
      <w:rFonts w:ascii="Arial" w:eastAsia="黑体" w:hAnsi="Arial"/>
      <w:b/>
      <w:bCs/>
      <w:sz w:val="24"/>
    </w:rPr>
  </w:style>
  <w:style w:type="paragraph" w:styleId="7">
    <w:name w:val="heading 7"/>
    <w:basedOn w:val="af7"/>
    <w:next w:val="af7"/>
    <w:qFormat/>
    <w:pPr>
      <w:keepNext/>
      <w:keepLines/>
      <w:spacing w:before="240" w:after="64" w:line="320" w:lineRule="auto"/>
      <w:outlineLvl w:val="6"/>
    </w:pPr>
    <w:rPr>
      <w:b/>
      <w:bCs/>
      <w:sz w:val="24"/>
    </w:rPr>
  </w:style>
  <w:style w:type="paragraph" w:styleId="8">
    <w:name w:val="heading 8"/>
    <w:basedOn w:val="af7"/>
    <w:next w:val="af7"/>
    <w:qFormat/>
    <w:pPr>
      <w:keepNext/>
      <w:keepLines/>
      <w:spacing w:before="240" w:after="64" w:line="320" w:lineRule="auto"/>
      <w:outlineLvl w:val="7"/>
    </w:pPr>
    <w:rPr>
      <w:rFonts w:ascii="Arial" w:eastAsia="黑体" w:hAnsi="Arial"/>
      <w:sz w:val="24"/>
    </w:rPr>
  </w:style>
  <w:style w:type="paragraph" w:styleId="9">
    <w:name w:val="heading 9"/>
    <w:basedOn w:val="af7"/>
    <w:next w:val="af7"/>
    <w:qFormat/>
    <w:pPr>
      <w:keepNext/>
      <w:keepLines/>
      <w:spacing w:before="240" w:after="64" w:line="320" w:lineRule="auto"/>
      <w:outlineLvl w:val="8"/>
    </w:pPr>
    <w:rPr>
      <w:rFonts w:ascii="Arial" w:eastAsia="黑体" w:hAnsi="Arial"/>
      <w:szCs w:val="21"/>
    </w:rPr>
  </w:style>
  <w:style w:type="character" w:default="1" w:styleId="af8">
    <w:name w:val="Default Paragraph Font"/>
    <w:semiHidden/>
  </w:style>
  <w:style w:type="table" w:default="1" w:styleId="af9">
    <w:name w:val="Normal Table"/>
    <w:semiHidden/>
    <w:tblPr>
      <w:tblInd w:w="0" w:type="dxa"/>
      <w:tblCellMar>
        <w:top w:w="0" w:type="dxa"/>
        <w:left w:w="108" w:type="dxa"/>
        <w:bottom w:w="0" w:type="dxa"/>
        <w:right w:w="108" w:type="dxa"/>
      </w:tblCellMar>
    </w:tblPr>
  </w:style>
  <w:style w:type="numbering" w:default="1" w:styleId="afa">
    <w:name w:val="No List"/>
    <w:semiHidden/>
  </w:style>
  <w:style w:type="character" w:styleId="HTML">
    <w:name w:val="HTML Code"/>
    <w:basedOn w:val="af8"/>
    <w:rPr>
      <w:rFonts w:ascii="Courier New" w:hAnsi="Courier New"/>
      <w:sz w:val="20"/>
      <w:szCs w:val="20"/>
    </w:rPr>
  </w:style>
  <w:style w:type="character" w:styleId="HTML0">
    <w:name w:val="HTML Variable"/>
    <w:basedOn w:val="af8"/>
    <w:rPr>
      <w:i/>
      <w:iCs/>
    </w:rPr>
  </w:style>
  <w:style w:type="character" w:styleId="HTML1">
    <w:name w:val="HTML Typewriter"/>
    <w:basedOn w:val="af8"/>
    <w:rPr>
      <w:rFonts w:ascii="Courier New" w:hAnsi="Courier New"/>
      <w:sz w:val="20"/>
      <w:szCs w:val="20"/>
    </w:rPr>
  </w:style>
  <w:style w:type="paragraph" w:styleId="HTML2">
    <w:name w:val="HTML Address"/>
    <w:basedOn w:val="af7"/>
    <w:rPr>
      <w:i/>
      <w:iCs/>
    </w:rPr>
  </w:style>
  <w:style w:type="character" w:styleId="HTML3">
    <w:name w:val="HTML Definition"/>
    <w:basedOn w:val="af8"/>
    <w:rPr>
      <w:i/>
      <w:iCs/>
    </w:rPr>
  </w:style>
  <w:style w:type="character" w:styleId="HTML4">
    <w:name w:val="HTML Keyboard"/>
    <w:basedOn w:val="af8"/>
    <w:rPr>
      <w:rFonts w:ascii="Courier New" w:hAnsi="Courier New"/>
      <w:sz w:val="20"/>
      <w:szCs w:val="20"/>
    </w:rPr>
  </w:style>
  <w:style w:type="character" w:styleId="HTML5">
    <w:name w:val="HTML Acronym"/>
    <w:basedOn w:val="af8"/>
  </w:style>
  <w:style w:type="character" w:styleId="HTML6">
    <w:name w:val="HTML Sample"/>
    <w:basedOn w:val="af8"/>
    <w:rPr>
      <w:rFonts w:ascii="Courier New" w:hAnsi="Courier New"/>
    </w:rPr>
  </w:style>
  <w:style w:type="paragraph" w:styleId="HTML7">
    <w:name w:val="HTML Preformatted"/>
    <w:basedOn w:val="af7"/>
    <w:rPr>
      <w:rFonts w:ascii="Courier New" w:hAnsi="Courier New" w:cs="Courier New"/>
      <w:sz w:val="20"/>
      <w:szCs w:val="20"/>
    </w:rPr>
  </w:style>
  <w:style w:type="character" w:styleId="HTML8">
    <w:name w:val="HTML Cite"/>
    <w:basedOn w:val="af8"/>
    <w:rPr>
      <w:i/>
      <w:iCs/>
    </w:rPr>
  </w:style>
  <w:style w:type="paragraph" w:styleId="afb">
    <w:name w:val="Title"/>
    <w:basedOn w:val="af7"/>
    <w:qFormat/>
    <w:pPr>
      <w:spacing w:before="240" w:after="60"/>
      <w:jc w:val="center"/>
      <w:outlineLvl w:val="0"/>
    </w:pPr>
    <w:rPr>
      <w:rFonts w:ascii="Arial" w:hAnsi="Arial" w:cs="Arial"/>
      <w:b/>
      <w:bCs/>
      <w:sz w:val="32"/>
      <w:szCs w:val="32"/>
    </w:rPr>
  </w:style>
  <w:style w:type="paragraph" w:customStyle="1" w:styleId="afc">
    <w:name w:val="标准标志"/>
    <w:next w:val="af7"/>
    <w:pPr>
      <w:framePr w:w="2268" w:h="1392" w:hRule="exact" w:wrap="around" w:hAnchor="margin" w:x="6748" w:y="171" w:anchorLock="1"/>
      <w:shd w:val="solid" w:color="FFFFFF" w:fill="FFFFFF"/>
      <w:spacing w:line="0" w:lineRule="atLeast"/>
      <w:jc w:val="right"/>
    </w:pPr>
    <w:rPr>
      <w:b/>
      <w:w w:val="130"/>
      <w:sz w:val="96"/>
    </w:rPr>
  </w:style>
  <w:style w:type="paragraph" w:customStyle="1" w:styleId="afd">
    <w:name w:val="标准称谓"/>
    <w:next w:val="af7"/>
    <w:pPr>
      <w:framePr w:w="9638" w:h="754" w:hRule="exact" w:hSpace="180" w:vSpace="180" w:wrap="around" w:vAnchor="page" w:hAnchor="margin" w:xAlign="center" w:y="2128" w:anchorLock="1"/>
      <w:widowControl w:val="0"/>
      <w:kinsoku w:val="0"/>
      <w:overflowPunct w:val="0"/>
      <w:autoSpaceDE w:val="0"/>
      <w:autoSpaceDN w:val="0"/>
      <w:spacing w:line="0" w:lineRule="atLeast"/>
      <w:jc w:val="distribute"/>
    </w:pPr>
    <w:rPr>
      <w:rFonts w:ascii="宋体"/>
      <w:b/>
      <w:bCs/>
      <w:spacing w:val="20"/>
      <w:w w:val="148"/>
      <w:sz w:val="52"/>
    </w:rPr>
  </w:style>
  <w:style w:type="paragraph" w:customStyle="1" w:styleId="afe">
    <w:name w:val="标准书脚_偶数页"/>
    <w:pPr>
      <w:spacing w:before="120"/>
    </w:pPr>
    <w:rPr>
      <w:sz w:val="18"/>
    </w:rPr>
  </w:style>
  <w:style w:type="paragraph" w:customStyle="1" w:styleId="aff">
    <w:name w:val="标准书脚_奇数页"/>
    <w:pPr>
      <w:spacing w:before="120"/>
      <w:jc w:val="right"/>
    </w:pPr>
    <w:rPr>
      <w:sz w:val="18"/>
    </w:rPr>
  </w:style>
  <w:style w:type="paragraph" w:customStyle="1" w:styleId="aff0">
    <w:name w:val="标准书眉_奇数页"/>
    <w:next w:val="af7"/>
    <w:pPr>
      <w:tabs>
        <w:tab w:val="center" w:pos="4154"/>
        <w:tab w:val="right" w:pos="8306"/>
      </w:tabs>
      <w:spacing w:after="120"/>
      <w:jc w:val="right"/>
    </w:pPr>
    <w:rPr>
      <w:noProof/>
      <w:sz w:val="21"/>
    </w:rPr>
  </w:style>
  <w:style w:type="paragraph" w:customStyle="1" w:styleId="aff1">
    <w:name w:val="标准书眉_偶数页"/>
    <w:basedOn w:val="aff0"/>
    <w:next w:val="af7"/>
    <w:pPr>
      <w:jc w:val="left"/>
    </w:pPr>
  </w:style>
  <w:style w:type="paragraph" w:customStyle="1" w:styleId="aff2">
    <w:name w:val="标准书眉一"/>
    <w:pPr>
      <w:jc w:val="both"/>
    </w:pPr>
  </w:style>
  <w:style w:type="paragraph" w:customStyle="1" w:styleId="ae">
    <w:name w:val="前言、引言标题"/>
    <w:next w:val="af7"/>
    <w:pPr>
      <w:numPr>
        <w:numId w:val="1"/>
      </w:numPr>
      <w:shd w:val="clear" w:color="FFFFFF" w:fill="FFFFFF"/>
      <w:spacing w:before="640" w:after="560"/>
      <w:jc w:val="center"/>
      <w:outlineLvl w:val="0"/>
    </w:pPr>
    <w:rPr>
      <w:rFonts w:ascii="黑体" w:eastAsia="黑体"/>
      <w:sz w:val="32"/>
    </w:rPr>
  </w:style>
  <w:style w:type="paragraph" w:customStyle="1" w:styleId="aff3">
    <w:name w:val="参考文献、索引标题"/>
    <w:basedOn w:val="ae"/>
    <w:next w:val="af7"/>
    <w:pPr>
      <w:numPr>
        <w:numId w:val="0"/>
      </w:numPr>
      <w:spacing w:after="200"/>
    </w:pPr>
    <w:rPr>
      <w:sz w:val="21"/>
    </w:rPr>
  </w:style>
  <w:style w:type="character" w:styleId="aff4">
    <w:name w:val="Hyperlink"/>
    <w:rPr>
      <w:rFonts w:ascii="Times New Roman" w:eastAsia="宋体" w:hAnsi="Times New Roman"/>
      <w:dstrike w:val="0"/>
      <w:color w:val="auto"/>
      <w:spacing w:val="0"/>
      <w:w w:val="100"/>
      <w:position w:val="0"/>
      <w:sz w:val="21"/>
      <w:u w:val="none"/>
      <w:vertAlign w:val="baseline"/>
    </w:rPr>
  </w:style>
  <w:style w:type="paragraph" w:customStyle="1" w:styleId="aff5">
    <w:name w:val="段"/>
    <w:pPr>
      <w:autoSpaceDE w:val="0"/>
      <w:autoSpaceDN w:val="0"/>
      <w:ind w:firstLineChars="200" w:firstLine="200"/>
      <w:jc w:val="both"/>
    </w:pPr>
    <w:rPr>
      <w:rFonts w:ascii="宋体"/>
      <w:noProof/>
      <w:sz w:val="21"/>
    </w:rPr>
  </w:style>
  <w:style w:type="paragraph" w:customStyle="1" w:styleId="af">
    <w:name w:val="章标题"/>
    <w:next w:val="aff5"/>
    <w:pPr>
      <w:numPr>
        <w:ilvl w:val="1"/>
        <w:numId w:val="2"/>
      </w:numPr>
      <w:spacing w:beforeLines="50" w:before="50" w:afterLines="50" w:after="50"/>
      <w:jc w:val="both"/>
      <w:outlineLvl w:val="1"/>
    </w:pPr>
    <w:rPr>
      <w:rFonts w:ascii="黑体" w:eastAsia="黑体"/>
      <w:sz w:val="21"/>
    </w:rPr>
  </w:style>
  <w:style w:type="paragraph" w:customStyle="1" w:styleId="af0">
    <w:name w:val="一级条标题"/>
    <w:next w:val="aff5"/>
    <w:pPr>
      <w:numPr>
        <w:ilvl w:val="2"/>
        <w:numId w:val="3"/>
      </w:numPr>
      <w:outlineLvl w:val="2"/>
    </w:pPr>
    <w:rPr>
      <w:rFonts w:eastAsia="黑体"/>
      <w:sz w:val="21"/>
    </w:rPr>
  </w:style>
  <w:style w:type="paragraph" w:customStyle="1" w:styleId="af1">
    <w:name w:val="二级条标题"/>
    <w:basedOn w:val="af0"/>
    <w:next w:val="aff5"/>
    <w:pPr>
      <w:numPr>
        <w:ilvl w:val="3"/>
        <w:numId w:val="4"/>
      </w:numPr>
      <w:outlineLvl w:val="3"/>
    </w:pPr>
  </w:style>
  <w:style w:type="character" w:customStyle="1" w:styleId="aff6">
    <w:name w:val="发布"/>
    <w:basedOn w:val="af8"/>
    <w:rPr>
      <w:rFonts w:ascii="黑体" w:eastAsia="黑体"/>
      <w:spacing w:val="22"/>
      <w:w w:val="100"/>
      <w:position w:val="3"/>
      <w:sz w:val="28"/>
    </w:rPr>
  </w:style>
  <w:style w:type="paragraph" w:customStyle="1" w:styleId="aff7">
    <w:name w:val="发布部门"/>
    <w:next w:val="aff5"/>
    <w:pPr>
      <w:framePr w:w="7433" w:h="585" w:hRule="exact" w:hSpace="180" w:vSpace="180" w:wrap="around" w:hAnchor="margin" w:xAlign="center" w:y="14401" w:anchorLock="1"/>
      <w:jc w:val="center"/>
    </w:pPr>
    <w:rPr>
      <w:rFonts w:ascii="宋体"/>
      <w:b/>
      <w:spacing w:val="20"/>
      <w:w w:val="135"/>
      <w:sz w:val="36"/>
    </w:rPr>
  </w:style>
  <w:style w:type="paragraph" w:customStyle="1" w:styleId="aff8">
    <w:name w:val="发布日期"/>
    <w:pPr>
      <w:framePr w:w="4000" w:h="473" w:hRule="exact" w:hSpace="180" w:vSpace="180" w:wrap="around" w:hAnchor="margin" w:y="13511" w:anchorLock="1"/>
    </w:pPr>
    <w:rPr>
      <w:rFonts w:eastAsia="黑体"/>
      <w:sz w:val="28"/>
    </w:rPr>
  </w:style>
  <w:style w:type="paragraph" w:customStyle="1" w:styleId="10">
    <w:name w:val="封面标准号1"/>
    <w:pPr>
      <w:widowControl w:val="0"/>
      <w:kinsoku w:val="0"/>
      <w:overflowPunct w:val="0"/>
      <w:autoSpaceDE w:val="0"/>
      <w:autoSpaceDN w:val="0"/>
      <w:spacing w:before="308"/>
      <w:jc w:val="right"/>
      <w:textAlignment w:val="center"/>
    </w:pPr>
    <w:rPr>
      <w:sz w:val="28"/>
    </w:rPr>
  </w:style>
  <w:style w:type="paragraph" w:customStyle="1" w:styleId="20">
    <w:name w:val="封面标准号2"/>
    <w:basedOn w:val="10"/>
    <w:pPr>
      <w:framePr w:w="9138" w:h="1244" w:hRule="exact" w:wrap="auto" w:vAnchor="page" w:hAnchor="margin" w:y="2908"/>
      <w:adjustRightInd w:val="0"/>
      <w:spacing w:before="357" w:line="280" w:lineRule="exact"/>
    </w:pPr>
  </w:style>
  <w:style w:type="paragraph" w:customStyle="1" w:styleId="aff9">
    <w:name w:val="封面标准代替信息"/>
    <w:basedOn w:val="20"/>
    <w:pPr>
      <w:framePr w:wrap="auto"/>
      <w:spacing w:before="57"/>
    </w:pPr>
    <w:rPr>
      <w:rFonts w:ascii="宋体"/>
      <w:sz w:val="21"/>
    </w:rPr>
  </w:style>
  <w:style w:type="paragraph" w:customStyle="1" w:styleId="affa">
    <w:name w:val="封面标准名称"/>
    <w:pPr>
      <w:framePr w:w="9638" w:h="6917" w:hRule="exact" w:wrap="around" w:hAnchor="margin" w:xAlign="center" w:y="5955" w:anchorLock="1"/>
      <w:widowControl w:val="0"/>
      <w:spacing w:line="680" w:lineRule="exact"/>
      <w:jc w:val="center"/>
      <w:textAlignment w:val="center"/>
    </w:pPr>
    <w:rPr>
      <w:rFonts w:ascii="黑体" w:eastAsia="黑体"/>
      <w:sz w:val="52"/>
    </w:rPr>
  </w:style>
  <w:style w:type="paragraph" w:customStyle="1" w:styleId="affb">
    <w:name w:val="封面标准文稿编辑信息"/>
    <w:pPr>
      <w:spacing w:before="180" w:line="180" w:lineRule="exact"/>
      <w:jc w:val="center"/>
    </w:pPr>
    <w:rPr>
      <w:rFonts w:ascii="宋体"/>
      <w:sz w:val="21"/>
    </w:rPr>
  </w:style>
  <w:style w:type="paragraph" w:customStyle="1" w:styleId="affc">
    <w:name w:val="封面标准文稿类别"/>
    <w:pPr>
      <w:spacing w:before="440" w:line="400" w:lineRule="exact"/>
      <w:jc w:val="center"/>
    </w:pPr>
    <w:rPr>
      <w:rFonts w:ascii="宋体"/>
      <w:sz w:val="24"/>
    </w:rPr>
  </w:style>
  <w:style w:type="paragraph" w:customStyle="1" w:styleId="affd">
    <w:name w:val="封面标准英文名称"/>
    <w:pPr>
      <w:widowControl w:val="0"/>
      <w:spacing w:before="370" w:line="400" w:lineRule="exact"/>
      <w:jc w:val="center"/>
    </w:pPr>
    <w:rPr>
      <w:sz w:val="28"/>
    </w:rPr>
  </w:style>
  <w:style w:type="paragraph" w:customStyle="1" w:styleId="affe">
    <w:name w:val="封面一致性程度标识"/>
    <w:pPr>
      <w:spacing w:before="440" w:line="400" w:lineRule="exact"/>
      <w:jc w:val="center"/>
    </w:pPr>
    <w:rPr>
      <w:rFonts w:ascii="宋体"/>
      <w:sz w:val="28"/>
    </w:rPr>
  </w:style>
  <w:style w:type="paragraph" w:customStyle="1" w:styleId="afff">
    <w:name w:val="封面正文"/>
    <w:pPr>
      <w:jc w:val="both"/>
    </w:pPr>
  </w:style>
  <w:style w:type="paragraph" w:customStyle="1" w:styleId="a7">
    <w:name w:val="附录标识"/>
    <w:basedOn w:val="ae"/>
    <w:pPr>
      <w:numPr>
        <w:numId w:val="15"/>
      </w:numPr>
      <w:tabs>
        <w:tab w:val="left" w:pos="6405"/>
      </w:tabs>
      <w:spacing w:after="200"/>
    </w:pPr>
    <w:rPr>
      <w:sz w:val="21"/>
    </w:rPr>
  </w:style>
  <w:style w:type="paragraph" w:customStyle="1" w:styleId="a3">
    <w:name w:val="附录表标题"/>
    <w:next w:val="aff5"/>
    <w:pPr>
      <w:numPr>
        <w:numId w:val="22"/>
      </w:numPr>
      <w:jc w:val="center"/>
      <w:textAlignment w:val="baseline"/>
    </w:pPr>
    <w:rPr>
      <w:rFonts w:ascii="黑体" w:eastAsia="黑体"/>
      <w:kern w:val="21"/>
      <w:sz w:val="21"/>
    </w:rPr>
  </w:style>
  <w:style w:type="paragraph" w:customStyle="1" w:styleId="a8">
    <w:name w:val="附录章标题"/>
    <w:next w:val="aff5"/>
    <w:pPr>
      <w:numPr>
        <w:ilvl w:val="1"/>
        <w:numId w:val="16"/>
      </w:numPr>
      <w:wordWrap w:val="0"/>
      <w:overflowPunct w:val="0"/>
      <w:autoSpaceDE w:val="0"/>
      <w:spacing w:beforeLines="50" w:before="50" w:afterLines="50" w:after="50"/>
      <w:jc w:val="both"/>
      <w:textAlignment w:val="baseline"/>
      <w:outlineLvl w:val="1"/>
    </w:pPr>
    <w:rPr>
      <w:rFonts w:ascii="黑体" w:eastAsia="黑体"/>
      <w:kern w:val="21"/>
      <w:sz w:val="21"/>
    </w:rPr>
  </w:style>
  <w:style w:type="paragraph" w:customStyle="1" w:styleId="a9">
    <w:name w:val="附录一级条标题"/>
    <w:basedOn w:val="a8"/>
    <w:next w:val="aff5"/>
    <w:pPr>
      <w:numPr>
        <w:ilvl w:val="2"/>
        <w:numId w:val="17"/>
      </w:numPr>
      <w:autoSpaceDN w:val="0"/>
      <w:spacing w:beforeLines="0" w:before="0" w:afterLines="0" w:after="0"/>
      <w:outlineLvl w:val="2"/>
    </w:pPr>
  </w:style>
  <w:style w:type="paragraph" w:customStyle="1" w:styleId="aa">
    <w:name w:val="附录二级条标题"/>
    <w:basedOn w:val="a9"/>
    <w:next w:val="aff5"/>
    <w:pPr>
      <w:numPr>
        <w:ilvl w:val="3"/>
        <w:numId w:val="18"/>
      </w:numPr>
      <w:outlineLvl w:val="3"/>
    </w:pPr>
  </w:style>
  <w:style w:type="paragraph" w:customStyle="1" w:styleId="ab">
    <w:name w:val="附录三级条标题"/>
    <w:basedOn w:val="aa"/>
    <w:next w:val="aff5"/>
    <w:pPr>
      <w:numPr>
        <w:ilvl w:val="4"/>
        <w:numId w:val="19"/>
      </w:numPr>
      <w:outlineLvl w:val="4"/>
    </w:pPr>
  </w:style>
  <w:style w:type="paragraph" w:customStyle="1" w:styleId="ac">
    <w:name w:val="附录四级条标题"/>
    <w:basedOn w:val="ab"/>
    <w:next w:val="aff5"/>
    <w:pPr>
      <w:numPr>
        <w:ilvl w:val="5"/>
        <w:numId w:val="20"/>
      </w:numPr>
      <w:outlineLvl w:val="5"/>
    </w:pPr>
  </w:style>
  <w:style w:type="paragraph" w:customStyle="1" w:styleId="a0">
    <w:name w:val="附录图标题"/>
    <w:next w:val="aff5"/>
    <w:pPr>
      <w:numPr>
        <w:numId w:val="23"/>
      </w:numPr>
      <w:jc w:val="center"/>
    </w:pPr>
    <w:rPr>
      <w:rFonts w:ascii="黑体" w:eastAsia="黑体"/>
      <w:sz w:val="21"/>
    </w:rPr>
  </w:style>
  <w:style w:type="paragraph" w:customStyle="1" w:styleId="ad">
    <w:name w:val="附录五级条标题"/>
    <w:basedOn w:val="ac"/>
    <w:next w:val="aff5"/>
    <w:pPr>
      <w:numPr>
        <w:ilvl w:val="6"/>
        <w:numId w:val="21"/>
      </w:numPr>
      <w:outlineLvl w:val="6"/>
    </w:pPr>
  </w:style>
  <w:style w:type="character" w:customStyle="1" w:styleId="afff0">
    <w:name w:val="个人答复风格"/>
    <w:basedOn w:val="af8"/>
    <w:rPr>
      <w:rFonts w:ascii="Arial" w:eastAsia="宋体" w:hAnsi="Arial" w:cs="Arial"/>
      <w:color w:val="auto"/>
      <w:sz w:val="20"/>
    </w:rPr>
  </w:style>
  <w:style w:type="character" w:customStyle="1" w:styleId="afff1">
    <w:name w:val="个人撰写风格"/>
    <w:basedOn w:val="af8"/>
    <w:rPr>
      <w:rFonts w:ascii="Arial" w:eastAsia="宋体" w:hAnsi="Arial" w:cs="Arial"/>
      <w:color w:val="auto"/>
      <w:sz w:val="20"/>
    </w:rPr>
  </w:style>
  <w:style w:type="paragraph" w:styleId="afff2">
    <w:name w:val="footnote text"/>
    <w:basedOn w:val="af7"/>
    <w:semiHidden/>
    <w:pPr>
      <w:snapToGrid w:val="0"/>
      <w:jc w:val="left"/>
    </w:pPr>
    <w:rPr>
      <w:sz w:val="18"/>
      <w:szCs w:val="18"/>
    </w:rPr>
  </w:style>
  <w:style w:type="character" w:styleId="afff3">
    <w:name w:val="footnote reference"/>
    <w:basedOn w:val="af8"/>
    <w:semiHidden/>
    <w:rPr>
      <w:vertAlign w:val="superscript"/>
    </w:rPr>
  </w:style>
  <w:style w:type="paragraph" w:customStyle="1" w:styleId="af6">
    <w:name w:val="列项——（一级）"/>
    <w:pPr>
      <w:widowControl w:val="0"/>
      <w:numPr>
        <w:numId w:val="8"/>
      </w:numPr>
      <w:tabs>
        <w:tab w:val="clear" w:pos="1140"/>
        <w:tab w:val="num" w:pos="854"/>
      </w:tabs>
      <w:ind w:leftChars="200" w:hangingChars="200"/>
      <w:jc w:val="both"/>
    </w:pPr>
    <w:rPr>
      <w:rFonts w:ascii="宋体"/>
      <w:sz w:val="21"/>
    </w:rPr>
  </w:style>
  <w:style w:type="paragraph" w:customStyle="1" w:styleId="a5">
    <w:name w:val="列项●（二级）"/>
    <w:pPr>
      <w:numPr>
        <w:numId w:val="9"/>
      </w:numPr>
      <w:tabs>
        <w:tab w:val="left" w:pos="840"/>
      </w:tabs>
      <w:ind w:leftChars="400" w:left="600" w:hangingChars="200" w:hanging="200"/>
      <w:jc w:val="both"/>
    </w:pPr>
    <w:rPr>
      <w:rFonts w:ascii="宋体"/>
      <w:sz w:val="21"/>
    </w:rPr>
  </w:style>
  <w:style w:type="paragraph" w:customStyle="1" w:styleId="afff4">
    <w:name w:val="目次、标准名称标题"/>
    <w:basedOn w:val="ae"/>
    <w:next w:val="aff5"/>
    <w:pPr>
      <w:spacing w:line="460" w:lineRule="exact"/>
    </w:pPr>
  </w:style>
  <w:style w:type="paragraph" w:customStyle="1" w:styleId="afff5">
    <w:name w:val="目次、索引正文"/>
    <w:pPr>
      <w:spacing w:line="320" w:lineRule="exact"/>
      <w:jc w:val="both"/>
    </w:pPr>
    <w:rPr>
      <w:rFonts w:ascii="宋体"/>
      <w:sz w:val="21"/>
    </w:rPr>
  </w:style>
  <w:style w:type="paragraph" w:styleId="11">
    <w:name w:val="目录 1"/>
    <w:autoRedefine/>
    <w:semiHidden/>
    <w:pPr>
      <w:jc w:val="both"/>
    </w:pPr>
    <w:rPr>
      <w:rFonts w:ascii="宋体"/>
      <w:sz w:val="21"/>
    </w:rPr>
  </w:style>
  <w:style w:type="paragraph" w:styleId="21">
    <w:name w:val="目录 2"/>
    <w:basedOn w:val="11"/>
    <w:autoRedefine/>
    <w:semiHidden/>
    <w:rPr>
      <w:noProof/>
    </w:rPr>
  </w:style>
  <w:style w:type="paragraph" w:styleId="30">
    <w:name w:val="目录 3"/>
    <w:basedOn w:val="21"/>
    <w:autoRedefine/>
    <w:semiHidden/>
  </w:style>
  <w:style w:type="paragraph" w:styleId="40">
    <w:name w:val="目录 4"/>
    <w:basedOn w:val="30"/>
    <w:autoRedefine/>
    <w:semiHidden/>
  </w:style>
  <w:style w:type="paragraph" w:styleId="50">
    <w:name w:val="目录 5"/>
    <w:basedOn w:val="40"/>
    <w:autoRedefine/>
    <w:semiHidden/>
  </w:style>
  <w:style w:type="paragraph" w:styleId="60">
    <w:name w:val="目录 6"/>
    <w:basedOn w:val="50"/>
    <w:autoRedefine/>
    <w:semiHidden/>
  </w:style>
  <w:style w:type="paragraph" w:styleId="70">
    <w:name w:val="目录 7"/>
    <w:basedOn w:val="60"/>
    <w:autoRedefine/>
    <w:semiHidden/>
  </w:style>
  <w:style w:type="paragraph" w:styleId="80">
    <w:name w:val="目录 8"/>
    <w:basedOn w:val="70"/>
    <w:autoRedefine/>
    <w:semiHidden/>
  </w:style>
  <w:style w:type="paragraph" w:styleId="90">
    <w:name w:val="目录 9"/>
    <w:basedOn w:val="80"/>
    <w:autoRedefine/>
    <w:semiHidden/>
  </w:style>
  <w:style w:type="paragraph" w:customStyle="1" w:styleId="afff6">
    <w:name w:val="其他标准称谓"/>
    <w:pPr>
      <w:spacing w:line="0" w:lineRule="atLeast"/>
      <w:jc w:val="distribute"/>
    </w:pPr>
    <w:rPr>
      <w:rFonts w:ascii="黑体" w:eastAsia="黑体" w:hAnsi="宋体"/>
      <w:sz w:val="52"/>
    </w:rPr>
  </w:style>
  <w:style w:type="paragraph" w:customStyle="1" w:styleId="afff7">
    <w:name w:val="其他发布部门"/>
    <w:basedOn w:val="aff7"/>
    <w:pPr>
      <w:framePr w:wrap="around"/>
      <w:spacing w:line="0" w:lineRule="atLeast"/>
    </w:pPr>
    <w:rPr>
      <w:rFonts w:ascii="黑体" w:eastAsia="黑体"/>
      <w:b w:val="0"/>
    </w:rPr>
  </w:style>
  <w:style w:type="paragraph" w:customStyle="1" w:styleId="af2">
    <w:name w:val="三级条标题"/>
    <w:basedOn w:val="af1"/>
    <w:next w:val="aff5"/>
    <w:pPr>
      <w:numPr>
        <w:ilvl w:val="4"/>
        <w:numId w:val="5"/>
      </w:numPr>
      <w:outlineLvl w:val="4"/>
    </w:pPr>
  </w:style>
  <w:style w:type="paragraph" w:customStyle="1" w:styleId="afff8">
    <w:name w:val="实施日期"/>
    <w:basedOn w:val="aff8"/>
    <w:pPr>
      <w:framePr w:hSpace="0" w:wrap="around" w:xAlign="right"/>
      <w:jc w:val="right"/>
    </w:pPr>
  </w:style>
  <w:style w:type="paragraph" w:customStyle="1" w:styleId="a">
    <w:name w:val="示例"/>
    <w:next w:val="aff5"/>
    <w:pPr>
      <w:numPr>
        <w:numId w:val="10"/>
      </w:numPr>
      <w:tabs>
        <w:tab w:val="clear" w:pos="1120"/>
        <w:tab w:val="num" w:pos="816"/>
      </w:tabs>
      <w:ind w:firstLineChars="233" w:firstLine="419"/>
      <w:jc w:val="both"/>
    </w:pPr>
    <w:rPr>
      <w:rFonts w:ascii="宋体"/>
      <w:sz w:val="18"/>
    </w:rPr>
  </w:style>
  <w:style w:type="paragraph" w:customStyle="1" w:styleId="afff9">
    <w:name w:val="数字编号列项（二级）"/>
    <w:pPr>
      <w:ind w:leftChars="400" w:left="1260" w:hangingChars="200" w:hanging="420"/>
      <w:jc w:val="both"/>
    </w:pPr>
    <w:rPr>
      <w:rFonts w:ascii="宋体"/>
      <w:sz w:val="21"/>
    </w:rPr>
  </w:style>
  <w:style w:type="paragraph" w:customStyle="1" w:styleId="af3">
    <w:name w:val="四级条标题"/>
    <w:basedOn w:val="af2"/>
    <w:next w:val="aff5"/>
    <w:pPr>
      <w:numPr>
        <w:ilvl w:val="5"/>
        <w:numId w:val="6"/>
      </w:numPr>
      <w:outlineLvl w:val="5"/>
    </w:pPr>
  </w:style>
  <w:style w:type="paragraph" w:customStyle="1" w:styleId="afffa">
    <w:name w:val="条文脚注"/>
    <w:basedOn w:val="afff2"/>
    <w:pPr>
      <w:ind w:leftChars="200" w:left="780" w:hangingChars="200" w:hanging="360"/>
      <w:jc w:val="both"/>
    </w:pPr>
    <w:rPr>
      <w:rFonts w:ascii="宋体"/>
    </w:rPr>
  </w:style>
  <w:style w:type="paragraph" w:customStyle="1" w:styleId="afffb">
    <w:name w:val="图表脚注"/>
    <w:next w:val="aff5"/>
    <w:pPr>
      <w:ind w:leftChars="200" w:left="300" w:hangingChars="100" w:hanging="100"/>
      <w:jc w:val="both"/>
    </w:pPr>
    <w:rPr>
      <w:rFonts w:ascii="宋体"/>
      <w:sz w:val="18"/>
    </w:rPr>
  </w:style>
  <w:style w:type="paragraph" w:customStyle="1" w:styleId="afffc">
    <w:name w:val="文献分类号"/>
    <w:pPr>
      <w:framePr w:hSpace="180" w:vSpace="180" w:wrap="around" w:hAnchor="margin" w:y="1" w:anchorLock="1"/>
      <w:widowControl w:val="0"/>
      <w:textAlignment w:val="center"/>
    </w:pPr>
    <w:rPr>
      <w:rFonts w:eastAsia="黑体"/>
      <w:sz w:val="21"/>
    </w:rPr>
  </w:style>
  <w:style w:type="paragraph" w:customStyle="1" w:styleId="af4">
    <w:name w:val="五级条标题"/>
    <w:basedOn w:val="af3"/>
    <w:next w:val="aff5"/>
    <w:pPr>
      <w:numPr>
        <w:ilvl w:val="6"/>
        <w:numId w:val="7"/>
      </w:numPr>
      <w:outlineLvl w:val="6"/>
    </w:pPr>
  </w:style>
  <w:style w:type="paragraph" w:styleId="afffd">
    <w:name w:val="footer"/>
    <w:basedOn w:val="af7"/>
    <w:pPr>
      <w:tabs>
        <w:tab w:val="center" w:pos="4153"/>
        <w:tab w:val="right" w:pos="8306"/>
      </w:tabs>
      <w:snapToGrid w:val="0"/>
      <w:ind w:rightChars="100" w:right="210"/>
      <w:jc w:val="right"/>
    </w:pPr>
    <w:rPr>
      <w:sz w:val="18"/>
      <w:szCs w:val="18"/>
    </w:rPr>
  </w:style>
  <w:style w:type="character" w:styleId="afffe">
    <w:name w:val="page number"/>
    <w:basedOn w:val="af8"/>
    <w:rPr>
      <w:rFonts w:ascii="Times New Roman" w:eastAsia="宋体" w:hAnsi="Times New Roman"/>
      <w:sz w:val="18"/>
    </w:rPr>
  </w:style>
  <w:style w:type="paragraph" w:styleId="affff">
    <w:name w:val="header"/>
    <w:basedOn w:val="af7"/>
    <w:pPr>
      <w:pBdr>
        <w:bottom w:val="single" w:sz="6" w:space="1" w:color="auto"/>
      </w:pBdr>
      <w:tabs>
        <w:tab w:val="center" w:pos="4153"/>
        <w:tab w:val="right" w:pos="8306"/>
      </w:tabs>
      <w:snapToGrid w:val="0"/>
      <w:jc w:val="center"/>
    </w:pPr>
    <w:rPr>
      <w:sz w:val="18"/>
      <w:szCs w:val="18"/>
    </w:rPr>
  </w:style>
  <w:style w:type="paragraph" w:customStyle="1" w:styleId="a6">
    <w:name w:val="正文表标题"/>
    <w:next w:val="aff5"/>
    <w:pPr>
      <w:numPr>
        <w:numId w:val="13"/>
      </w:numPr>
      <w:jc w:val="center"/>
    </w:pPr>
    <w:rPr>
      <w:rFonts w:ascii="黑体" w:eastAsia="黑体"/>
      <w:sz w:val="21"/>
    </w:rPr>
  </w:style>
  <w:style w:type="paragraph" w:customStyle="1" w:styleId="a4">
    <w:name w:val="正文图标题"/>
    <w:next w:val="aff5"/>
    <w:pPr>
      <w:numPr>
        <w:numId w:val="14"/>
      </w:numPr>
      <w:jc w:val="center"/>
    </w:pPr>
    <w:rPr>
      <w:rFonts w:ascii="黑体" w:eastAsia="黑体"/>
      <w:sz w:val="21"/>
    </w:rPr>
  </w:style>
  <w:style w:type="paragraph" w:customStyle="1" w:styleId="af5">
    <w:name w:val="注："/>
    <w:next w:val="aff5"/>
    <w:pPr>
      <w:widowControl w:val="0"/>
      <w:numPr>
        <w:numId w:val="11"/>
      </w:numPr>
      <w:tabs>
        <w:tab w:val="clear" w:pos="1140"/>
      </w:tabs>
      <w:autoSpaceDE w:val="0"/>
      <w:autoSpaceDN w:val="0"/>
      <w:jc w:val="both"/>
    </w:pPr>
    <w:rPr>
      <w:rFonts w:ascii="宋体"/>
      <w:sz w:val="18"/>
    </w:rPr>
  </w:style>
  <w:style w:type="paragraph" w:customStyle="1" w:styleId="a2">
    <w:name w:val="注×："/>
    <w:pPr>
      <w:widowControl w:val="0"/>
      <w:numPr>
        <w:numId w:val="12"/>
      </w:numPr>
      <w:tabs>
        <w:tab w:val="clear" w:pos="900"/>
        <w:tab w:val="left" w:pos="630"/>
      </w:tabs>
      <w:autoSpaceDE w:val="0"/>
      <w:autoSpaceDN w:val="0"/>
      <w:jc w:val="both"/>
    </w:pPr>
    <w:rPr>
      <w:rFonts w:ascii="宋体"/>
      <w:sz w:val="18"/>
    </w:rPr>
  </w:style>
  <w:style w:type="paragraph" w:customStyle="1" w:styleId="affff0">
    <w:name w:val="字母编号列项（一级）"/>
    <w:pPr>
      <w:ind w:leftChars="200" w:left="840" w:hangingChars="200" w:hanging="420"/>
      <w:jc w:val="both"/>
    </w:pPr>
    <w:rPr>
      <w:rFonts w:ascii="宋体"/>
      <w:sz w:val="21"/>
    </w:rPr>
  </w:style>
  <w:style w:type="paragraph" w:customStyle="1" w:styleId="a1">
    <w:name w:val="列项◆（三级）"/>
    <w:pPr>
      <w:numPr>
        <w:numId w:val="24"/>
      </w:numPr>
      <w:ind w:leftChars="600" w:left="800" w:hangingChars="200" w:hanging="200"/>
    </w:pPr>
    <w:rPr>
      <w:rFonts w:ascii="宋体"/>
      <w:sz w:val="21"/>
    </w:rPr>
  </w:style>
  <w:style w:type="paragraph" w:customStyle="1" w:styleId="affff1">
    <w:name w:val="编号列项（三级）"/>
    <w:pPr>
      <w:ind w:leftChars="600" w:left="800" w:hangingChars="200" w:hanging="200"/>
    </w:pPr>
    <w:rPr>
      <w:rFonts w:ascii="宋体"/>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media/image1.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header" Target="header4.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tds2.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tds2.dot</Template>
  <TotalTime>0</TotalTime>
  <Pages>2</Pages>
  <Words>1118</Words>
  <Characters>6376</Characters>
  <Application>Microsoft Office Word</Application>
  <DocSecurity>0</DocSecurity>
  <Lines>53</Lines>
  <Paragraphs>14</Paragraphs>
  <ScaleCrop>false</ScaleCrop>
  <Company>CNIS</Company>
  <LinksUpToDate>false</LinksUpToDate>
  <CharactersWithSpaces>7480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李克强</dc:creator>
  <cp:keywords/>
  <dc:description/>
  <cp:lastModifiedBy>qiwen</cp:lastModifiedBy>
  <cp:revision>2</cp:revision>
  <cp:lastPrinted>2008-02-03T07:04:00Z</cp:lastPrinted>
  <dcterms:created xsi:type="dcterms:W3CDTF">2025-12-05T02:20:00Z</dcterms:created>
  <dcterms:modified xsi:type="dcterms:W3CDTF">2025-12-05T02:20:00Z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DS属性">
    <vt:lpwstr>TDS 2.0 Document</vt:lpwstr>
  </property>
</Properties>
</file>