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33A" w:rsidRDefault="0089233A">
      <w:pPr>
        <w:pStyle w:val="affa"/>
        <w:sectPr w:rsidR="0089233A">
          <w:headerReference w:type="even" r:id="rId7"/>
          <w:headerReference w:type="default" r:id="rId8"/>
          <w:footerReference w:type="even" r:id="rId9"/>
          <w:footerReference w:type="default" r:id="rId10"/>
          <w:headerReference w:type="first" r:id="rId11"/>
          <w:footerReference w:type="first" r:id="rId12"/>
          <w:pgSz w:w="11907" w:h="16839" w:code="9"/>
          <w:pgMar w:top="1418" w:right="1134" w:bottom="1134" w:left="1418" w:header="0" w:footer="0" w:gutter="0"/>
          <w:pgNumType w:start="1"/>
          <w:cols w:space="425"/>
          <w:titlePg/>
          <w:docGrid w:type="linesAndChars" w:linePitch="312"/>
        </w:sectPr>
      </w:pPr>
      <w:bookmarkStart w:id="0" w:name="SectionMark0"/>
      <w:bookmarkStart w:id="1" w:name="_GoBack"/>
      <w:bookmarkEnd w:id="1"/>
      <w:r>
        <w:rPr>
          <w:noProof/>
        </w:rPr>
        <w:pict>
          <v:line id="_x0000_s1037" style="position:absolute;left:0;text-align:left;z-index:251662336" from="0,700pt" to="482pt,700pt" strokecolor="none" strokeweight="1pt"/>
        </w:pict>
      </w:r>
      <w:r>
        <w:rPr>
          <w:noProof/>
        </w:rPr>
        <w:pict>
          <v:line id="_x0000_s1036" style="position:absolute;left:0;text-align:left;z-index:251661312" from="0,179pt" to="482pt,179pt" strokecolor="none" strokeweight="1pt"/>
        </w:pict>
      </w:r>
      <w:r>
        <w:rPr>
          <w:noProof/>
        </w:rPr>
        <w:pict>
          <v:shapetype id="_x0000_t202" coordsize="21600,21600" o:spt="202" path="m,l,21600r21600,l21600,xe">
            <v:stroke joinstyle="miter"/>
            <v:path gradientshapeok="t" o:connecttype="rect"/>
          </v:shapetype>
          <v:shape id="fmFrame7" o:spid="_x0000_s1035" type="#_x0000_t202" style="position:absolute;left:0;text-align:left;margin-left:0;margin-top:713.35pt;width:481.9pt;height:32.85pt;z-index:251660288;mso-position-horizontal-relative:margin;mso-position-vertical-relative:margin" stroked="f">
            <v:textbox style="mso-next-textbox:#fmFrame7" inset="0,0,0,0">
              <w:txbxContent>
                <w:p w:rsidR="0089233A" w:rsidRDefault="0089233A">
                  <w:pPr>
                    <w:pStyle w:val="afff4"/>
                  </w:pPr>
                  <w:r>
                    <w:rPr>
                      <w:rFonts w:hint="eastAsia"/>
                    </w:rPr>
                    <w:t>中国储备粮管理总公司</w:t>
                  </w:r>
                  <w:r>
                    <w:rPr>
                      <w:rStyle w:val="aff1"/>
                      <w:rFonts w:hint="eastAsia"/>
                    </w:rPr>
                    <w:t xml:space="preserve"> 发布</w:t>
                  </w:r>
                </w:p>
              </w:txbxContent>
            </v:textbox>
            <w10:wrap anchorx="margin" anchory="margin"/>
            <w10:anchorlock/>
          </v:shape>
        </w:pict>
      </w:r>
      <w:r>
        <w:rPr>
          <w:noProof/>
        </w:rPr>
        <w:pict>
          <v:shape id="fmFrame6" o:spid="_x0000_s1034" type="#_x0000_t202" style="position:absolute;left:0;text-align:left;margin-left:322.9pt;margin-top:674.3pt;width:159pt;height:24.6pt;z-index:251659264;mso-position-horizontal-relative:margin;mso-position-vertical-relative:margin" stroked="f">
            <v:textbox style="mso-next-textbox:#fmFrame6" inset="0,0,0,0">
              <w:txbxContent>
                <w:p w:rsidR="0089233A" w:rsidRDefault="0089233A">
                  <w:pPr>
                    <w:pStyle w:val="afff5"/>
                  </w:pPr>
                  <w:r>
                    <w:rPr>
                      <w:rFonts w:hint="eastAsia"/>
                    </w:rPr>
                    <w:t>2015-01-06</w:t>
                  </w:r>
                  <w:r>
                    <w:rPr>
                      <w:rFonts w:hint="eastAsia"/>
                    </w:rPr>
                    <w:t>实施</w:t>
                  </w:r>
                </w:p>
              </w:txbxContent>
            </v:textbox>
            <w10:wrap anchorx="margin" anchory="margin"/>
            <w10:anchorlock/>
          </v:shape>
        </w:pict>
      </w:r>
      <w:r>
        <w:rPr>
          <w:noProof/>
        </w:rPr>
        <w:pict>
          <v:shape id="fmFrame5" o:spid="_x0000_s1033" type="#_x0000_t202" style="position:absolute;left:0;text-align:left;margin-left:0;margin-top:674.3pt;width:159pt;height:24.6pt;z-index:251658240;mso-position-horizontal-relative:margin;mso-position-vertical-relative:margin" stroked="f">
            <v:textbox style="mso-next-textbox:#fmFrame5" inset="0,0,0,0">
              <w:txbxContent>
                <w:p w:rsidR="0089233A" w:rsidRDefault="0089233A">
                  <w:pPr>
                    <w:pStyle w:val="aff3"/>
                  </w:pPr>
                  <w:r>
                    <w:rPr>
                      <w:rFonts w:hint="eastAsia"/>
                    </w:rPr>
                    <w:t>2015-01-06</w:t>
                  </w:r>
                  <w:r>
                    <w:rPr>
                      <w:rFonts w:hint="eastAsia"/>
                    </w:rPr>
                    <w:t>发布</w:t>
                  </w:r>
                </w:p>
              </w:txbxContent>
            </v:textbox>
            <w10:wrap anchorx="margin" anchory="margin"/>
            <w10:anchorlock/>
          </v:shape>
        </w:pict>
      </w:r>
      <w:r>
        <w:rPr>
          <w:noProof/>
        </w:rPr>
        <w:pict>
          <v:shape id="fmFrame4" o:spid="_x0000_s1032" type="#_x0000_t202" style="position:absolute;left:0;text-align:left;margin-left:0;margin-top:286.25pt;width:470pt;height:368.6pt;z-index:251657216;mso-position-horizontal-relative:margin;mso-position-vertical-relative:margin" stroked="f">
            <v:textbox style="mso-next-textbox:#fmFrame4" inset="0,0,0,0">
              <w:txbxContent>
                <w:p w:rsidR="0089233A" w:rsidRDefault="0089233A">
                  <w:pPr>
                    <w:pStyle w:val="aff5"/>
                    <w:rPr>
                      <w:rFonts w:hint="eastAsia"/>
                    </w:rPr>
                  </w:pPr>
                  <w:r>
                    <w:rPr>
                      <w:rFonts w:hint="eastAsia"/>
                    </w:rPr>
                    <w:t>氮气气调储粮智能控制技术规程</w:t>
                  </w:r>
                </w:p>
                <w:p w:rsidR="0089233A" w:rsidRDefault="0089233A">
                  <w:pPr>
                    <w:pStyle w:val="aff5"/>
                    <w:rPr>
                      <w:rFonts w:hint="eastAsia"/>
                    </w:rPr>
                  </w:pPr>
                  <w:r>
                    <w:rPr>
                      <w:rFonts w:hint="eastAsia"/>
                    </w:rPr>
                    <w:t>（试行）</w:t>
                  </w:r>
                </w:p>
                <w:p w:rsidR="0089233A" w:rsidRDefault="0089233A">
                  <w:pPr>
                    <w:pStyle w:val="aff8"/>
                  </w:pPr>
                </w:p>
                <w:p w:rsidR="0089233A" w:rsidRDefault="0089233A">
                  <w:pPr>
                    <w:pStyle w:val="aff9"/>
                  </w:pPr>
                </w:p>
                <w:p w:rsidR="0089233A" w:rsidRDefault="0089233A">
                  <w:pPr>
                    <w:pStyle w:val="aff7"/>
                    <w:rPr>
                      <w:rFonts w:hint="eastAsia"/>
                    </w:rPr>
                  </w:pPr>
                </w:p>
                <w:p w:rsidR="0089233A" w:rsidRDefault="0089233A">
                  <w:pPr>
                    <w:pStyle w:val="aff6"/>
                  </w:pPr>
                </w:p>
              </w:txbxContent>
            </v:textbox>
            <w10:wrap anchorx="margin" anchory="margin"/>
            <w10:anchorlock/>
          </v:shape>
        </w:pict>
      </w:r>
      <w:r>
        <w:rPr>
          <w:noProof/>
        </w:rPr>
        <w:pict>
          <v:shape id="fmFrame3" o:spid="_x0000_s1031" type="#_x0000_t202" style="position:absolute;left:0;text-align:left;margin-left:0;margin-top:110.35pt;width:456.9pt;height:67.75pt;z-index:251656192;mso-position-horizontal-relative:margin;mso-position-vertical-relative:margin" stroked="f">
            <v:textbox style="mso-next-textbox:#fmFrame3" inset="0,0,0,0">
              <w:txbxContent>
                <w:p w:rsidR="0089233A" w:rsidRDefault="0089233A">
                  <w:pPr>
                    <w:pStyle w:val="10"/>
                    <w:rPr>
                      <w:rFonts w:hint="eastAsia"/>
                    </w:rPr>
                  </w:pPr>
                  <w:r>
                    <w:t>Q/ZCL T</w:t>
                  </w:r>
                  <w:r>
                    <w:rPr>
                      <w:rFonts w:hint="eastAsia"/>
                    </w:rPr>
                    <w:t>16</w:t>
                  </w:r>
                  <w:r>
                    <w:t>-201</w:t>
                  </w:r>
                  <w:r>
                    <w:rPr>
                      <w:rFonts w:hint="eastAsia"/>
                    </w:rPr>
                    <w:t>5</w:t>
                  </w:r>
                </w:p>
              </w:txbxContent>
            </v:textbox>
            <w10:wrap anchorx="margin" anchory="margin"/>
            <w10:anchorlock/>
          </v:shape>
        </w:pict>
      </w:r>
      <w:r>
        <w:rPr>
          <w:noProof/>
        </w:rPr>
        <w:pict>
          <v:shape id="fmFrame8" o:spid="_x0000_s1030" type="#_x0000_t202" style="position:absolute;left:0;text-align:left;margin-left:200.75pt;margin-top:8.45pt;width:250pt;height:56.7pt;z-index:251655168;mso-position-horizontal-relative:margin;mso-position-vertical-relative:margin" stroked="f">
            <v:textbox style="mso-next-textbox:#fmFrame8" inset="0,0,0,0">
              <w:txbxContent>
                <w:p w:rsidR="0089233A" w:rsidRDefault="0089233A">
                  <w:pPr>
                    <w:pStyle w:val="af7"/>
                  </w:pPr>
                  <w:r>
                    <w:t>Q/ZCL</w:t>
                  </w:r>
                </w:p>
              </w:txbxContent>
            </v:textbox>
            <w10:wrap anchorx="margin" anchory="margin"/>
            <w10:anchorlock/>
          </v:shape>
        </w:pict>
      </w:r>
      <w:r>
        <w:rPr>
          <w:noProof/>
        </w:rPr>
        <w:pict>
          <v:shape id="fmFrame2" o:spid="_x0000_s1029" type="#_x0000_t202" style="position:absolute;left:0;text-align:left;margin-left:0;margin-top:79.6pt;width:481.9pt;height:30.8pt;z-index:251654144;mso-position-horizontal-relative:margin;mso-position-vertical-relative:margin" stroked="f">
            <v:textbox style="mso-next-textbox:#fmFrame2" inset="0,0,0,0">
              <w:txbxContent>
                <w:p w:rsidR="0089233A" w:rsidRDefault="0089233A">
                  <w:pPr>
                    <w:pStyle w:val="afff3"/>
                  </w:pPr>
                  <w:r>
                    <w:rPr>
                      <w:rFonts w:hint="eastAsia"/>
                    </w:rPr>
                    <w:t>中国储备粮管理总公司企业标准</w:t>
                  </w:r>
                </w:p>
              </w:txbxContent>
            </v:textbox>
            <w10:wrap anchorx="margin" anchory="margin"/>
            <w10:anchorlock/>
          </v:shape>
        </w:pict>
      </w:r>
      <w:r>
        <w:rPr>
          <w:noProof/>
        </w:rPr>
        <w:pict>
          <v:shape id="fmFrame1" o:spid="_x0000_s1028" type="#_x0000_t202" style="position:absolute;left:0;text-align:left;margin-left:0;margin-top:0;width:200pt;height:51.8pt;z-index:251653120;mso-position-horizontal-relative:margin;mso-position-vertical-relative:margin" stroked="f">
            <v:textbox style="mso-next-textbox:#fmFrame1" inset="0,0,0,0">
              <w:txbxContent>
                <w:p w:rsidR="0089233A" w:rsidRDefault="0089233A">
                  <w:pPr>
                    <w:pStyle w:val="afff9"/>
                  </w:pPr>
                  <w:r>
                    <w:t>ICS</w:t>
                  </w:r>
                </w:p>
                <w:p w:rsidR="0089233A" w:rsidRDefault="0089233A">
                  <w:pPr>
                    <w:pStyle w:val="afff9"/>
                  </w:pPr>
                </w:p>
              </w:txbxContent>
            </v:textbox>
            <w10:wrap anchorx="margin" anchory="margin"/>
            <w10:anchorlock/>
          </v:shape>
        </w:pict>
      </w:r>
    </w:p>
    <w:p w:rsidR="0089233A" w:rsidRDefault="0089233A">
      <w:pPr>
        <w:pStyle w:val="aff0"/>
        <w:ind w:firstLineChars="0" w:firstLine="0"/>
        <w:jc w:val="center"/>
        <w:rPr>
          <w:rFonts w:ascii="黑体" w:eastAsia="黑体" w:hAnsi="黑体" w:hint="eastAsia"/>
          <w:sz w:val="32"/>
          <w:szCs w:val="32"/>
        </w:rPr>
      </w:pPr>
      <w:bookmarkStart w:id="2" w:name="SectionMark2"/>
      <w:bookmarkEnd w:id="0"/>
      <w:r>
        <w:rPr>
          <w:rFonts w:ascii="黑体" w:eastAsia="黑体" w:hAnsi="黑体" w:hint="eastAsia"/>
          <w:sz w:val="32"/>
          <w:szCs w:val="32"/>
        </w:rPr>
        <w:lastRenderedPageBreak/>
        <w:t>前言</w:t>
      </w:r>
    </w:p>
    <w:p w:rsidR="0089233A" w:rsidRDefault="0089233A">
      <w:pPr>
        <w:pStyle w:val="aff0"/>
        <w:spacing w:line="500" w:lineRule="exact"/>
        <w:ind w:firstLine="600"/>
        <w:rPr>
          <w:rFonts w:hint="eastAsia"/>
          <w:sz w:val="30"/>
        </w:rPr>
      </w:pPr>
      <w:r>
        <w:rPr>
          <w:rFonts w:ascii="Times New Roman" w:hint="eastAsia"/>
          <w:sz w:val="30"/>
        </w:rPr>
        <w:t>氮气</w:t>
      </w:r>
      <w:r>
        <w:rPr>
          <w:rFonts w:ascii="Times New Roman"/>
          <w:sz w:val="30"/>
        </w:rPr>
        <w:t>气调</w:t>
      </w:r>
      <w:r>
        <w:rPr>
          <w:rFonts w:ascii="Times New Roman" w:hint="eastAsia"/>
          <w:sz w:val="30"/>
        </w:rPr>
        <w:t>储粮智能控制系统</w:t>
      </w:r>
      <w:r>
        <w:rPr>
          <w:rFonts w:hint="eastAsia"/>
          <w:sz w:val="30"/>
        </w:rPr>
        <w:t>通过监测粮堆氮气浓度、粮温、作业时间等实时数据，根据气调目的和预设的作业参数，自动控制相关设施设备的开关或启停，实现气调作业的计算机自动控制，解决劳动强度较大，避免人工误操作，提高气调充气效率。本规程涉及控制软件、供排气自动控制、氮气浓度检测等方面，为规范</w:t>
      </w:r>
      <w:r>
        <w:rPr>
          <w:rFonts w:ascii="Times New Roman" w:hint="eastAsia"/>
          <w:sz w:val="30"/>
        </w:rPr>
        <w:t>氮气</w:t>
      </w:r>
      <w:r>
        <w:rPr>
          <w:rFonts w:ascii="Times New Roman"/>
          <w:sz w:val="30"/>
        </w:rPr>
        <w:t>气调</w:t>
      </w:r>
      <w:r>
        <w:rPr>
          <w:rFonts w:ascii="Times New Roman" w:hint="eastAsia"/>
          <w:sz w:val="30"/>
        </w:rPr>
        <w:t>储粮智能控制</w:t>
      </w:r>
      <w:r>
        <w:rPr>
          <w:rFonts w:hint="eastAsia"/>
          <w:sz w:val="30"/>
        </w:rPr>
        <w:t>的设计和建设，特制定本标准。</w:t>
      </w:r>
    </w:p>
    <w:p w:rsidR="0089233A" w:rsidRDefault="0089233A">
      <w:pPr>
        <w:pStyle w:val="aff0"/>
        <w:spacing w:line="500" w:lineRule="exact"/>
        <w:ind w:firstLine="600"/>
        <w:rPr>
          <w:rFonts w:ascii="Times New Roman"/>
          <w:sz w:val="30"/>
        </w:rPr>
      </w:pPr>
      <w:r>
        <w:rPr>
          <w:rFonts w:ascii="Times New Roman"/>
          <w:sz w:val="30"/>
        </w:rPr>
        <w:t>本标准由</w:t>
      </w:r>
      <w:r>
        <w:rPr>
          <w:rFonts w:ascii="Times New Roman" w:hAnsi="宋体"/>
          <w:sz w:val="30"/>
        </w:rPr>
        <w:t>中国储备粮管理总公司</w:t>
      </w:r>
      <w:r>
        <w:rPr>
          <w:rFonts w:ascii="Times New Roman"/>
          <w:sz w:val="30"/>
        </w:rPr>
        <w:t>提出并归口。</w:t>
      </w:r>
    </w:p>
    <w:p w:rsidR="0089233A" w:rsidRDefault="0089233A">
      <w:pPr>
        <w:pStyle w:val="aff0"/>
        <w:spacing w:line="500" w:lineRule="exact"/>
        <w:ind w:firstLine="600"/>
        <w:rPr>
          <w:rFonts w:ascii="Times New Roman"/>
          <w:sz w:val="30"/>
        </w:rPr>
      </w:pPr>
      <w:r>
        <w:rPr>
          <w:rFonts w:ascii="Times New Roman"/>
          <w:sz w:val="30"/>
        </w:rPr>
        <w:t>本标准起草单位：中国储备粮管理总公司</w:t>
      </w:r>
      <w:r>
        <w:rPr>
          <w:rFonts w:ascii="Times New Roman" w:hint="eastAsia"/>
          <w:sz w:val="30"/>
        </w:rPr>
        <w:t>、中储粮成都粮食储藏科学研究所、广西中储粮仓储设备科技公司</w:t>
      </w:r>
      <w:r>
        <w:rPr>
          <w:rFonts w:ascii="Times New Roman"/>
          <w:sz w:val="30"/>
        </w:rPr>
        <w:t>。</w:t>
      </w:r>
    </w:p>
    <w:p w:rsidR="0089233A" w:rsidRDefault="0089233A">
      <w:pPr>
        <w:pStyle w:val="aff0"/>
        <w:spacing w:line="500" w:lineRule="exact"/>
        <w:ind w:firstLine="600"/>
        <w:rPr>
          <w:rFonts w:ascii="Times New Roman" w:hint="eastAsia"/>
          <w:sz w:val="30"/>
        </w:rPr>
      </w:pPr>
      <w:r>
        <w:rPr>
          <w:rFonts w:ascii="Times New Roman"/>
          <w:sz w:val="30"/>
        </w:rPr>
        <w:t>本标准主要起草人：</w:t>
      </w:r>
      <w:r>
        <w:rPr>
          <w:rFonts w:ascii="Times New Roman" w:hint="eastAsia"/>
          <w:sz w:val="30"/>
        </w:rPr>
        <w:t>陈克、张威、熊鹤鸣、郭道林、高素芬、杨健、付鹏程、麦超雄、李克强、赵小军、陈谨华、周天智、贺克军、孔德旭、黄晓兵、李汉标、冯浩、吴军里、李浩杰。</w:t>
      </w:r>
    </w:p>
    <w:p w:rsidR="0089233A" w:rsidRDefault="0089233A">
      <w:pPr>
        <w:pStyle w:val="aff0"/>
        <w:spacing w:line="500" w:lineRule="exact"/>
        <w:ind w:firstLine="600"/>
        <w:rPr>
          <w:rFonts w:ascii="Times New Roman" w:hint="eastAsia"/>
          <w:sz w:val="30"/>
        </w:rPr>
      </w:pPr>
      <w:r>
        <w:rPr>
          <w:rFonts w:ascii="Times New Roman"/>
          <w:sz w:val="30"/>
        </w:rPr>
        <w:t>本标准为首次发布。</w:t>
      </w:r>
    </w:p>
    <w:p w:rsidR="0089233A" w:rsidRDefault="0089233A">
      <w:pPr>
        <w:pStyle w:val="afff1"/>
        <w:spacing w:before="400" w:after="600" w:line="240" w:lineRule="auto"/>
        <w:rPr>
          <w:rFonts w:ascii="宋体" w:eastAsia="宋体" w:hint="eastAsia"/>
          <w:b/>
          <w:bCs/>
          <w:sz w:val="36"/>
        </w:rPr>
      </w:pPr>
      <w:r>
        <w:rPr>
          <w:rFonts w:ascii="Times New Roman"/>
        </w:rPr>
        <w:br w:type="page"/>
      </w:r>
      <w:bookmarkStart w:id="3" w:name="SectionMark4"/>
      <w:r>
        <w:rPr>
          <w:rFonts w:ascii="宋体" w:eastAsia="宋体" w:hint="eastAsia"/>
          <w:b/>
          <w:bCs/>
          <w:sz w:val="36"/>
        </w:rPr>
        <w:t>氮气气调储粮智能控制技术规程</w:t>
      </w:r>
    </w:p>
    <w:p w:rsidR="0089233A" w:rsidRDefault="0089233A">
      <w:pPr>
        <w:pStyle w:val="aa"/>
        <w:spacing w:beforeLines="0" w:before="0" w:afterLines="0" w:after="0" w:line="560" w:lineRule="exact"/>
        <w:ind w:left="0"/>
        <w:rPr>
          <w:rFonts w:hint="eastAsia"/>
          <w:sz w:val="30"/>
        </w:rPr>
      </w:pPr>
      <w:r>
        <w:rPr>
          <w:rFonts w:hint="eastAsia"/>
          <w:sz w:val="30"/>
        </w:rPr>
        <w:t>范围</w:t>
      </w:r>
    </w:p>
    <w:p w:rsidR="0089233A" w:rsidRDefault="0089233A">
      <w:pPr>
        <w:pStyle w:val="aff0"/>
        <w:spacing w:line="560" w:lineRule="exact"/>
        <w:ind w:firstLine="600"/>
        <w:rPr>
          <w:rFonts w:ascii="Times New Roman" w:hint="eastAsia"/>
          <w:sz w:val="30"/>
        </w:rPr>
      </w:pPr>
      <w:r>
        <w:rPr>
          <w:rFonts w:ascii="Times New Roman"/>
          <w:noProof w:val="0"/>
          <w:sz w:val="30"/>
        </w:rPr>
        <w:t>本标准规定了</w:t>
      </w:r>
      <w:r>
        <w:rPr>
          <w:rFonts w:ascii="Times New Roman" w:hint="eastAsia"/>
          <w:sz w:val="30"/>
        </w:rPr>
        <w:t>氮气</w:t>
      </w:r>
      <w:r>
        <w:rPr>
          <w:rFonts w:ascii="Times New Roman"/>
          <w:sz w:val="30"/>
        </w:rPr>
        <w:t>气调</w:t>
      </w:r>
      <w:r>
        <w:rPr>
          <w:rFonts w:ascii="Times New Roman" w:hint="eastAsia"/>
          <w:sz w:val="30"/>
        </w:rPr>
        <w:t>储粮智能控制系统</w:t>
      </w:r>
      <w:r>
        <w:rPr>
          <w:rFonts w:ascii="Times New Roman"/>
          <w:sz w:val="30"/>
        </w:rPr>
        <w:t>的术语和定义、</w:t>
      </w:r>
      <w:r>
        <w:rPr>
          <w:rFonts w:ascii="Times New Roman" w:hint="eastAsia"/>
          <w:sz w:val="30"/>
        </w:rPr>
        <w:t>系统组成、测控软件及功能要求、供排气管网、氮气浓度检测、计算机通讯</w:t>
      </w:r>
      <w:r>
        <w:rPr>
          <w:rFonts w:ascii="Times New Roman"/>
          <w:sz w:val="30"/>
        </w:rPr>
        <w:t>等内容。</w:t>
      </w:r>
    </w:p>
    <w:p w:rsidR="0089233A" w:rsidRDefault="0089233A">
      <w:pPr>
        <w:pStyle w:val="aff0"/>
        <w:spacing w:line="560" w:lineRule="exact"/>
        <w:ind w:firstLine="600"/>
        <w:rPr>
          <w:rFonts w:ascii="Times New Roman" w:hint="eastAsia"/>
          <w:sz w:val="30"/>
        </w:rPr>
      </w:pPr>
      <w:r>
        <w:rPr>
          <w:rFonts w:ascii="Times New Roman"/>
          <w:sz w:val="30"/>
        </w:rPr>
        <w:t>本标准适用于平房仓</w:t>
      </w:r>
      <w:r>
        <w:rPr>
          <w:rFonts w:ascii="Times New Roman" w:hint="eastAsia"/>
          <w:sz w:val="30"/>
        </w:rPr>
        <w:t>、</w:t>
      </w:r>
      <w:r>
        <w:rPr>
          <w:rFonts w:ascii="Times New Roman"/>
          <w:sz w:val="30"/>
        </w:rPr>
        <w:t>浅圆仓</w:t>
      </w:r>
      <w:r>
        <w:rPr>
          <w:rFonts w:ascii="Times New Roman" w:hint="eastAsia"/>
          <w:sz w:val="30"/>
        </w:rPr>
        <w:t>氮气</w:t>
      </w:r>
      <w:r>
        <w:rPr>
          <w:rFonts w:ascii="Times New Roman"/>
          <w:sz w:val="30"/>
        </w:rPr>
        <w:t>气调</w:t>
      </w:r>
      <w:r>
        <w:rPr>
          <w:rFonts w:ascii="Times New Roman" w:hint="eastAsia"/>
          <w:sz w:val="30"/>
        </w:rPr>
        <w:t>储粮作业的自动控制</w:t>
      </w:r>
      <w:r>
        <w:rPr>
          <w:rFonts w:ascii="Times New Roman"/>
          <w:sz w:val="30"/>
        </w:rPr>
        <w:t>。</w:t>
      </w:r>
    </w:p>
    <w:p w:rsidR="0089233A" w:rsidRDefault="0089233A">
      <w:pPr>
        <w:pStyle w:val="aa"/>
        <w:spacing w:beforeLines="0" w:before="0" w:afterLines="0" w:after="0" w:line="560" w:lineRule="exact"/>
        <w:ind w:left="0"/>
        <w:rPr>
          <w:rFonts w:hint="eastAsia"/>
          <w:sz w:val="30"/>
        </w:rPr>
      </w:pPr>
      <w:r>
        <w:rPr>
          <w:rFonts w:hint="eastAsia"/>
          <w:sz w:val="30"/>
        </w:rPr>
        <w:t>规范性引用文件</w:t>
      </w:r>
    </w:p>
    <w:p w:rsidR="0089233A" w:rsidRDefault="0089233A">
      <w:pPr>
        <w:pStyle w:val="aff0"/>
        <w:spacing w:line="560" w:lineRule="exact"/>
        <w:ind w:firstLine="600"/>
        <w:rPr>
          <w:rFonts w:hint="eastAsia"/>
          <w:sz w:val="30"/>
        </w:rPr>
      </w:pPr>
      <w:r>
        <w:rPr>
          <w:rFonts w:hint="eastAsia"/>
          <w:sz w:val="30"/>
        </w:rPr>
        <w:t>下列文件中的条款通过本标准的引用而成为本标准的条款。</w:t>
      </w:r>
    </w:p>
    <w:p w:rsidR="0089233A" w:rsidRDefault="0089233A">
      <w:pPr>
        <w:pStyle w:val="aff0"/>
        <w:spacing w:line="560" w:lineRule="exact"/>
        <w:ind w:firstLine="600"/>
        <w:rPr>
          <w:rFonts w:hint="eastAsia"/>
          <w:sz w:val="30"/>
        </w:rPr>
      </w:pPr>
      <w:r>
        <w:rPr>
          <w:sz w:val="30"/>
        </w:rPr>
        <w:t>GB/T 4793.1</w:t>
      </w:r>
      <w:r>
        <w:rPr>
          <w:rFonts w:hint="eastAsia"/>
          <w:sz w:val="30"/>
        </w:rPr>
        <w:t xml:space="preserve">  测量､控制和试验室用电气设备的安全要求</w:t>
      </w:r>
    </w:p>
    <w:p w:rsidR="0089233A" w:rsidRDefault="0089233A">
      <w:pPr>
        <w:pStyle w:val="aff0"/>
        <w:spacing w:line="560" w:lineRule="exact"/>
        <w:ind w:firstLine="600"/>
        <w:rPr>
          <w:rFonts w:hint="eastAsia"/>
          <w:sz w:val="30"/>
        </w:rPr>
      </w:pPr>
      <w:r>
        <w:rPr>
          <w:sz w:val="30"/>
        </w:rPr>
        <w:t>Q/ZCL T8</w:t>
      </w:r>
      <w:r>
        <w:rPr>
          <w:rFonts w:hint="eastAsia"/>
          <w:sz w:val="30"/>
        </w:rPr>
        <w:t>-</w:t>
      </w:r>
      <w:r>
        <w:rPr>
          <w:sz w:val="30"/>
        </w:rPr>
        <w:t>2009 氮气气调储粮技术规程</w:t>
      </w:r>
    </w:p>
    <w:p w:rsidR="0089233A" w:rsidRDefault="0089233A">
      <w:pPr>
        <w:pStyle w:val="aff0"/>
        <w:spacing w:line="560" w:lineRule="exact"/>
        <w:ind w:firstLine="600"/>
        <w:rPr>
          <w:rFonts w:hint="eastAsia"/>
          <w:sz w:val="30"/>
        </w:rPr>
      </w:pPr>
      <w:r>
        <w:rPr>
          <w:sz w:val="30"/>
        </w:rPr>
        <w:t>Q/ZCL T</w:t>
      </w:r>
      <w:r>
        <w:rPr>
          <w:rFonts w:hint="eastAsia"/>
          <w:sz w:val="30"/>
        </w:rPr>
        <w:t>9-</w:t>
      </w:r>
      <w:r>
        <w:rPr>
          <w:sz w:val="30"/>
        </w:rPr>
        <w:t>20</w:t>
      </w:r>
      <w:r>
        <w:rPr>
          <w:rFonts w:hint="eastAsia"/>
          <w:sz w:val="30"/>
        </w:rPr>
        <w:t>11氮气气调储粮工程设计规范（试行）</w:t>
      </w:r>
    </w:p>
    <w:p w:rsidR="0089233A" w:rsidRDefault="0089233A">
      <w:pPr>
        <w:pStyle w:val="aa"/>
        <w:spacing w:beforeLines="0" w:before="0" w:afterLines="0" w:after="0" w:line="560" w:lineRule="exact"/>
        <w:ind w:left="0"/>
        <w:rPr>
          <w:sz w:val="30"/>
        </w:rPr>
      </w:pPr>
      <w:bookmarkStart w:id="4" w:name="_Toc218413556"/>
      <w:bookmarkStart w:id="5" w:name="_Toc228695609"/>
      <w:bookmarkStart w:id="6" w:name="_Toc234918382"/>
      <w:r>
        <w:rPr>
          <w:rFonts w:ascii="Times New Roman"/>
          <w:sz w:val="30"/>
        </w:rPr>
        <w:t>术语和定义</w:t>
      </w:r>
      <w:bookmarkEnd w:id="4"/>
      <w:bookmarkEnd w:id="5"/>
      <w:bookmarkEnd w:id="6"/>
    </w:p>
    <w:bookmarkEnd w:id="3"/>
    <w:p w:rsidR="0089233A" w:rsidRDefault="0089233A">
      <w:pPr>
        <w:pStyle w:val="aff0"/>
        <w:spacing w:line="560" w:lineRule="exact"/>
        <w:ind w:firstLine="600"/>
        <w:rPr>
          <w:rFonts w:ascii="Times New Roman" w:hint="eastAsia"/>
          <w:sz w:val="30"/>
        </w:rPr>
      </w:pPr>
      <w:r>
        <w:rPr>
          <w:rFonts w:ascii="Times New Roman"/>
          <w:sz w:val="30"/>
        </w:rPr>
        <w:t>下列术语和定义适用于本标准。</w:t>
      </w:r>
    </w:p>
    <w:p w:rsidR="0089233A" w:rsidRDefault="0089233A">
      <w:pPr>
        <w:pStyle w:val="ab"/>
        <w:spacing w:line="560" w:lineRule="exact"/>
        <w:ind w:left="0"/>
        <w:rPr>
          <w:color w:val="000000"/>
          <w:sz w:val="30"/>
        </w:rPr>
      </w:pPr>
      <w:r>
        <w:rPr>
          <w:rFonts w:hint="eastAsia"/>
          <w:color w:val="000000"/>
          <w:sz w:val="30"/>
        </w:rPr>
        <w:t>智能控制软件</w:t>
      </w:r>
    </w:p>
    <w:p w:rsidR="0089233A" w:rsidRDefault="0089233A">
      <w:pPr>
        <w:pStyle w:val="aff0"/>
        <w:spacing w:line="560" w:lineRule="exact"/>
        <w:ind w:firstLine="600"/>
        <w:rPr>
          <w:rFonts w:hAnsi="宋体" w:hint="eastAsia"/>
          <w:noProof w:val="0"/>
          <w:sz w:val="30"/>
        </w:rPr>
      </w:pPr>
      <w:r>
        <w:rPr>
          <w:rFonts w:hAnsi="宋体" w:hint="eastAsia"/>
          <w:noProof w:val="0"/>
          <w:sz w:val="30"/>
        </w:rPr>
        <w:t>为实现</w:t>
      </w:r>
      <w:r>
        <w:rPr>
          <w:rFonts w:ascii="Times New Roman" w:hint="eastAsia"/>
          <w:sz w:val="30"/>
        </w:rPr>
        <w:t>氮气</w:t>
      </w:r>
      <w:r>
        <w:rPr>
          <w:rFonts w:ascii="Times New Roman"/>
          <w:sz w:val="30"/>
        </w:rPr>
        <w:t>气调</w:t>
      </w:r>
      <w:r>
        <w:rPr>
          <w:rFonts w:ascii="Times New Roman" w:hint="eastAsia"/>
          <w:sz w:val="30"/>
        </w:rPr>
        <w:t>作业</w:t>
      </w:r>
      <w:r>
        <w:rPr>
          <w:rFonts w:hAnsi="宋体" w:hint="eastAsia"/>
          <w:noProof w:val="0"/>
          <w:sz w:val="30"/>
        </w:rPr>
        <w:t>的信号检测和分析、参数设置、设备控制、数据存储与传输、故障报警等功能而编写的所有程序、流程、规则和相关文档的集合。</w:t>
      </w:r>
    </w:p>
    <w:p w:rsidR="0089233A" w:rsidRDefault="0089233A">
      <w:pPr>
        <w:pStyle w:val="ab"/>
        <w:spacing w:line="560" w:lineRule="exact"/>
        <w:ind w:left="0"/>
        <w:rPr>
          <w:color w:val="000000"/>
          <w:sz w:val="30"/>
        </w:rPr>
      </w:pPr>
      <w:r>
        <w:rPr>
          <w:rFonts w:hint="eastAsia"/>
          <w:color w:val="000000"/>
          <w:sz w:val="30"/>
        </w:rPr>
        <w:t>采集模块</w:t>
      </w:r>
    </w:p>
    <w:p w:rsidR="0089233A" w:rsidRDefault="0089233A">
      <w:pPr>
        <w:pStyle w:val="aff0"/>
        <w:spacing w:line="560" w:lineRule="exact"/>
        <w:ind w:firstLine="600"/>
        <w:rPr>
          <w:rFonts w:hint="eastAsia"/>
          <w:sz w:val="30"/>
        </w:rPr>
      </w:pPr>
      <w:r>
        <w:rPr>
          <w:rFonts w:hint="eastAsia"/>
          <w:sz w:val="30"/>
        </w:rPr>
        <w:t>具有根据主机指令检测仓内氮气浓度、气体压力，以及制氮机产气量、成品气浓度等数据的集成电路装置。</w:t>
      </w:r>
    </w:p>
    <w:p w:rsidR="0089233A" w:rsidRDefault="0089233A">
      <w:pPr>
        <w:pStyle w:val="ab"/>
        <w:spacing w:line="560" w:lineRule="exact"/>
        <w:ind w:left="0"/>
        <w:rPr>
          <w:color w:val="000000"/>
          <w:sz w:val="30"/>
        </w:rPr>
      </w:pPr>
      <w:r>
        <w:rPr>
          <w:rFonts w:hint="eastAsia"/>
          <w:color w:val="000000"/>
          <w:sz w:val="30"/>
        </w:rPr>
        <w:t>控制模块</w:t>
      </w:r>
    </w:p>
    <w:p w:rsidR="0089233A" w:rsidRDefault="0089233A">
      <w:pPr>
        <w:pStyle w:val="aff0"/>
        <w:spacing w:line="560" w:lineRule="exact"/>
        <w:ind w:firstLine="600"/>
        <w:rPr>
          <w:rFonts w:hint="eastAsia"/>
          <w:sz w:val="30"/>
        </w:rPr>
      </w:pPr>
      <w:r>
        <w:rPr>
          <w:rFonts w:hint="eastAsia"/>
          <w:sz w:val="30"/>
        </w:rPr>
        <w:t>接收计算机经测控主机转换后的控制信号，控制相关设备的动作，并将设备工作状态反馈至计算机的集成电路装置</w:t>
      </w:r>
      <w:r>
        <w:rPr>
          <w:sz w:val="30"/>
        </w:rPr>
        <w:t>。</w:t>
      </w:r>
    </w:p>
    <w:p w:rsidR="0089233A" w:rsidRDefault="0089233A">
      <w:pPr>
        <w:pStyle w:val="ab"/>
        <w:spacing w:line="560" w:lineRule="exact"/>
        <w:ind w:left="0"/>
        <w:rPr>
          <w:rFonts w:hint="eastAsia"/>
          <w:color w:val="000000"/>
          <w:sz w:val="30"/>
        </w:rPr>
      </w:pPr>
      <w:r>
        <w:rPr>
          <w:rFonts w:hint="eastAsia"/>
          <w:color w:val="000000"/>
          <w:sz w:val="30"/>
        </w:rPr>
        <w:t>强排风机</w:t>
      </w:r>
    </w:p>
    <w:p w:rsidR="0089233A" w:rsidRDefault="0089233A">
      <w:pPr>
        <w:pStyle w:val="aff0"/>
        <w:spacing w:line="560" w:lineRule="exact"/>
        <w:ind w:firstLine="600"/>
        <w:rPr>
          <w:rFonts w:hint="eastAsia"/>
          <w:sz w:val="30"/>
        </w:rPr>
      </w:pPr>
      <w:r>
        <w:rPr>
          <w:rFonts w:hint="eastAsia"/>
          <w:sz w:val="30"/>
        </w:rPr>
        <w:t>实现粮堆内低浓度氮气快速抽出的风机。</w:t>
      </w:r>
    </w:p>
    <w:p w:rsidR="0089233A" w:rsidRDefault="0089233A">
      <w:pPr>
        <w:pStyle w:val="ab"/>
        <w:spacing w:line="560" w:lineRule="exact"/>
        <w:ind w:left="0"/>
        <w:rPr>
          <w:color w:val="000000"/>
          <w:sz w:val="30"/>
        </w:rPr>
      </w:pPr>
      <w:r>
        <w:rPr>
          <w:rFonts w:hint="eastAsia"/>
          <w:color w:val="000000"/>
          <w:sz w:val="30"/>
        </w:rPr>
        <w:t>智能控制硬件</w:t>
      </w:r>
    </w:p>
    <w:p w:rsidR="0089233A" w:rsidRDefault="0089233A">
      <w:pPr>
        <w:pStyle w:val="aff0"/>
        <w:spacing w:line="560" w:lineRule="exact"/>
        <w:ind w:firstLine="600"/>
        <w:rPr>
          <w:rFonts w:hint="eastAsia"/>
          <w:sz w:val="30"/>
        </w:rPr>
      </w:pPr>
      <w:r>
        <w:rPr>
          <w:rFonts w:hint="eastAsia"/>
          <w:sz w:val="30"/>
        </w:rPr>
        <w:t>由计算机、控制电柜、电动阀门、氮氧分析仪、强排风机、气体取样管路、通讯设备等组成。</w:t>
      </w:r>
    </w:p>
    <w:p w:rsidR="0089233A" w:rsidRDefault="0089233A">
      <w:pPr>
        <w:pStyle w:val="aa"/>
        <w:spacing w:beforeLines="0" w:before="0" w:afterLines="0" w:after="0" w:line="560" w:lineRule="exact"/>
        <w:ind w:left="0"/>
        <w:rPr>
          <w:rFonts w:ascii="Times New Roman" w:hint="eastAsia"/>
          <w:sz w:val="30"/>
        </w:rPr>
      </w:pPr>
      <w:r>
        <w:rPr>
          <w:rFonts w:ascii="Times New Roman" w:hint="eastAsia"/>
          <w:sz w:val="30"/>
        </w:rPr>
        <w:t>系统组成</w:t>
      </w:r>
    </w:p>
    <w:p w:rsidR="0089233A" w:rsidRDefault="0089233A">
      <w:pPr>
        <w:pStyle w:val="aff0"/>
        <w:spacing w:line="560" w:lineRule="exact"/>
        <w:ind w:firstLine="600"/>
        <w:rPr>
          <w:rFonts w:hint="eastAsia"/>
          <w:sz w:val="30"/>
        </w:rPr>
      </w:pPr>
      <w:r>
        <w:rPr>
          <w:rFonts w:hint="eastAsia"/>
          <w:sz w:val="30"/>
        </w:rPr>
        <w:t>系统主要由测控软件、供排气控制子系统和氮气浓度检测子系统等组成。</w:t>
      </w:r>
      <w:bookmarkStart w:id="7" w:name="_Toc207358451"/>
    </w:p>
    <w:p w:rsidR="0089233A" w:rsidRDefault="0089233A">
      <w:pPr>
        <w:pStyle w:val="aa"/>
        <w:spacing w:beforeLines="0" w:before="0" w:afterLines="0" w:after="0" w:line="560" w:lineRule="exact"/>
        <w:ind w:left="0"/>
        <w:rPr>
          <w:rFonts w:ascii="Times New Roman" w:hint="eastAsia"/>
          <w:sz w:val="30"/>
        </w:rPr>
      </w:pPr>
      <w:r>
        <w:rPr>
          <w:rFonts w:ascii="Times New Roman" w:hint="eastAsia"/>
          <w:sz w:val="30"/>
        </w:rPr>
        <w:t>测控软件及功能要求</w:t>
      </w:r>
      <w:bookmarkEnd w:id="7"/>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支持</w:t>
      </w:r>
      <w:r>
        <w:rPr>
          <w:rFonts w:ascii="宋体" w:eastAsia="宋体"/>
          <w:noProof/>
          <w:sz w:val="30"/>
        </w:rPr>
        <w:t>W</w:t>
      </w:r>
      <w:r>
        <w:rPr>
          <w:rFonts w:ascii="宋体" w:eastAsia="宋体" w:hint="eastAsia"/>
          <w:noProof/>
          <w:sz w:val="30"/>
        </w:rPr>
        <w:t>indows XP及以上版本的计算机操作系统。</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支持SQL Server\Oracle\DB2等数据库系统。</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具备手动计算机远程控制功能。</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具备根据作业目的和作业条件，计算机自动控制相关设备的功能。</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具备获得设备实时运行状态的功能。</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具备分时检测不同仓房粮堆不同位置氮气浓度的功能。</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作业条件应参数化设计。</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具备数据显示、存储、备份、查询、打印功能。</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具备统计和分析充氮时间、充氮体积、单位能耗功能。</w:t>
      </w:r>
    </w:p>
    <w:p w:rsidR="0089233A" w:rsidRDefault="0089233A">
      <w:pPr>
        <w:pStyle w:val="ab"/>
        <w:spacing w:line="560" w:lineRule="exact"/>
        <w:ind w:left="0"/>
        <w:rPr>
          <w:rFonts w:hint="eastAsia"/>
          <w:color w:val="000000"/>
          <w:sz w:val="30"/>
        </w:rPr>
      </w:pPr>
      <w:r>
        <w:rPr>
          <w:rFonts w:ascii="宋体" w:eastAsia="宋体" w:hint="eastAsia"/>
          <w:noProof/>
          <w:sz w:val="30"/>
        </w:rPr>
        <w:t>具备作业过程短信提示、系统故障短信报警及紧急停机功能。</w:t>
      </w:r>
    </w:p>
    <w:p w:rsidR="0089233A" w:rsidRDefault="0089233A">
      <w:pPr>
        <w:pStyle w:val="aa"/>
        <w:spacing w:beforeLines="0" w:before="0" w:afterLines="0" w:after="0" w:line="560" w:lineRule="exact"/>
        <w:ind w:left="0"/>
        <w:rPr>
          <w:rFonts w:ascii="Times New Roman" w:hint="eastAsia"/>
          <w:sz w:val="30"/>
        </w:rPr>
      </w:pPr>
      <w:r>
        <w:rPr>
          <w:rFonts w:ascii="Times New Roman" w:hint="eastAsia"/>
          <w:sz w:val="30"/>
        </w:rPr>
        <w:t>供排气控制子系统</w:t>
      </w:r>
    </w:p>
    <w:p w:rsidR="0089233A" w:rsidRDefault="0089233A">
      <w:pPr>
        <w:pStyle w:val="ab"/>
        <w:spacing w:line="560" w:lineRule="exact"/>
        <w:ind w:left="0"/>
        <w:rPr>
          <w:rFonts w:hint="eastAsia"/>
          <w:color w:val="000000"/>
          <w:sz w:val="30"/>
        </w:rPr>
      </w:pPr>
      <w:r>
        <w:rPr>
          <w:rFonts w:hint="eastAsia"/>
          <w:color w:val="000000"/>
          <w:sz w:val="30"/>
        </w:rPr>
        <w:t>供气管网</w:t>
      </w:r>
    </w:p>
    <w:p w:rsidR="0089233A" w:rsidRDefault="0089233A">
      <w:pPr>
        <w:pStyle w:val="ab"/>
        <w:numPr>
          <w:ilvl w:val="0"/>
          <w:numId w:val="0"/>
        </w:numPr>
        <w:spacing w:line="560" w:lineRule="exact"/>
        <w:ind w:firstLineChars="200" w:firstLine="600"/>
        <w:rPr>
          <w:rFonts w:ascii="宋体" w:eastAsia="宋体" w:hint="eastAsia"/>
          <w:noProof/>
          <w:sz w:val="30"/>
        </w:rPr>
      </w:pPr>
      <w:r>
        <w:rPr>
          <w:rFonts w:ascii="宋体" w:eastAsia="宋体" w:hint="eastAsia"/>
          <w:noProof/>
          <w:sz w:val="30"/>
        </w:rPr>
        <w:t>供气管网应符合</w:t>
      </w:r>
      <w:r>
        <w:rPr>
          <w:rFonts w:ascii="宋体" w:eastAsia="宋体"/>
          <w:noProof/>
          <w:sz w:val="30"/>
        </w:rPr>
        <w:t>Q/ZCL T</w:t>
      </w:r>
      <w:r>
        <w:rPr>
          <w:rFonts w:ascii="宋体" w:eastAsia="宋体" w:hint="eastAsia"/>
          <w:noProof/>
          <w:sz w:val="30"/>
        </w:rPr>
        <w:t>9的要求。</w:t>
      </w:r>
    </w:p>
    <w:p w:rsidR="0089233A" w:rsidRDefault="0089233A">
      <w:pPr>
        <w:pStyle w:val="ab"/>
        <w:numPr>
          <w:ilvl w:val="0"/>
          <w:numId w:val="0"/>
        </w:numPr>
        <w:spacing w:line="560" w:lineRule="exact"/>
        <w:ind w:firstLineChars="200" w:firstLine="600"/>
        <w:rPr>
          <w:rFonts w:ascii="宋体" w:eastAsia="宋体" w:hint="eastAsia"/>
          <w:noProof/>
          <w:sz w:val="30"/>
        </w:rPr>
      </w:pPr>
      <w:r>
        <w:rPr>
          <w:rFonts w:ascii="宋体" w:eastAsia="宋体" w:hint="eastAsia"/>
          <w:noProof/>
          <w:sz w:val="30"/>
        </w:rPr>
        <w:t>主供气阀门应采用不锈钢电动球阀，通孔直径同主供气管道的内径，每廒间至少一个。</w:t>
      </w:r>
    </w:p>
    <w:p w:rsidR="0089233A" w:rsidRDefault="0089233A">
      <w:pPr>
        <w:pStyle w:val="ab"/>
        <w:numPr>
          <w:ilvl w:val="0"/>
          <w:numId w:val="0"/>
        </w:numPr>
        <w:spacing w:line="560" w:lineRule="exact"/>
        <w:ind w:firstLineChars="200" w:firstLine="600"/>
        <w:rPr>
          <w:rFonts w:ascii="宋体" w:eastAsia="宋体" w:hint="eastAsia"/>
          <w:noProof/>
          <w:sz w:val="30"/>
        </w:rPr>
      </w:pPr>
      <w:r>
        <w:rPr>
          <w:rFonts w:ascii="宋体" w:eastAsia="宋体" w:hint="eastAsia"/>
          <w:noProof/>
          <w:sz w:val="30"/>
        </w:rPr>
        <w:t>排气阀门采用不锈钢电动阀门，通孔直径与强排风机进风口一致，每排气口一个。</w:t>
      </w:r>
    </w:p>
    <w:p w:rsidR="0089233A" w:rsidRDefault="0089233A">
      <w:pPr>
        <w:pStyle w:val="ab"/>
        <w:numPr>
          <w:ilvl w:val="0"/>
          <w:numId w:val="0"/>
        </w:numPr>
        <w:spacing w:line="560" w:lineRule="exact"/>
        <w:ind w:firstLineChars="200" w:firstLine="600"/>
        <w:rPr>
          <w:rFonts w:ascii="宋体" w:eastAsia="宋体" w:hint="eastAsia"/>
          <w:noProof/>
          <w:sz w:val="30"/>
        </w:rPr>
      </w:pPr>
      <w:r>
        <w:rPr>
          <w:rFonts w:ascii="宋体" w:eastAsia="宋体" w:hint="eastAsia"/>
          <w:noProof/>
          <w:sz w:val="30"/>
        </w:rPr>
        <w:t>浅圆仓排气阀门可将磷化氢环流管道上的手动阀门改造为不锈钢电动阀门。</w:t>
      </w:r>
    </w:p>
    <w:p w:rsidR="0089233A" w:rsidRDefault="0089233A">
      <w:pPr>
        <w:pStyle w:val="ab"/>
        <w:numPr>
          <w:ilvl w:val="0"/>
          <w:numId w:val="0"/>
        </w:numPr>
        <w:spacing w:line="560" w:lineRule="exact"/>
        <w:ind w:firstLineChars="200" w:firstLine="600"/>
        <w:rPr>
          <w:rFonts w:ascii="宋体" w:eastAsia="宋体" w:hint="eastAsia"/>
          <w:noProof/>
          <w:sz w:val="30"/>
        </w:rPr>
      </w:pPr>
      <w:r>
        <w:rPr>
          <w:rFonts w:ascii="宋体" w:eastAsia="宋体" w:hint="eastAsia"/>
          <w:noProof/>
          <w:sz w:val="30"/>
        </w:rPr>
        <w:t>平房仓每个排气口新安装一台强排风机；浅圆仓的强排风机可利用原有的环流风机改造。</w:t>
      </w:r>
    </w:p>
    <w:p w:rsidR="0089233A" w:rsidRDefault="0089233A">
      <w:pPr>
        <w:pStyle w:val="ab"/>
        <w:spacing w:line="560" w:lineRule="exact"/>
        <w:ind w:left="0"/>
        <w:rPr>
          <w:rFonts w:hint="eastAsia"/>
          <w:color w:val="000000"/>
          <w:sz w:val="30"/>
        </w:rPr>
      </w:pPr>
      <w:r>
        <w:rPr>
          <w:rFonts w:hint="eastAsia"/>
          <w:color w:val="000000"/>
          <w:sz w:val="30"/>
        </w:rPr>
        <w:t>制氮设备控制柜</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制氮设备应符合</w:t>
      </w:r>
      <w:r>
        <w:rPr>
          <w:rFonts w:ascii="宋体" w:eastAsia="宋体" w:hAnsi="宋体"/>
          <w:noProof/>
          <w:sz w:val="30"/>
        </w:rPr>
        <w:t>Q/ZCL T</w:t>
      </w:r>
      <w:r>
        <w:rPr>
          <w:rFonts w:ascii="宋体" w:eastAsia="宋体" w:hAnsi="宋体" w:hint="eastAsia"/>
          <w:noProof/>
          <w:sz w:val="30"/>
        </w:rPr>
        <w:t>9的要求。</w:t>
      </w:r>
    </w:p>
    <w:p w:rsidR="0089233A" w:rsidRDefault="0089233A">
      <w:pPr>
        <w:pStyle w:val="ac"/>
        <w:tabs>
          <w:tab w:val="left" w:pos="0"/>
        </w:tabs>
        <w:spacing w:line="560" w:lineRule="exact"/>
        <w:ind w:left="0"/>
        <w:rPr>
          <w:rFonts w:ascii="宋体" w:eastAsia="宋体" w:hAnsi="宋体" w:hint="eastAsia"/>
          <w:noProof/>
          <w:sz w:val="30"/>
        </w:rPr>
      </w:pPr>
      <w:r>
        <w:rPr>
          <w:rFonts w:ascii="宋体" w:eastAsia="宋体" w:hAnsi="宋体" w:hint="eastAsia"/>
          <w:noProof/>
          <w:sz w:val="30"/>
        </w:rPr>
        <w:t>制氮设备应按标准协议要求提供数据访问与设备控制接口。</w:t>
      </w:r>
    </w:p>
    <w:p w:rsidR="0089233A" w:rsidRDefault="0089233A">
      <w:pPr>
        <w:pStyle w:val="ac"/>
        <w:tabs>
          <w:tab w:val="left" w:pos="0"/>
        </w:tabs>
        <w:spacing w:line="560" w:lineRule="exact"/>
        <w:ind w:left="0"/>
        <w:rPr>
          <w:rFonts w:ascii="宋体" w:eastAsia="宋体" w:hAnsi="宋体" w:hint="eastAsia"/>
          <w:noProof/>
          <w:sz w:val="30"/>
        </w:rPr>
      </w:pPr>
      <w:r>
        <w:rPr>
          <w:rFonts w:ascii="宋体" w:eastAsia="宋体" w:hAnsi="宋体" w:hint="eastAsia"/>
          <w:noProof/>
          <w:sz w:val="30"/>
        </w:rPr>
        <w:t>具备远程启动控制功能，但作业中应采用现场启动以防异常情况及时处理。</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充氮作业结束，可采用计算机远程自动关闭制氮设备，停机后应及时现场核实设备关闭情况，关闭配电柜主供电电源。</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控制面板应具备电源及信号指示灯。</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控制模块</w:t>
      </w:r>
    </w:p>
    <w:p w:rsidR="0089233A" w:rsidRDefault="0089233A">
      <w:pPr>
        <w:pStyle w:val="ad"/>
        <w:spacing w:line="560" w:lineRule="exact"/>
        <w:rPr>
          <w:rFonts w:ascii="宋体" w:eastAsia="宋体" w:hAnsi="宋体" w:hint="eastAsia"/>
          <w:noProof/>
          <w:sz w:val="30"/>
        </w:rPr>
      </w:pPr>
      <w:r>
        <w:rPr>
          <w:rFonts w:ascii="宋体" w:eastAsia="宋体" w:hAnsi="宋体" w:hint="eastAsia"/>
          <w:noProof/>
          <w:sz w:val="30"/>
        </w:rPr>
        <w:t>输出响应时间≤1 s。</w:t>
      </w:r>
    </w:p>
    <w:p w:rsidR="0089233A" w:rsidRDefault="0089233A">
      <w:pPr>
        <w:pStyle w:val="ad"/>
        <w:spacing w:line="560" w:lineRule="exact"/>
        <w:rPr>
          <w:rFonts w:ascii="宋体" w:eastAsia="宋体" w:hAnsi="宋体" w:hint="eastAsia"/>
          <w:noProof/>
          <w:sz w:val="30"/>
        </w:rPr>
      </w:pPr>
      <w:r>
        <w:rPr>
          <w:rFonts w:ascii="宋体" w:eastAsia="宋体" w:hAnsi="宋体" w:hint="eastAsia"/>
          <w:noProof/>
          <w:sz w:val="30"/>
        </w:rPr>
        <w:t>输入响应时间≤1 s。</w:t>
      </w:r>
    </w:p>
    <w:p w:rsidR="0089233A" w:rsidRDefault="0089233A">
      <w:pPr>
        <w:pStyle w:val="ad"/>
        <w:spacing w:line="560" w:lineRule="exact"/>
        <w:rPr>
          <w:rFonts w:ascii="宋体" w:eastAsia="宋体" w:hAnsi="宋体" w:hint="eastAsia"/>
          <w:noProof/>
          <w:sz w:val="30"/>
        </w:rPr>
      </w:pPr>
      <w:r>
        <w:rPr>
          <w:rFonts w:ascii="宋体" w:eastAsia="宋体" w:hAnsi="宋体" w:hint="eastAsia"/>
          <w:noProof/>
          <w:sz w:val="30"/>
        </w:rPr>
        <w:t>输出输入点数满足控制需要。</w:t>
      </w:r>
    </w:p>
    <w:p w:rsidR="0089233A" w:rsidRDefault="0089233A">
      <w:pPr>
        <w:pStyle w:val="ad"/>
        <w:spacing w:line="560" w:lineRule="exact"/>
        <w:rPr>
          <w:rFonts w:ascii="宋体" w:eastAsia="宋体" w:hAnsi="宋体" w:hint="eastAsia"/>
          <w:noProof/>
          <w:sz w:val="30"/>
        </w:rPr>
      </w:pPr>
      <w:r>
        <w:rPr>
          <w:rFonts w:ascii="宋体" w:eastAsia="宋体" w:hAnsi="宋体" w:hint="eastAsia"/>
          <w:noProof/>
          <w:sz w:val="30"/>
        </w:rPr>
        <w:t>采用有线通讯或无线通讯。</w:t>
      </w:r>
    </w:p>
    <w:p w:rsidR="0089233A" w:rsidRDefault="0089233A">
      <w:pPr>
        <w:pStyle w:val="ad"/>
        <w:spacing w:line="560" w:lineRule="exact"/>
        <w:rPr>
          <w:rFonts w:ascii="宋体" w:eastAsia="宋体" w:hAnsi="宋体" w:hint="eastAsia"/>
          <w:noProof/>
          <w:sz w:val="30"/>
        </w:rPr>
      </w:pPr>
      <w:r>
        <w:rPr>
          <w:rFonts w:ascii="宋体" w:eastAsia="宋体" w:hAnsi="宋体" w:hint="eastAsia"/>
          <w:noProof/>
          <w:sz w:val="30"/>
        </w:rPr>
        <w:t>具有逻辑控制可编程功能。</w:t>
      </w:r>
    </w:p>
    <w:p w:rsidR="0089233A" w:rsidRDefault="0089233A">
      <w:pPr>
        <w:pStyle w:val="ab"/>
        <w:spacing w:line="560" w:lineRule="exact"/>
        <w:ind w:left="0"/>
        <w:rPr>
          <w:rFonts w:hint="eastAsia"/>
          <w:color w:val="000000"/>
          <w:sz w:val="30"/>
        </w:rPr>
      </w:pPr>
      <w:r>
        <w:rPr>
          <w:rFonts w:hint="eastAsia"/>
          <w:color w:val="000000"/>
          <w:sz w:val="30"/>
        </w:rPr>
        <w:t>仓房现场控制柜</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具备供排气设备计算机自动和现场手动控制切换功能。</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具备排气阀门计算机自动和现场手动逐个控制功能。</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具备强排风机计算机自动和现场手动逐个控制功能。</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应实时准确采集设备运行状态的反馈信号。</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控制面板应具备电源及设备运行状态的信号显示。</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控制模块。相关技术要求同6.2.5。</w:t>
      </w:r>
    </w:p>
    <w:p w:rsidR="0089233A" w:rsidRDefault="0089233A">
      <w:pPr>
        <w:pStyle w:val="aa"/>
        <w:spacing w:beforeLines="0" w:before="0" w:afterLines="0" w:after="0" w:line="560" w:lineRule="exact"/>
        <w:ind w:left="0"/>
        <w:rPr>
          <w:rFonts w:ascii="Times New Roman" w:hint="eastAsia"/>
          <w:sz w:val="30"/>
        </w:rPr>
      </w:pPr>
      <w:r>
        <w:rPr>
          <w:rFonts w:ascii="Times New Roman" w:hint="eastAsia"/>
          <w:sz w:val="30"/>
        </w:rPr>
        <w:t>氮气浓度检测子系统</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具备计算机远程和仓房现场手动检测粮堆内不同位置氮气浓度的功能。</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氮氧分析仪氧气测量误差：</w:t>
      </w:r>
      <w:r>
        <w:rPr>
          <w:rFonts w:ascii="宋体" w:eastAsia="宋体"/>
          <w:noProof/>
          <w:sz w:val="30"/>
        </w:rPr>
        <w:t xml:space="preserve"> 0</w:t>
      </w:r>
      <w:r>
        <w:rPr>
          <w:rFonts w:ascii="宋体" w:eastAsia="宋体" w:hint="eastAsia"/>
          <w:noProof/>
          <w:sz w:val="30"/>
        </w:rPr>
        <w:t>～21％02</w:t>
      </w:r>
      <w:r>
        <w:rPr>
          <w:rFonts w:ascii="宋体" w:eastAsia="宋体"/>
          <w:noProof/>
          <w:sz w:val="30"/>
        </w:rPr>
        <w:t>±</w:t>
      </w:r>
      <w:r>
        <w:rPr>
          <w:rFonts w:ascii="宋体" w:eastAsia="宋体" w:hint="eastAsia"/>
          <w:noProof/>
          <w:sz w:val="30"/>
        </w:rPr>
        <w:t>1</w:t>
      </w:r>
      <w:r>
        <w:rPr>
          <w:rFonts w:ascii="宋体" w:eastAsia="宋体"/>
          <w:noProof/>
          <w:sz w:val="30"/>
        </w:rPr>
        <w:t>.</w:t>
      </w:r>
      <w:r>
        <w:rPr>
          <w:rFonts w:ascii="宋体" w:eastAsia="宋体" w:hint="eastAsia"/>
          <w:noProof/>
          <w:sz w:val="30"/>
        </w:rPr>
        <w:t>5</w:t>
      </w:r>
      <w:r>
        <w:rPr>
          <w:rFonts w:ascii="宋体" w:eastAsia="宋体"/>
          <w:noProof/>
          <w:sz w:val="30"/>
        </w:rPr>
        <w:t>%</w:t>
      </w:r>
      <w:r>
        <w:rPr>
          <w:rFonts w:ascii="宋体" w:eastAsia="宋体" w:hint="eastAsia"/>
          <w:noProof/>
          <w:sz w:val="30"/>
        </w:rPr>
        <w:t>FS。</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气体浓度采气管布点应符合</w:t>
      </w:r>
      <w:r>
        <w:rPr>
          <w:rFonts w:ascii="宋体" w:eastAsia="宋体"/>
          <w:noProof/>
          <w:sz w:val="30"/>
        </w:rPr>
        <w:t>Q/ZCL T8</w:t>
      </w:r>
      <w:r>
        <w:rPr>
          <w:rFonts w:ascii="宋体" w:eastAsia="宋体" w:hint="eastAsia"/>
          <w:noProof/>
          <w:sz w:val="30"/>
        </w:rPr>
        <w:t>-</w:t>
      </w:r>
      <w:r>
        <w:rPr>
          <w:rFonts w:ascii="宋体" w:eastAsia="宋体"/>
          <w:noProof/>
          <w:sz w:val="30"/>
        </w:rPr>
        <w:t>2009</w:t>
      </w:r>
      <w:r>
        <w:rPr>
          <w:rFonts w:ascii="宋体" w:eastAsia="宋体" w:hint="eastAsia"/>
          <w:noProof/>
          <w:sz w:val="30"/>
        </w:rPr>
        <w:t>第5.4.2的要求。</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气体取样管应完好不漏气，其大小及布置应符合</w:t>
      </w:r>
      <w:r>
        <w:rPr>
          <w:rFonts w:ascii="宋体" w:eastAsia="宋体"/>
          <w:noProof/>
          <w:sz w:val="30"/>
        </w:rPr>
        <w:t>Q/ZCL T8</w:t>
      </w:r>
      <w:r>
        <w:rPr>
          <w:rFonts w:ascii="宋体" w:eastAsia="宋体" w:hint="eastAsia"/>
          <w:noProof/>
          <w:sz w:val="30"/>
        </w:rPr>
        <w:t>-</w:t>
      </w:r>
      <w:r>
        <w:rPr>
          <w:rFonts w:ascii="宋体" w:eastAsia="宋体"/>
          <w:noProof/>
          <w:sz w:val="30"/>
        </w:rPr>
        <w:t>2009</w:t>
      </w:r>
      <w:r>
        <w:rPr>
          <w:rFonts w:ascii="宋体" w:eastAsia="宋体" w:hint="eastAsia"/>
          <w:noProof/>
          <w:sz w:val="30"/>
        </w:rPr>
        <w:t>第5.4.2.1的要求。</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气体取样管、抽气泵、氮氧分析仪之间的应连接严密，不漏气。</w:t>
      </w:r>
    </w:p>
    <w:p w:rsidR="0089233A" w:rsidRDefault="0089233A">
      <w:pPr>
        <w:pStyle w:val="ab"/>
        <w:spacing w:line="560" w:lineRule="exact"/>
        <w:ind w:left="0"/>
        <w:rPr>
          <w:rFonts w:ascii="宋体" w:eastAsia="宋体" w:hint="eastAsia"/>
          <w:noProof/>
          <w:sz w:val="30"/>
        </w:rPr>
      </w:pPr>
      <w:r>
        <w:rPr>
          <w:rFonts w:ascii="宋体" w:eastAsia="宋体" w:hint="eastAsia"/>
          <w:noProof/>
          <w:sz w:val="30"/>
        </w:rPr>
        <w:t>控制模块。相关技术要求同6.2.6。</w:t>
      </w:r>
    </w:p>
    <w:p w:rsidR="0089233A" w:rsidRDefault="0089233A">
      <w:pPr>
        <w:pStyle w:val="aa"/>
        <w:spacing w:beforeLines="0" w:before="0" w:afterLines="0" w:after="0" w:line="560" w:lineRule="exact"/>
        <w:ind w:left="0"/>
        <w:rPr>
          <w:rFonts w:ascii="Times New Roman" w:hint="eastAsia"/>
          <w:sz w:val="30"/>
        </w:rPr>
      </w:pPr>
      <w:r>
        <w:rPr>
          <w:rFonts w:ascii="Times New Roman" w:hint="eastAsia"/>
          <w:sz w:val="30"/>
        </w:rPr>
        <w:t>系统通讯要求</w:t>
      </w:r>
    </w:p>
    <w:p w:rsidR="0089233A" w:rsidRDefault="0089233A">
      <w:pPr>
        <w:pStyle w:val="ab"/>
        <w:spacing w:line="560" w:lineRule="exact"/>
        <w:ind w:left="0"/>
        <w:rPr>
          <w:rFonts w:hint="eastAsia"/>
          <w:color w:val="000000"/>
          <w:sz w:val="30"/>
        </w:rPr>
      </w:pPr>
      <w:r>
        <w:rPr>
          <w:rFonts w:hint="eastAsia"/>
          <w:color w:val="000000"/>
          <w:sz w:val="30"/>
        </w:rPr>
        <w:t>有线通讯</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新建库或需开挖预埋的智能化建设粮库宜采用有线通讯。</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硬件设备应支持以太网、RS485等工业控制总线。</w:t>
      </w:r>
    </w:p>
    <w:p w:rsidR="0089233A" w:rsidRDefault="0089233A">
      <w:pPr>
        <w:pStyle w:val="ac"/>
        <w:spacing w:line="560" w:lineRule="exact"/>
        <w:ind w:left="0"/>
        <w:rPr>
          <w:rFonts w:ascii="宋体" w:eastAsia="宋体" w:hint="eastAsia"/>
          <w:noProof/>
          <w:sz w:val="30"/>
        </w:rPr>
      </w:pPr>
      <w:r>
        <w:rPr>
          <w:rFonts w:ascii="宋体" w:eastAsia="宋体" w:hAnsi="宋体" w:hint="eastAsia"/>
          <w:noProof/>
          <w:sz w:val="30"/>
        </w:rPr>
        <w:t>通讯电缆应采用带金属网屏蔽电缆，以减少外界环境的干</w:t>
      </w:r>
      <w:r>
        <w:rPr>
          <w:rFonts w:ascii="宋体" w:eastAsia="宋体" w:hint="eastAsia"/>
          <w:noProof/>
          <w:sz w:val="30"/>
        </w:rPr>
        <w:t>扰。</w:t>
      </w:r>
    </w:p>
    <w:p w:rsidR="0089233A" w:rsidRDefault="0089233A">
      <w:pPr>
        <w:pStyle w:val="ab"/>
        <w:spacing w:line="560" w:lineRule="exact"/>
        <w:ind w:left="0"/>
        <w:rPr>
          <w:rFonts w:hint="eastAsia"/>
          <w:color w:val="000000"/>
          <w:sz w:val="30"/>
        </w:rPr>
      </w:pPr>
      <w:r>
        <w:rPr>
          <w:rFonts w:hint="eastAsia"/>
          <w:color w:val="000000"/>
          <w:sz w:val="30"/>
        </w:rPr>
        <w:t>无线通讯</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已建库宜采用无线通讯。</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宜选择抗干扰能力强、通讯可靠、功率适宜、数据传输准确、能长期稳定运行的无线通讯设备。</w:t>
      </w:r>
    </w:p>
    <w:p w:rsidR="0089233A" w:rsidRDefault="0089233A">
      <w:pPr>
        <w:pStyle w:val="ac"/>
        <w:spacing w:line="560" w:lineRule="exact"/>
        <w:ind w:left="0"/>
        <w:rPr>
          <w:rFonts w:ascii="宋体" w:eastAsia="宋体" w:hAnsi="宋体" w:hint="eastAsia"/>
          <w:noProof/>
          <w:sz w:val="30"/>
        </w:rPr>
      </w:pPr>
      <w:r>
        <w:rPr>
          <w:rFonts w:ascii="宋体" w:eastAsia="宋体" w:hAnsi="宋体" w:hint="eastAsia"/>
          <w:noProof/>
          <w:sz w:val="30"/>
        </w:rPr>
        <w:t>通讯频率应不干扰粮库已有的无线通讯设备。</w:t>
      </w:r>
      <w:bookmarkEnd w:id="2"/>
    </w:p>
    <w:sectPr w:rsidR="0089233A">
      <w:footerReference w:type="default" r:id="rId13"/>
      <w:pgSz w:w="11907" w:h="16839" w:code="9"/>
      <w:pgMar w:top="1418" w:right="1134" w:bottom="1134" w:left="1418" w:header="1418" w:footer="851"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233A" w:rsidRDefault="0089233A">
      <w:r>
        <w:separator/>
      </w:r>
    </w:p>
  </w:endnote>
  <w:endnote w:type="continuationSeparator" w:id="0">
    <w:p w:rsidR="0089233A" w:rsidRDefault="00892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33A" w:rsidRDefault="0089233A">
    <w:pPr>
      <w:pStyle w:val="afffc"/>
      <w:framePr w:wrap="around" w:vAnchor="text" w:hAnchor="margin" w:xAlign="center" w:y="1"/>
      <w:rPr>
        <w:rStyle w:val="afffd"/>
      </w:rPr>
    </w:pPr>
    <w:r>
      <w:rPr>
        <w:rStyle w:val="afffd"/>
      </w:rPr>
      <w:fldChar w:fldCharType="begin"/>
    </w:r>
    <w:r>
      <w:rPr>
        <w:rStyle w:val="afffd"/>
      </w:rPr>
      <w:instrText xml:space="preserve">PAGE  </w:instrText>
    </w:r>
    <w:r>
      <w:rPr>
        <w:rStyle w:val="afffd"/>
      </w:rPr>
      <w:fldChar w:fldCharType="separate"/>
    </w:r>
    <w:r>
      <w:rPr>
        <w:rStyle w:val="afffd"/>
        <w:noProof/>
      </w:rPr>
      <w:t>4</w:t>
    </w:r>
    <w:r>
      <w:rPr>
        <w:rStyle w:val="afffd"/>
      </w:rPr>
      <w:fldChar w:fldCharType="end"/>
    </w:r>
  </w:p>
  <w:p w:rsidR="0089233A" w:rsidRDefault="0089233A">
    <w:pPr>
      <w:pStyle w:val="af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33A" w:rsidRDefault="0089233A">
    <w:pPr>
      <w:pStyle w:val="afa"/>
      <w:rPr>
        <w:rStyle w:val="afffd"/>
      </w:rPr>
    </w:pPr>
    <w:r>
      <w:rPr>
        <w:rStyle w:val="afffd"/>
      </w:rPr>
      <w:fldChar w:fldCharType="begin"/>
    </w:r>
    <w:r>
      <w:rPr>
        <w:rStyle w:val="afffd"/>
      </w:rPr>
      <w:instrText xml:space="preserve">PAGE  </w:instrText>
    </w:r>
    <w:r>
      <w:rPr>
        <w:rStyle w:val="afffd"/>
      </w:rPr>
      <w:fldChar w:fldCharType="separate"/>
    </w:r>
    <w:r>
      <w:rPr>
        <w:rStyle w:val="afffd"/>
        <w:noProof/>
      </w:rPr>
      <w:t>1</w:t>
    </w:r>
    <w:r>
      <w:rPr>
        <w:rStyle w:val="afff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3E2" w:rsidRDefault="008303E2">
    <w:pPr>
      <w:pStyle w:val="afff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33A" w:rsidRDefault="0089233A">
    <w:pPr>
      <w:pStyle w:val="afa"/>
      <w:rPr>
        <w:rStyle w:val="afffd"/>
      </w:rPr>
    </w:pPr>
    <w:r>
      <w:rPr>
        <w:rStyle w:val="afffd"/>
      </w:rPr>
      <w:fldChar w:fldCharType="begin"/>
    </w:r>
    <w:r>
      <w:rPr>
        <w:rStyle w:val="afffd"/>
      </w:rPr>
      <w:instrText xml:space="preserve">PAGE  </w:instrText>
    </w:r>
    <w:r>
      <w:rPr>
        <w:rStyle w:val="afffd"/>
      </w:rPr>
      <w:fldChar w:fldCharType="separate"/>
    </w:r>
    <w:r w:rsidR="008303E2">
      <w:rPr>
        <w:rStyle w:val="afffd"/>
        <w:noProof/>
      </w:rPr>
      <w:t>6</w:t>
    </w:r>
    <w:r>
      <w:rPr>
        <w:rStyle w:val="afff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233A" w:rsidRDefault="0089233A">
      <w:r>
        <w:separator/>
      </w:r>
    </w:p>
  </w:footnote>
  <w:footnote w:type="continuationSeparator" w:id="0">
    <w:p w:rsidR="0089233A" w:rsidRDefault="00892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3E2" w:rsidRDefault="008303E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33A" w:rsidRDefault="0089233A">
    <w:pPr>
      <w:pStyle w:val="afb"/>
    </w:pPr>
    <w:r>
      <w:t>Q/ZCL T</w:t>
    </w:r>
    <w:r>
      <w:rPr>
        <w:rFonts w:hint="eastAsia"/>
      </w:rPr>
      <w:t>16</w:t>
    </w:r>
    <w:r>
      <w:t>-201</w:t>
    </w:r>
    <w:r>
      <w:rPr>
        <w:rFonts w:hint="eastAsia"/>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33A" w:rsidRDefault="0089233A">
    <w:pPr>
      <w:pStyle w:val="afd"/>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367E9"/>
    <w:multiLevelType w:val="hybridMultilevel"/>
    <w:tmpl w:val="A2F04B6E"/>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739277C"/>
    <w:multiLevelType w:val="multilevel"/>
    <w:tmpl w:val="B322D27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806F7D"/>
    <w:multiLevelType w:val="hybridMultilevel"/>
    <w:tmpl w:val="9B20C2B2"/>
    <w:lvl w:ilvl="0" w:tplc="7640147C">
      <w:start w:val="1"/>
      <w:numFmt w:val="none"/>
      <w:pStyle w:val="a0"/>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6D22D8F"/>
    <w:multiLevelType w:val="hybridMultilevel"/>
    <w:tmpl w:val="1ABE3F64"/>
    <w:lvl w:ilvl="0" w:tplc="15409222">
      <w:start w:val="1"/>
      <w:numFmt w:val="none"/>
      <w:pStyle w:val="a1"/>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96E4D7B"/>
    <w:multiLevelType w:val="hybridMultilevel"/>
    <w:tmpl w:val="91E81AD8"/>
    <w:lvl w:ilvl="0" w:tplc="23C0052E">
      <w:start w:val="1"/>
      <w:numFmt w:val="none"/>
      <w:pStyle w:val="unnamed1"/>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F302902"/>
    <w:multiLevelType w:val="hybridMultilevel"/>
    <w:tmpl w:val="BB8A0C52"/>
    <w:lvl w:ilvl="0" w:tplc="A4A00172">
      <w:start w:val="1"/>
      <w:numFmt w:val="none"/>
      <w:pStyle w:val="a2"/>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57C2AF5"/>
    <w:multiLevelType w:val="multilevel"/>
    <w:tmpl w:val="293C5F40"/>
    <w:lvl w:ilvl="0">
      <w:start w:val="1"/>
      <w:numFmt w:val="decimal"/>
      <w:pStyle w:val="a1"/>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7" w15:restartNumberingAfterBreak="0">
    <w:nsid w:val="59D21E64"/>
    <w:multiLevelType w:val="multilevel"/>
    <w:tmpl w:val="3C18D7DE"/>
    <w:lvl w:ilvl="0">
      <w:start w:val="6"/>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D5E3452"/>
    <w:multiLevelType w:val="multilevel"/>
    <w:tmpl w:val="ECDEB1A8"/>
    <w:lvl w:ilvl="0">
      <w:start w:val="6"/>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350366A"/>
    <w:multiLevelType w:val="hybridMultilevel"/>
    <w:tmpl w:val="A364A292"/>
    <w:lvl w:ilvl="0" w:tplc="7D92E628">
      <w:start w:val="1"/>
      <w:numFmt w:val="none"/>
      <w:pStyle w:val="a3"/>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4554A75"/>
    <w:multiLevelType w:val="multilevel"/>
    <w:tmpl w:val="B19C30B6"/>
    <w:lvl w:ilvl="0">
      <w:start w:val="8"/>
      <w:numFmt w:val="decimal"/>
      <w:lvlText w:val="%1"/>
      <w:lvlJc w:val="left"/>
      <w:pPr>
        <w:tabs>
          <w:tab w:val="num" w:pos="465"/>
        </w:tabs>
        <w:ind w:left="465" w:hanging="360"/>
      </w:pPr>
      <w:rPr>
        <w:rFonts w:hint="default"/>
      </w:rPr>
    </w:lvl>
    <w:lvl w:ilvl="1">
      <w:start w:val="1"/>
      <w:numFmt w:val="decimal"/>
      <w:isLgl/>
      <w:lvlText w:val="%2、"/>
      <w:lvlJc w:val="left"/>
      <w:pPr>
        <w:tabs>
          <w:tab w:val="num" w:pos="840"/>
        </w:tabs>
        <w:ind w:left="840" w:hanging="420"/>
      </w:pPr>
      <w:rPr>
        <w:rFonts w:ascii="宋体" w:eastAsia="宋体" w:hAnsi="Times New Roman" w:cs="Times New Roman"/>
      </w:rPr>
    </w:lvl>
    <w:lvl w:ilvl="2">
      <w:start w:val="1"/>
      <w:numFmt w:val="decimal"/>
      <w:isLgl/>
      <w:lvlText w:val="%1.%2.%3"/>
      <w:lvlJc w:val="left"/>
      <w:pPr>
        <w:tabs>
          <w:tab w:val="num" w:pos="1455"/>
        </w:tabs>
        <w:ind w:left="1455" w:hanging="720"/>
      </w:pPr>
      <w:rPr>
        <w:rFonts w:hint="default"/>
      </w:rPr>
    </w:lvl>
    <w:lvl w:ilvl="3">
      <w:start w:val="1"/>
      <w:numFmt w:val="decimal"/>
      <w:isLgl/>
      <w:lvlText w:val="%1.%2.%3.%4"/>
      <w:lvlJc w:val="left"/>
      <w:pPr>
        <w:tabs>
          <w:tab w:val="num" w:pos="2130"/>
        </w:tabs>
        <w:ind w:left="2130" w:hanging="1080"/>
      </w:pPr>
      <w:rPr>
        <w:rFonts w:hint="default"/>
      </w:rPr>
    </w:lvl>
    <w:lvl w:ilvl="4">
      <w:start w:val="1"/>
      <w:numFmt w:val="decimal"/>
      <w:isLgl/>
      <w:lvlText w:val="%1.%2.%3.%4.%5"/>
      <w:lvlJc w:val="left"/>
      <w:pPr>
        <w:tabs>
          <w:tab w:val="num" w:pos="2445"/>
        </w:tabs>
        <w:ind w:left="2445" w:hanging="1080"/>
      </w:pPr>
      <w:rPr>
        <w:rFonts w:hint="default"/>
      </w:rPr>
    </w:lvl>
    <w:lvl w:ilvl="5">
      <w:start w:val="1"/>
      <w:numFmt w:val="decimal"/>
      <w:isLgl/>
      <w:lvlText w:val="%1.%2.%3.%4.%5.%6"/>
      <w:lvlJc w:val="left"/>
      <w:pPr>
        <w:tabs>
          <w:tab w:val="num" w:pos="3120"/>
        </w:tabs>
        <w:ind w:left="3120" w:hanging="1440"/>
      </w:pPr>
      <w:rPr>
        <w:rFonts w:hint="default"/>
      </w:rPr>
    </w:lvl>
    <w:lvl w:ilvl="6">
      <w:start w:val="1"/>
      <w:numFmt w:val="decimal"/>
      <w:isLgl/>
      <w:lvlText w:val="%1.%2.%3.%4.%5.%6.%7"/>
      <w:lvlJc w:val="left"/>
      <w:pPr>
        <w:tabs>
          <w:tab w:val="num" w:pos="3435"/>
        </w:tabs>
        <w:ind w:left="3435" w:hanging="1440"/>
      </w:pPr>
      <w:rPr>
        <w:rFonts w:hint="default"/>
      </w:rPr>
    </w:lvl>
    <w:lvl w:ilvl="7">
      <w:start w:val="1"/>
      <w:numFmt w:val="decimal"/>
      <w:isLgl/>
      <w:lvlText w:val="%1.%2.%3.%4.%5.%6.%7.%8"/>
      <w:lvlJc w:val="left"/>
      <w:pPr>
        <w:tabs>
          <w:tab w:val="num" w:pos="4110"/>
        </w:tabs>
        <w:ind w:left="4110" w:hanging="1800"/>
      </w:pPr>
      <w:rPr>
        <w:rFonts w:hint="default"/>
      </w:rPr>
    </w:lvl>
    <w:lvl w:ilvl="8">
      <w:start w:val="1"/>
      <w:numFmt w:val="decimal"/>
      <w:isLgl/>
      <w:lvlText w:val="%1.%2.%3.%4.%5.%6.%7.%8.%9"/>
      <w:lvlJc w:val="left"/>
      <w:pPr>
        <w:tabs>
          <w:tab w:val="num" w:pos="4425"/>
        </w:tabs>
        <w:ind w:left="4425" w:hanging="1800"/>
      </w:pPr>
      <w:rPr>
        <w:rFonts w:hint="default"/>
      </w:rPr>
    </w:lvl>
  </w:abstractNum>
  <w:abstractNum w:abstractNumId="11" w15:restartNumberingAfterBreak="0">
    <w:nsid w:val="646260FA"/>
    <w:multiLevelType w:val="multilevel"/>
    <w:tmpl w:val="8946A5D4"/>
    <w:lvl w:ilvl="0">
      <w:start w:val="1"/>
      <w:numFmt w:val="decimal"/>
      <w:pStyle w:val="font121"/>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657D3FBC"/>
    <w:multiLevelType w:val="multilevel"/>
    <w:tmpl w:val="7E02ADCE"/>
    <w:lvl w:ilvl="0">
      <w:start w:val="1"/>
      <w:numFmt w:val="upperLetter"/>
      <w:pStyle w:val="a2"/>
      <w:suff w:val="nothing"/>
      <w:lvlText w:val="附　录　%1"/>
      <w:lvlJc w:val="left"/>
      <w:pPr>
        <w:ind w:left="0" w:firstLine="0"/>
      </w:pPr>
      <w:rPr>
        <w:rFonts w:ascii="黑体" w:eastAsia="黑体" w:hAnsi="Times New Roman" w:hint="eastAsia"/>
        <w:b w:val="0"/>
        <w:i w:val="0"/>
        <w:sz w:val="21"/>
      </w:rPr>
    </w:lvl>
    <w:lvl w:ilvl="1">
      <w:start w:val="1"/>
      <w:numFmt w:val="decimal"/>
      <w:pStyle w:val="a4"/>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0"/>
      <w:suff w:val="nothing"/>
      <w:lvlText w:val="%1.%2.%3.%4.%5.%6　"/>
      <w:lvlJc w:val="left"/>
      <w:pPr>
        <w:ind w:left="0" w:firstLine="0"/>
      </w:pPr>
      <w:rPr>
        <w:rFonts w:ascii="黑体" w:eastAsia="黑体" w:hAnsi="Times New Roman" w:hint="eastAsia"/>
        <w:b w:val="0"/>
        <w:i w:val="0"/>
        <w:sz w:val="21"/>
      </w:rPr>
    </w:lvl>
    <w:lvl w:ilvl="6">
      <w:start w:val="1"/>
      <w:numFmt w:val="decimal"/>
      <w:pStyle w:val="a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6CEA2025"/>
    <w:multiLevelType w:val="multilevel"/>
    <w:tmpl w:val="2AC2DBFA"/>
    <w:lvl w:ilvl="0">
      <w:start w:val="1"/>
      <w:numFmt w:val="none"/>
      <w:pStyle w:val="a9"/>
      <w:suff w:val="nothing"/>
      <w:lvlText w:val="%1"/>
      <w:lvlJc w:val="left"/>
      <w:pPr>
        <w:ind w:left="0" w:firstLine="0"/>
      </w:pPr>
      <w:rPr>
        <w:rFonts w:ascii="Times New Roman" w:hAnsi="Times New Roman" w:hint="default"/>
        <w:b/>
        <w:i w:val="0"/>
        <w:sz w:val="21"/>
      </w:rPr>
    </w:lvl>
    <w:lvl w:ilvl="1">
      <w:start w:val="1"/>
      <w:numFmt w:val="decimal"/>
      <w:pStyle w:val="aa"/>
      <w:suff w:val="nothing"/>
      <w:lvlText w:val="%1%2　"/>
      <w:lvlJc w:val="left"/>
      <w:pPr>
        <w:ind w:left="105" w:firstLine="0"/>
      </w:pPr>
      <w:rPr>
        <w:rFonts w:ascii="黑体" w:eastAsia="黑体" w:hAnsi="Times New Roman" w:hint="eastAsia"/>
        <w:b w:val="0"/>
        <w:i w:val="0"/>
        <w:sz w:val="21"/>
      </w:rPr>
    </w:lvl>
    <w:lvl w:ilvl="2">
      <w:start w:val="1"/>
      <w:numFmt w:val="decimal"/>
      <w:pStyle w:val="ab"/>
      <w:suff w:val="nothing"/>
      <w:lvlText w:val="%1%2.%3　"/>
      <w:lvlJc w:val="left"/>
      <w:pPr>
        <w:ind w:left="945" w:firstLine="0"/>
      </w:pPr>
      <w:rPr>
        <w:rFonts w:ascii="黑体" w:eastAsia="黑体" w:hAnsi="Times New Roman" w:hint="eastAsia"/>
        <w:b w:val="0"/>
        <w:i w:val="0"/>
        <w:sz w:val="21"/>
      </w:rPr>
    </w:lvl>
    <w:lvl w:ilvl="3">
      <w:start w:val="1"/>
      <w:numFmt w:val="decimal"/>
      <w:pStyle w:val="ac"/>
      <w:suff w:val="nothing"/>
      <w:lvlText w:val="%1%2.%3.%4　"/>
      <w:lvlJc w:val="left"/>
      <w:pPr>
        <w:ind w:left="945"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6DBF04F4"/>
    <w:multiLevelType w:val="hybridMultilevel"/>
    <w:tmpl w:val="ABF0831E"/>
    <w:lvl w:ilvl="0" w:tplc="59FA5E12">
      <w:start w:val="1"/>
      <w:numFmt w:val="none"/>
      <w:pStyle w:val="af0"/>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6933334"/>
    <w:multiLevelType w:val="hybridMultilevel"/>
    <w:tmpl w:val="39CCA6C6"/>
    <w:lvl w:ilvl="0" w:tplc="C7EAF6AE">
      <w:start w:val="1"/>
      <w:numFmt w:val="none"/>
      <w:pStyle w:val="af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3"/>
  </w:num>
  <w:num w:numId="2">
    <w:abstractNumId w:val="13"/>
  </w:num>
  <w:num w:numId="3">
    <w:abstractNumId w:val="13"/>
  </w:num>
  <w:num w:numId="4">
    <w:abstractNumId w:val="13"/>
  </w:num>
  <w:num w:numId="5">
    <w:abstractNumId w:val="12"/>
  </w:num>
  <w:num w:numId="6">
    <w:abstractNumId w:val="12"/>
  </w:num>
  <w:num w:numId="7">
    <w:abstractNumId w:val="12"/>
  </w:num>
  <w:num w:numId="8">
    <w:abstractNumId w:val="12"/>
  </w:num>
  <w:num w:numId="9">
    <w:abstractNumId w:val="12"/>
  </w:num>
  <w:num w:numId="10">
    <w:abstractNumId w:val="12"/>
  </w:num>
  <w:num w:numId="11">
    <w:abstractNumId w:val="12"/>
  </w:num>
  <w:num w:numId="12">
    <w:abstractNumId w:val="15"/>
  </w:num>
  <w:num w:numId="13">
    <w:abstractNumId w:val="13"/>
  </w:num>
  <w:num w:numId="14">
    <w:abstractNumId w:val="0"/>
  </w:num>
  <w:num w:numId="15">
    <w:abstractNumId w:val="13"/>
  </w:num>
  <w:num w:numId="16">
    <w:abstractNumId w:val="13"/>
  </w:num>
  <w:num w:numId="17">
    <w:abstractNumId w:val="11"/>
  </w:num>
  <w:num w:numId="18">
    <w:abstractNumId w:val="6"/>
  </w:num>
  <w:num w:numId="19">
    <w:abstractNumId w:val="14"/>
  </w:num>
  <w:num w:numId="20">
    <w:abstractNumId w:val="4"/>
  </w:num>
  <w:num w:numId="21">
    <w:abstractNumId w:val="9"/>
  </w:num>
  <w:num w:numId="22">
    <w:abstractNumId w:val="3"/>
  </w:num>
  <w:num w:numId="23">
    <w:abstractNumId w:val="5"/>
  </w:num>
  <w:num w:numId="24">
    <w:abstractNumId w:val="2"/>
  </w:num>
  <w:num w:numId="25">
    <w:abstractNumId w:val="10"/>
  </w:num>
  <w:num w:numId="26">
    <w:abstractNumId w:val="1"/>
  </w:num>
  <w:num w:numId="27">
    <w:abstractNumId w:val="8"/>
  </w:num>
  <w:num w:numId="28">
    <w:abstractNumId w:val="7"/>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 w:numId="47">
    <w:abstractNumId w:val="13"/>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ttachedTemplate r:id="rId1"/>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03E2"/>
    <w:rsid w:val="001C39A3"/>
    <w:rsid w:val="008303E2"/>
    <w:rsid w:val="00892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98BC6F2-FD9D-43F2-B7A0-9DAD2048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2">
    <w:name w:val="Normal"/>
    <w:qFormat/>
    <w:pPr>
      <w:widowControl w:val="0"/>
      <w:jc w:val="both"/>
    </w:pPr>
    <w:rPr>
      <w:kern w:val="2"/>
      <w:sz w:val="21"/>
      <w:szCs w:val="24"/>
    </w:rPr>
  </w:style>
  <w:style w:type="paragraph" w:styleId="1">
    <w:name w:val="heading 1"/>
    <w:basedOn w:val="af2"/>
    <w:next w:val="af2"/>
    <w:qFormat/>
    <w:pPr>
      <w:keepNext/>
      <w:keepLines/>
      <w:spacing w:before="340" w:after="330" w:line="578" w:lineRule="auto"/>
      <w:outlineLvl w:val="0"/>
    </w:pPr>
    <w:rPr>
      <w:b/>
      <w:bCs/>
      <w:kern w:val="44"/>
      <w:sz w:val="44"/>
      <w:szCs w:val="44"/>
    </w:rPr>
  </w:style>
  <w:style w:type="paragraph" w:styleId="2">
    <w:name w:val="heading 2"/>
    <w:basedOn w:val="af2"/>
    <w:next w:val="af2"/>
    <w:qFormat/>
    <w:pPr>
      <w:keepNext/>
      <w:keepLines/>
      <w:spacing w:before="260" w:after="260" w:line="416" w:lineRule="auto"/>
      <w:outlineLvl w:val="1"/>
    </w:pPr>
    <w:rPr>
      <w:rFonts w:ascii="Arial" w:eastAsia="黑体" w:hAnsi="Arial"/>
      <w:b/>
      <w:bCs/>
      <w:sz w:val="32"/>
      <w:szCs w:val="32"/>
    </w:rPr>
  </w:style>
  <w:style w:type="paragraph" w:styleId="3">
    <w:name w:val="heading 3"/>
    <w:basedOn w:val="af2"/>
    <w:next w:val="af2"/>
    <w:qFormat/>
    <w:pPr>
      <w:keepNext/>
      <w:keepLines/>
      <w:spacing w:before="260" w:after="260" w:line="416" w:lineRule="auto"/>
      <w:outlineLvl w:val="2"/>
    </w:pPr>
    <w:rPr>
      <w:b/>
      <w:bCs/>
      <w:sz w:val="32"/>
      <w:szCs w:val="32"/>
    </w:rPr>
  </w:style>
  <w:style w:type="paragraph" w:styleId="4">
    <w:name w:val="heading 4"/>
    <w:basedOn w:val="af2"/>
    <w:next w:val="af2"/>
    <w:qFormat/>
    <w:pPr>
      <w:keepNext/>
      <w:keepLines/>
      <w:spacing w:before="280" w:after="290" w:line="376" w:lineRule="auto"/>
      <w:outlineLvl w:val="3"/>
    </w:pPr>
    <w:rPr>
      <w:rFonts w:ascii="Arial" w:eastAsia="黑体" w:hAnsi="Arial"/>
      <w:b/>
      <w:bCs/>
      <w:sz w:val="28"/>
      <w:szCs w:val="28"/>
    </w:rPr>
  </w:style>
  <w:style w:type="paragraph" w:styleId="5">
    <w:name w:val="heading 5"/>
    <w:basedOn w:val="af2"/>
    <w:next w:val="af2"/>
    <w:qFormat/>
    <w:pPr>
      <w:keepNext/>
      <w:keepLines/>
      <w:spacing w:before="280" w:after="290" w:line="376" w:lineRule="auto"/>
      <w:outlineLvl w:val="4"/>
    </w:pPr>
    <w:rPr>
      <w:b/>
      <w:bCs/>
      <w:sz w:val="28"/>
      <w:szCs w:val="28"/>
    </w:rPr>
  </w:style>
  <w:style w:type="paragraph" w:styleId="6">
    <w:name w:val="heading 6"/>
    <w:basedOn w:val="af2"/>
    <w:next w:val="af2"/>
    <w:qFormat/>
    <w:pPr>
      <w:keepNext/>
      <w:keepLines/>
      <w:spacing w:before="240" w:after="64" w:line="320" w:lineRule="auto"/>
      <w:outlineLvl w:val="5"/>
    </w:pPr>
    <w:rPr>
      <w:rFonts w:ascii="Arial" w:eastAsia="黑体" w:hAnsi="Arial"/>
      <w:b/>
      <w:bCs/>
      <w:sz w:val="24"/>
    </w:rPr>
  </w:style>
  <w:style w:type="paragraph" w:styleId="7">
    <w:name w:val="heading 7"/>
    <w:basedOn w:val="af2"/>
    <w:next w:val="af2"/>
    <w:qFormat/>
    <w:pPr>
      <w:keepNext/>
      <w:keepLines/>
      <w:spacing w:before="240" w:after="64" w:line="320" w:lineRule="auto"/>
      <w:outlineLvl w:val="6"/>
    </w:pPr>
    <w:rPr>
      <w:b/>
      <w:bCs/>
      <w:sz w:val="24"/>
    </w:rPr>
  </w:style>
  <w:style w:type="paragraph" w:styleId="8">
    <w:name w:val="heading 8"/>
    <w:basedOn w:val="af2"/>
    <w:next w:val="af2"/>
    <w:qFormat/>
    <w:pPr>
      <w:keepNext/>
      <w:keepLines/>
      <w:spacing w:before="240" w:after="64" w:line="320" w:lineRule="auto"/>
      <w:outlineLvl w:val="7"/>
    </w:pPr>
    <w:rPr>
      <w:rFonts w:ascii="Arial" w:eastAsia="黑体" w:hAnsi="Arial"/>
      <w:sz w:val="24"/>
    </w:rPr>
  </w:style>
  <w:style w:type="paragraph" w:styleId="9">
    <w:name w:val="heading 9"/>
    <w:basedOn w:val="af2"/>
    <w:next w:val="af2"/>
    <w:qFormat/>
    <w:pPr>
      <w:keepNext/>
      <w:keepLines/>
      <w:spacing w:before="240" w:after="64" w:line="320" w:lineRule="auto"/>
      <w:outlineLvl w:val="8"/>
    </w:pPr>
    <w:rPr>
      <w:rFonts w:ascii="Arial" w:eastAsia="黑体" w:hAnsi="Arial"/>
      <w:szCs w:val="21"/>
    </w:rPr>
  </w:style>
  <w:style w:type="character" w:default="1" w:styleId="af3">
    <w:name w:val="Default Paragraph Font"/>
    <w:semiHidden/>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character" w:styleId="HTML">
    <w:name w:val="HTML Code"/>
    <w:semiHidden/>
    <w:rPr>
      <w:rFonts w:ascii="Courier New" w:hAnsi="Courier New"/>
      <w:sz w:val="20"/>
      <w:szCs w:val="20"/>
    </w:rPr>
  </w:style>
  <w:style w:type="character" w:styleId="HTML0">
    <w:name w:val="HTML Variable"/>
    <w:semiHidden/>
    <w:rPr>
      <w:i/>
      <w:iCs/>
    </w:rPr>
  </w:style>
  <w:style w:type="character" w:styleId="HTML1">
    <w:name w:val="HTML Typewriter"/>
    <w:semiHidden/>
    <w:rPr>
      <w:rFonts w:ascii="Courier New" w:hAnsi="Courier New"/>
      <w:sz w:val="20"/>
      <w:szCs w:val="20"/>
    </w:rPr>
  </w:style>
  <w:style w:type="paragraph" w:styleId="HTML2">
    <w:name w:val="HTML Address"/>
    <w:basedOn w:val="af2"/>
    <w:semiHidden/>
    <w:rPr>
      <w:i/>
      <w:iCs/>
    </w:rPr>
  </w:style>
  <w:style w:type="character" w:styleId="HTML3">
    <w:name w:val="HTML Definition"/>
    <w:semiHidden/>
    <w:rPr>
      <w:i/>
      <w:iCs/>
    </w:rPr>
  </w:style>
  <w:style w:type="character" w:styleId="HTML4">
    <w:name w:val="HTML Keyboard"/>
    <w:semiHidden/>
    <w:rPr>
      <w:rFonts w:ascii="Courier New" w:hAnsi="Courier New"/>
      <w:sz w:val="20"/>
      <w:szCs w:val="20"/>
    </w:rPr>
  </w:style>
  <w:style w:type="character" w:styleId="HTML5">
    <w:name w:val="HTML Acronym"/>
    <w:basedOn w:val="af3"/>
    <w:semiHidden/>
  </w:style>
  <w:style w:type="character" w:styleId="HTML6">
    <w:name w:val="HTML Sample"/>
    <w:semiHidden/>
    <w:rPr>
      <w:rFonts w:ascii="Courier New" w:hAnsi="Courier New"/>
    </w:rPr>
  </w:style>
  <w:style w:type="paragraph" w:styleId="HTML7">
    <w:name w:val="HTML Preformatted"/>
    <w:basedOn w:val="af2"/>
    <w:semiHidden/>
    <w:rPr>
      <w:rFonts w:ascii="Courier New" w:hAnsi="Courier New" w:cs="Courier New"/>
      <w:sz w:val="20"/>
      <w:szCs w:val="20"/>
    </w:rPr>
  </w:style>
  <w:style w:type="character" w:styleId="HTML8">
    <w:name w:val="HTML Cite"/>
    <w:semiHidden/>
    <w:rPr>
      <w:i/>
      <w:iCs/>
    </w:rPr>
  </w:style>
  <w:style w:type="paragraph" w:styleId="af6">
    <w:name w:val="Title"/>
    <w:basedOn w:val="af2"/>
    <w:qFormat/>
    <w:pPr>
      <w:spacing w:before="240" w:after="60"/>
      <w:jc w:val="center"/>
      <w:outlineLvl w:val="0"/>
    </w:pPr>
    <w:rPr>
      <w:rFonts w:ascii="Arial" w:hAnsi="Arial" w:cs="Arial"/>
      <w:b/>
      <w:bCs/>
      <w:sz w:val="32"/>
      <w:szCs w:val="32"/>
    </w:rPr>
  </w:style>
  <w:style w:type="paragraph" w:customStyle="1" w:styleId="af7">
    <w:name w:val="标准标志"/>
    <w:next w:val="af2"/>
    <w:pPr>
      <w:framePr w:w="2268" w:h="1392" w:hRule="exact" w:wrap="around" w:hAnchor="margin" w:x="6748" w:y="171" w:anchorLock="1"/>
      <w:shd w:val="solid" w:color="FFFFFF" w:fill="FFFFFF"/>
      <w:spacing w:line="0" w:lineRule="atLeast"/>
      <w:jc w:val="right"/>
    </w:pPr>
    <w:rPr>
      <w:b/>
      <w:w w:val="130"/>
      <w:sz w:val="96"/>
    </w:rPr>
  </w:style>
  <w:style w:type="paragraph" w:customStyle="1" w:styleId="af8">
    <w:name w:val="标准称谓"/>
    <w:next w:val="af2"/>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9">
    <w:name w:val="标准书脚_偶数页"/>
    <w:pPr>
      <w:spacing w:before="120"/>
    </w:pPr>
    <w:rPr>
      <w:sz w:val="18"/>
    </w:rPr>
  </w:style>
  <w:style w:type="paragraph" w:customStyle="1" w:styleId="afa">
    <w:name w:val="标准书脚_奇数页"/>
    <w:pPr>
      <w:spacing w:before="120"/>
      <w:jc w:val="right"/>
    </w:pPr>
    <w:rPr>
      <w:sz w:val="18"/>
    </w:rPr>
  </w:style>
  <w:style w:type="paragraph" w:customStyle="1" w:styleId="afb">
    <w:name w:val="标准书眉_奇数页"/>
    <w:next w:val="af2"/>
    <w:pPr>
      <w:tabs>
        <w:tab w:val="center" w:pos="4154"/>
        <w:tab w:val="right" w:pos="8306"/>
      </w:tabs>
      <w:spacing w:after="120"/>
      <w:jc w:val="right"/>
    </w:pPr>
    <w:rPr>
      <w:noProof/>
      <w:sz w:val="21"/>
    </w:rPr>
  </w:style>
  <w:style w:type="paragraph" w:customStyle="1" w:styleId="afc">
    <w:name w:val="标准书眉_偶数页"/>
    <w:basedOn w:val="afb"/>
    <w:next w:val="af2"/>
    <w:pPr>
      <w:jc w:val="left"/>
    </w:pPr>
  </w:style>
  <w:style w:type="paragraph" w:customStyle="1" w:styleId="afd">
    <w:name w:val="标准书眉一"/>
    <w:pPr>
      <w:jc w:val="both"/>
    </w:pPr>
  </w:style>
  <w:style w:type="paragraph" w:customStyle="1" w:styleId="a9">
    <w:name w:val="前言、引言标题"/>
    <w:next w:val="af2"/>
    <w:pPr>
      <w:numPr>
        <w:numId w:val="1"/>
      </w:numPr>
      <w:shd w:val="clear" w:color="FFFFFF" w:fill="FFFFFF"/>
      <w:spacing w:before="640" w:after="560"/>
      <w:jc w:val="center"/>
      <w:outlineLvl w:val="0"/>
    </w:pPr>
    <w:rPr>
      <w:rFonts w:ascii="黑体" w:eastAsia="黑体"/>
      <w:sz w:val="32"/>
    </w:rPr>
  </w:style>
  <w:style w:type="paragraph" w:customStyle="1" w:styleId="afe">
    <w:name w:val="参考文献、索引标题"/>
    <w:basedOn w:val="a9"/>
    <w:next w:val="af2"/>
    <w:pPr>
      <w:numPr>
        <w:numId w:val="0"/>
      </w:numPr>
      <w:spacing w:after="200"/>
    </w:pPr>
    <w:rPr>
      <w:sz w:val="21"/>
    </w:rPr>
  </w:style>
  <w:style w:type="character" w:styleId="aff">
    <w:name w:val="Hyperlink"/>
    <w:semiHidden/>
    <w:rPr>
      <w:rFonts w:ascii="Times New Roman" w:eastAsia="宋体" w:hAnsi="Times New Roman"/>
      <w:dstrike w:val="0"/>
      <w:color w:val="auto"/>
      <w:spacing w:val="0"/>
      <w:w w:val="100"/>
      <w:position w:val="0"/>
      <w:sz w:val="21"/>
      <w:u w:val="none"/>
      <w:vertAlign w:val="baseline"/>
    </w:rPr>
  </w:style>
  <w:style w:type="paragraph" w:customStyle="1" w:styleId="aff0">
    <w:name w:val="段"/>
    <w:pPr>
      <w:autoSpaceDE w:val="0"/>
      <w:autoSpaceDN w:val="0"/>
      <w:ind w:firstLineChars="200" w:firstLine="200"/>
      <w:jc w:val="both"/>
    </w:pPr>
    <w:rPr>
      <w:rFonts w:ascii="宋体"/>
      <w:noProof/>
      <w:sz w:val="21"/>
    </w:rPr>
  </w:style>
  <w:style w:type="paragraph" w:customStyle="1" w:styleId="aa">
    <w:name w:val="章标题"/>
    <w:next w:val="aff0"/>
    <w:pPr>
      <w:numPr>
        <w:ilvl w:val="1"/>
        <w:numId w:val="2"/>
      </w:numPr>
      <w:spacing w:beforeLines="50" w:before="50" w:afterLines="50" w:after="50"/>
      <w:jc w:val="both"/>
      <w:outlineLvl w:val="1"/>
    </w:pPr>
    <w:rPr>
      <w:rFonts w:ascii="黑体" w:eastAsia="黑体"/>
      <w:sz w:val="21"/>
    </w:rPr>
  </w:style>
  <w:style w:type="paragraph" w:customStyle="1" w:styleId="ab">
    <w:name w:val="一级条标题"/>
    <w:next w:val="aff0"/>
    <w:pPr>
      <w:numPr>
        <w:ilvl w:val="2"/>
        <w:numId w:val="3"/>
      </w:numPr>
      <w:outlineLvl w:val="2"/>
    </w:pPr>
    <w:rPr>
      <w:rFonts w:eastAsia="黑体"/>
      <w:sz w:val="21"/>
    </w:rPr>
  </w:style>
  <w:style w:type="paragraph" w:customStyle="1" w:styleId="ac">
    <w:name w:val="二级条标题"/>
    <w:basedOn w:val="ab"/>
    <w:next w:val="aff0"/>
    <w:pPr>
      <w:numPr>
        <w:ilvl w:val="3"/>
        <w:numId w:val="4"/>
      </w:numPr>
      <w:outlineLvl w:val="3"/>
    </w:pPr>
  </w:style>
  <w:style w:type="character" w:customStyle="1" w:styleId="aff1">
    <w:name w:val="发布"/>
    <w:rPr>
      <w:rFonts w:ascii="黑体" w:eastAsia="黑体"/>
      <w:spacing w:val="22"/>
      <w:w w:val="100"/>
      <w:position w:val="3"/>
      <w:sz w:val="28"/>
    </w:rPr>
  </w:style>
  <w:style w:type="paragraph" w:customStyle="1" w:styleId="aff2">
    <w:name w:val="发布部门"/>
    <w:next w:val="aff0"/>
    <w:pPr>
      <w:framePr w:w="7433" w:h="585" w:hRule="exact" w:hSpace="180" w:vSpace="180" w:wrap="around" w:hAnchor="margin" w:xAlign="center" w:y="14401" w:anchorLock="1"/>
      <w:jc w:val="center"/>
    </w:pPr>
    <w:rPr>
      <w:rFonts w:ascii="宋体"/>
      <w:b/>
      <w:spacing w:val="20"/>
      <w:w w:val="135"/>
      <w:sz w:val="36"/>
    </w:rPr>
  </w:style>
  <w:style w:type="paragraph" w:customStyle="1" w:styleId="aff3">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4">
    <w:name w:val="封面标准代替信息"/>
    <w:basedOn w:val="20"/>
    <w:pPr>
      <w:framePr w:wrap="auto"/>
      <w:spacing w:before="57"/>
    </w:pPr>
    <w:rPr>
      <w:rFonts w:ascii="宋体"/>
      <w:sz w:val="21"/>
    </w:rPr>
  </w:style>
  <w:style w:type="paragraph" w:customStyle="1" w:styleId="aff5">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6">
    <w:name w:val="封面标准文稿编辑信息"/>
    <w:pPr>
      <w:spacing w:before="180" w:line="180" w:lineRule="exact"/>
      <w:jc w:val="center"/>
    </w:pPr>
    <w:rPr>
      <w:rFonts w:ascii="宋体"/>
      <w:sz w:val="21"/>
    </w:rPr>
  </w:style>
  <w:style w:type="paragraph" w:customStyle="1" w:styleId="aff7">
    <w:name w:val="封面标准文稿类别"/>
    <w:pPr>
      <w:spacing w:before="440" w:line="400" w:lineRule="exact"/>
      <w:jc w:val="center"/>
    </w:pPr>
    <w:rPr>
      <w:rFonts w:ascii="宋体"/>
      <w:sz w:val="24"/>
    </w:rPr>
  </w:style>
  <w:style w:type="paragraph" w:customStyle="1" w:styleId="aff8">
    <w:name w:val="封面标准英文名称"/>
    <w:pPr>
      <w:widowControl w:val="0"/>
      <w:spacing w:before="370" w:line="400" w:lineRule="exact"/>
      <w:jc w:val="center"/>
    </w:pPr>
    <w:rPr>
      <w:sz w:val="28"/>
    </w:rPr>
  </w:style>
  <w:style w:type="paragraph" w:customStyle="1" w:styleId="aff9">
    <w:name w:val="封面一致性程度标识"/>
    <w:pPr>
      <w:spacing w:before="440" w:line="400" w:lineRule="exact"/>
      <w:jc w:val="center"/>
    </w:pPr>
    <w:rPr>
      <w:rFonts w:ascii="宋体"/>
      <w:sz w:val="28"/>
    </w:rPr>
  </w:style>
  <w:style w:type="paragraph" w:customStyle="1" w:styleId="affa">
    <w:name w:val="封面正文"/>
    <w:pPr>
      <w:jc w:val="both"/>
    </w:pPr>
  </w:style>
  <w:style w:type="paragraph" w:customStyle="1" w:styleId="affb">
    <w:name w:val="附录标识"/>
    <w:basedOn w:val="a9"/>
    <w:pPr>
      <w:numPr>
        <w:numId w:val="5"/>
      </w:numPr>
      <w:tabs>
        <w:tab w:val="left" w:pos="6405"/>
      </w:tabs>
      <w:spacing w:after="200"/>
    </w:pPr>
    <w:rPr>
      <w:sz w:val="21"/>
    </w:rPr>
  </w:style>
  <w:style w:type="paragraph" w:customStyle="1" w:styleId="a2">
    <w:name w:val="附录表标题"/>
    <w:next w:val="aff0"/>
    <w:pPr>
      <w:numPr>
        <w:numId w:val="23"/>
      </w:numPr>
      <w:jc w:val="center"/>
      <w:textAlignment w:val="baseline"/>
    </w:pPr>
    <w:rPr>
      <w:rFonts w:ascii="黑体" w:eastAsia="黑体"/>
      <w:kern w:val="21"/>
      <w:sz w:val="21"/>
    </w:rPr>
  </w:style>
  <w:style w:type="paragraph" w:customStyle="1" w:styleId="affc">
    <w:name w:val="附录章标题"/>
    <w:next w:val="aff0"/>
    <w:pPr>
      <w:numPr>
        <w:ilvl w:val="1"/>
        <w:numId w:val="6"/>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4">
    <w:name w:val="附录一级条标题"/>
    <w:basedOn w:val="affc"/>
    <w:next w:val="aff0"/>
    <w:pPr>
      <w:numPr>
        <w:ilvl w:val="2"/>
        <w:numId w:val="7"/>
      </w:numPr>
      <w:autoSpaceDN w:val="0"/>
      <w:spacing w:beforeLines="0" w:before="0" w:afterLines="0" w:after="0"/>
      <w:outlineLvl w:val="2"/>
    </w:pPr>
  </w:style>
  <w:style w:type="paragraph" w:customStyle="1" w:styleId="a5">
    <w:name w:val="附录二级条标题"/>
    <w:basedOn w:val="a4"/>
    <w:next w:val="aff0"/>
    <w:pPr>
      <w:numPr>
        <w:ilvl w:val="3"/>
        <w:numId w:val="8"/>
      </w:numPr>
      <w:outlineLvl w:val="3"/>
    </w:pPr>
  </w:style>
  <w:style w:type="paragraph" w:customStyle="1" w:styleId="a6">
    <w:name w:val="附录三级条标题"/>
    <w:basedOn w:val="a5"/>
    <w:next w:val="aff0"/>
    <w:pPr>
      <w:numPr>
        <w:ilvl w:val="4"/>
        <w:numId w:val="9"/>
      </w:numPr>
      <w:outlineLvl w:val="4"/>
    </w:pPr>
  </w:style>
  <w:style w:type="paragraph" w:customStyle="1" w:styleId="a7">
    <w:name w:val="附录四级条标题"/>
    <w:basedOn w:val="a6"/>
    <w:next w:val="aff0"/>
    <w:pPr>
      <w:numPr>
        <w:ilvl w:val="5"/>
        <w:numId w:val="10"/>
      </w:numPr>
      <w:outlineLvl w:val="5"/>
    </w:pPr>
  </w:style>
  <w:style w:type="paragraph" w:customStyle="1" w:styleId="a0">
    <w:name w:val="附录图标题"/>
    <w:next w:val="aff0"/>
    <w:pPr>
      <w:numPr>
        <w:numId w:val="24"/>
      </w:numPr>
      <w:jc w:val="center"/>
    </w:pPr>
    <w:rPr>
      <w:rFonts w:ascii="黑体" w:eastAsia="黑体"/>
      <w:sz w:val="21"/>
    </w:rPr>
  </w:style>
  <w:style w:type="paragraph" w:customStyle="1" w:styleId="affd">
    <w:name w:val="附录五级条标题"/>
    <w:basedOn w:val="a7"/>
    <w:next w:val="aff0"/>
    <w:pPr>
      <w:numPr>
        <w:ilvl w:val="6"/>
        <w:numId w:val="11"/>
      </w:numPr>
      <w:outlineLvl w:val="6"/>
    </w:pPr>
  </w:style>
  <w:style w:type="character" w:customStyle="1" w:styleId="a8">
    <w:name w:val="个人答复风格"/>
    <w:rPr>
      <w:rFonts w:ascii="Arial" w:eastAsia="宋体" w:hAnsi="Arial" w:cs="Arial"/>
      <w:color w:val="auto"/>
      <w:sz w:val="20"/>
    </w:rPr>
  </w:style>
  <w:style w:type="character" w:customStyle="1" w:styleId="affe">
    <w:name w:val="个人撰写风格"/>
    <w:rPr>
      <w:rFonts w:ascii="Arial" w:eastAsia="宋体" w:hAnsi="Arial" w:cs="Arial"/>
      <w:color w:val="auto"/>
      <w:sz w:val="20"/>
    </w:rPr>
  </w:style>
  <w:style w:type="paragraph" w:styleId="afff">
    <w:name w:val="footnote text"/>
    <w:basedOn w:val="af2"/>
    <w:semiHidden/>
    <w:pPr>
      <w:snapToGrid w:val="0"/>
      <w:jc w:val="left"/>
    </w:pPr>
    <w:rPr>
      <w:sz w:val="18"/>
      <w:szCs w:val="18"/>
    </w:rPr>
  </w:style>
  <w:style w:type="character" w:styleId="afff0">
    <w:name w:val="footnote reference"/>
    <w:semiHidden/>
    <w:rPr>
      <w:vertAlign w:val="superscript"/>
    </w:rPr>
  </w:style>
  <w:style w:type="paragraph" w:customStyle="1" w:styleId="af1">
    <w:name w:val="列项——（一级）"/>
    <w:pPr>
      <w:widowControl w:val="0"/>
      <w:numPr>
        <w:numId w:val="12"/>
      </w:numPr>
      <w:tabs>
        <w:tab w:val="clear" w:pos="1140"/>
        <w:tab w:val="num" w:pos="854"/>
      </w:tabs>
      <w:ind w:leftChars="200" w:hangingChars="200"/>
      <w:jc w:val="both"/>
    </w:pPr>
    <w:rPr>
      <w:rFonts w:ascii="宋体"/>
      <w:sz w:val="21"/>
    </w:rPr>
  </w:style>
  <w:style w:type="paragraph" w:customStyle="1" w:styleId="a3">
    <w:name w:val="列项●（二级）"/>
    <w:pPr>
      <w:numPr>
        <w:numId w:val="21"/>
      </w:numPr>
      <w:tabs>
        <w:tab w:val="left" w:pos="840"/>
      </w:tabs>
      <w:ind w:leftChars="400" w:left="600" w:hangingChars="200" w:hanging="200"/>
      <w:jc w:val="both"/>
    </w:pPr>
    <w:rPr>
      <w:rFonts w:ascii="宋体"/>
      <w:sz w:val="21"/>
    </w:rPr>
  </w:style>
  <w:style w:type="paragraph" w:customStyle="1" w:styleId="afff1">
    <w:name w:val="目次、标准名称标题"/>
    <w:basedOn w:val="a9"/>
    <w:next w:val="aff0"/>
    <w:pPr>
      <w:numPr>
        <w:numId w:val="0"/>
      </w:numPr>
      <w:spacing w:line="460" w:lineRule="exact"/>
    </w:pPr>
  </w:style>
  <w:style w:type="paragraph" w:customStyle="1" w:styleId="afff2">
    <w:name w:val="目次、索引正文"/>
    <w:pPr>
      <w:spacing w:line="320" w:lineRule="exact"/>
      <w:jc w:val="both"/>
    </w:pPr>
    <w:rPr>
      <w:rFonts w:ascii="宋体"/>
      <w:sz w:val="21"/>
    </w:rPr>
  </w:style>
  <w:style w:type="paragraph" w:styleId="11">
    <w:name w:val="目录 1"/>
    <w:autoRedefine/>
    <w:semiHidden/>
    <w:pPr>
      <w:jc w:val="both"/>
    </w:pPr>
    <w:rPr>
      <w:rFonts w:ascii="宋体"/>
      <w:sz w:val="21"/>
    </w:rPr>
  </w:style>
  <w:style w:type="paragraph" w:styleId="21">
    <w:name w:val="目录 2"/>
    <w:basedOn w:val="11"/>
    <w:autoRedefine/>
    <w:semiHidden/>
    <w:rPr>
      <w:noProof/>
    </w:rPr>
  </w:style>
  <w:style w:type="paragraph" w:styleId="30">
    <w:name w:val="目录 3"/>
    <w:basedOn w:val="21"/>
    <w:autoRedefine/>
    <w:semiHidden/>
  </w:style>
  <w:style w:type="paragraph" w:styleId="40">
    <w:name w:val="目录 4"/>
    <w:basedOn w:val="30"/>
    <w:autoRedefine/>
    <w:semiHidden/>
  </w:style>
  <w:style w:type="paragraph" w:styleId="50">
    <w:name w:val="目录 5"/>
    <w:basedOn w:val="40"/>
    <w:autoRedefine/>
    <w:semiHidden/>
  </w:style>
  <w:style w:type="paragraph" w:styleId="60">
    <w:name w:val="目录 6"/>
    <w:basedOn w:val="50"/>
    <w:autoRedefine/>
    <w:semiHidden/>
  </w:style>
  <w:style w:type="paragraph" w:styleId="70">
    <w:name w:val="目录 7"/>
    <w:basedOn w:val="60"/>
    <w:autoRedefine/>
    <w:semiHidden/>
  </w:style>
  <w:style w:type="paragraph" w:styleId="80">
    <w:name w:val="目录 8"/>
    <w:basedOn w:val="70"/>
    <w:autoRedefine/>
    <w:semiHidden/>
  </w:style>
  <w:style w:type="paragraph" w:styleId="90">
    <w:name w:val="目录 9"/>
    <w:basedOn w:val="80"/>
    <w:autoRedefine/>
    <w:semiHidden/>
  </w:style>
  <w:style w:type="paragraph" w:customStyle="1" w:styleId="afff3">
    <w:name w:val="其他标准称谓"/>
    <w:pPr>
      <w:spacing w:line="0" w:lineRule="atLeast"/>
      <w:jc w:val="distribute"/>
    </w:pPr>
    <w:rPr>
      <w:rFonts w:ascii="黑体" w:eastAsia="黑体" w:hAnsi="宋体"/>
      <w:sz w:val="52"/>
    </w:rPr>
  </w:style>
  <w:style w:type="paragraph" w:customStyle="1" w:styleId="afff4">
    <w:name w:val="其他发布部门"/>
    <w:basedOn w:val="aff2"/>
    <w:pPr>
      <w:framePr w:wrap="around"/>
      <w:spacing w:line="0" w:lineRule="atLeast"/>
    </w:pPr>
    <w:rPr>
      <w:rFonts w:ascii="黑体" w:eastAsia="黑体"/>
      <w:b w:val="0"/>
    </w:rPr>
  </w:style>
  <w:style w:type="paragraph" w:customStyle="1" w:styleId="ad">
    <w:name w:val="三级条标题"/>
    <w:basedOn w:val="ac"/>
    <w:next w:val="aff0"/>
    <w:pPr>
      <w:numPr>
        <w:ilvl w:val="4"/>
        <w:numId w:val="13"/>
      </w:numPr>
      <w:outlineLvl w:val="4"/>
    </w:pPr>
  </w:style>
  <w:style w:type="paragraph" w:customStyle="1" w:styleId="afff5">
    <w:name w:val="实施日期"/>
    <w:basedOn w:val="aff3"/>
    <w:pPr>
      <w:framePr w:hSpace="0" w:wrap="around" w:xAlign="right"/>
      <w:jc w:val="right"/>
    </w:pPr>
  </w:style>
  <w:style w:type="paragraph" w:customStyle="1" w:styleId="afff6">
    <w:name w:val="示例"/>
    <w:next w:val="aff0"/>
    <w:pPr>
      <w:numPr>
        <w:numId w:val="14"/>
      </w:numPr>
      <w:tabs>
        <w:tab w:val="clear" w:pos="1120"/>
        <w:tab w:val="num" w:pos="816"/>
      </w:tabs>
      <w:ind w:firstLineChars="233" w:firstLine="419"/>
      <w:jc w:val="both"/>
    </w:pPr>
    <w:rPr>
      <w:rFonts w:ascii="宋体"/>
      <w:sz w:val="18"/>
    </w:rPr>
  </w:style>
  <w:style w:type="paragraph" w:customStyle="1" w:styleId="afff7">
    <w:name w:val="数字编号列项（二级）"/>
    <w:pPr>
      <w:ind w:leftChars="400" w:left="1260" w:hangingChars="200" w:hanging="420"/>
      <w:jc w:val="both"/>
    </w:pPr>
    <w:rPr>
      <w:rFonts w:ascii="宋体"/>
      <w:sz w:val="21"/>
    </w:rPr>
  </w:style>
  <w:style w:type="paragraph" w:customStyle="1" w:styleId="a">
    <w:name w:val="四级条标题"/>
    <w:basedOn w:val="ad"/>
    <w:next w:val="aff0"/>
    <w:pPr>
      <w:numPr>
        <w:ilvl w:val="5"/>
        <w:numId w:val="15"/>
      </w:numPr>
      <w:outlineLvl w:val="5"/>
    </w:pPr>
  </w:style>
  <w:style w:type="paragraph" w:customStyle="1" w:styleId="afff8">
    <w:name w:val="条文脚注"/>
    <w:basedOn w:val="afff"/>
    <w:pPr>
      <w:ind w:leftChars="200" w:left="780" w:hangingChars="200" w:hanging="360"/>
      <w:jc w:val="both"/>
    </w:pPr>
    <w:rPr>
      <w:rFonts w:ascii="宋体"/>
    </w:rPr>
  </w:style>
  <w:style w:type="paragraph" w:customStyle="1" w:styleId="ae">
    <w:name w:val="图表脚注"/>
    <w:next w:val="aff0"/>
    <w:pPr>
      <w:ind w:leftChars="200" w:left="300" w:hangingChars="100" w:hanging="100"/>
      <w:jc w:val="both"/>
    </w:pPr>
    <w:rPr>
      <w:rFonts w:ascii="宋体"/>
      <w:sz w:val="18"/>
    </w:rPr>
  </w:style>
  <w:style w:type="paragraph" w:customStyle="1" w:styleId="afff9">
    <w:name w:val="文献分类号"/>
    <w:pPr>
      <w:framePr w:hSpace="180" w:vSpace="180" w:wrap="around" w:hAnchor="margin" w:y="1" w:anchorLock="1"/>
      <w:widowControl w:val="0"/>
      <w:textAlignment w:val="center"/>
    </w:pPr>
    <w:rPr>
      <w:rFonts w:eastAsia="黑体"/>
      <w:sz w:val="21"/>
    </w:rPr>
  </w:style>
  <w:style w:type="character" w:styleId="afffa">
    <w:name w:val="Strong"/>
    <w:qFormat/>
    <w:rPr>
      <w:b/>
      <w:bCs/>
    </w:rPr>
  </w:style>
  <w:style w:type="paragraph" w:customStyle="1" w:styleId="afffb">
    <w:name w:val="五级条标题"/>
    <w:basedOn w:val="a"/>
    <w:next w:val="aff0"/>
    <w:pPr>
      <w:numPr>
        <w:ilvl w:val="6"/>
        <w:numId w:val="16"/>
      </w:numPr>
      <w:outlineLvl w:val="6"/>
    </w:pPr>
  </w:style>
  <w:style w:type="paragraph" w:styleId="afffc">
    <w:name w:val="footer"/>
    <w:basedOn w:val="af2"/>
    <w:semiHidden/>
    <w:pPr>
      <w:tabs>
        <w:tab w:val="center" w:pos="4153"/>
        <w:tab w:val="right" w:pos="8306"/>
      </w:tabs>
      <w:snapToGrid w:val="0"/>
      <w:ind w:rightChars="100" w:right="210"/>
      <w:jc w:val="right"/>
    </w:pPr>
    <w:rPr>
      <w:sz w:val="18"/>
      <w:szCs w:val="18"/>
    </w:rPr>
  </w:style>
  <w:style w:type="character" w:styleId="afffd">
    <w:name w:val="page number"/>
    <w:semiHidden/>
    <w:rPr>
      <w:rFonts w:ascii="Times New Roman" w:eastAsia="宋体" w:hAnsi="Times New Roman"/>
      <w:sz w:val="18"/>
    </w:rPr>
  </w:style>
  <w:style w:type="paragraph" w:styleId="af">
    <w:name w:val="header"/>
    <w:basedOn w:val="af2"/>
    <w:semiHidden/>
    <w:pPr>
      <w:pBdr>
        <w:bottom w:val="single" w:sz="6" w:space="1" w:color="auto"/>
      </w:pBdr>
      <w:tabs>
        <w:tab w:val="center" w:pos="4153"/>
        <w:tab w:val="right" w:pos="8306"/>
      </w:tabs>
      <w:snapToGrid w:val="0"/>
      <w:jc w:val="center"/>
    </w:pPr>
    <w:rPr>
      <w:sz w:val="18"/>
      <w:szCs w:val="18"/>
    </w:rPr>
  </w:style>
  <w:style w:type="paragraph" w:customStyle="1" w:styleId="afffe">
    <w:name w:val="正文表标题"/>
    <w:next w:val="aff0"/>
    <w:pPr>
      <w:numPr>
        <w:numId w:val="17"/>
      </w:numPr>
      <w:jc w:val="center"/>
    </w:pPr>
    <w:rPr>
      <w:rFonts w:ascii="黑体" w:eastAsia="黑体"/>
      <w:sz w:val="21"/>
    </w:rPr>
  </w:style>
  <w:style w:type="paragraph" w:customStyle="1" w:styleId="affff">
    <w:name w:val="正文图标题"/>
    <w:next w:val="aff0"/>
    <w:pPr>
      <w:numPr>
        <w:numId w:val="18"/>
      </w:numPr>
      <w:jc w:val="center"/>
    </w:pPr>
    <w:rPr>
      <w:rFonts w:ascii="黑体" w:eastAsia="黑体"/>
      <w:sz w:val="21"/>
    </w:rPr>
  </w:style>
  <w:style w:type="paragraph" w:customStyle="1" w:styleId="affff0">
    <w:name w:val="注："/>
    <w:next w:val="aff0"/>
    <w:pPr>
      <w:widowControl w:val="0"/>
      <w:numPr>
        <w:numId w:val="19"/>
      </w:numPr>
      <w:tabs>
        <w:tab w:val="clear" w:pos="1140"/>
      </w:tabs>
      <w:autoSpaceDE w:val="0"/>
      <w:autoSpaceDN w:val="0"/>
      <w:jc w:val="both"/>
    </w:pPr>
    <w:rPr>
      <w:rFonts w:ascii="宋体"/>
      <w:sz w:val="18"/>
    </w:rPr>
  </w:style>
  <w:style w:type="paragraph" w:customStyle="1" w:styleId="affff1">
    <w:name w:val="注×："/>
    <w:pPr>
      <w:widowControl w:val="0"/>
      <w:numPr>
        <w:numId w:val="20"/>
      </w:numPr>
      <w:tabs>
        <w:tab w:val="clear" w:pos="900"/>
        <w:tab w:val="left" w:pos="630"/>
      </w:tabs>
      <w:autoSpaceDE w:val="0"/>
      <w:autoSpaceDN w:val="0"/>
      <w:jc w:val="both"/>
    </w:pPr>
    <w:rPr>
      <w:rFonts w:ascii="宋体"/>
      <w:sz w:val="18"/>
    </w:rPr>
  </w:style>
  <w:style w:type="paragraph" w:customStyle="1" w:styleId="affff2">
    <w:name w:val="字母编号列项（一级）"/>
    <w:pPr>
      <w:ind w:leftChars="200" w:left="840" w:hangingChars="200" w:hanging="420"/>
      <w:jc w:val="both"/>
    </w:pPr>
    <w:rPr>
      <w:rFonts w:ascii="宋体"/>
      <w:sz w:val="21"/>
    </w:rPr>
  </w:style>
  <w:style w:type="character" w:customStyle="1" w:styleId="font121">
    <w:name w:val="font121"/>
    <w:rPr>
      <w:sz w:val="24"/>
      <w:szCs w:val="24"/>
    </w:rPr>
  </w:style>
  <w:style w:type="paragraph" w:customStyle="1" w:styleId="a1">
    <w:name w:val="列项◆（三级）"/>
    <w:pPr>
      <w:numPr>
        <w:numId w:val="22"/>
      </w:numPr>
      <w:ind w:leftChars="600" w:left="800" w:hangingChars="200" w:hanging="200"/>
    </w:pPr>
    <w:rPr>
      <w:rFonts w:ascii="宋体"/>
      <w:sz w:val="21"/>
    </w:rPr>
  </w:style>
  <w:style w:type="paragraph" w:customStyle="1" w:styleId="af0">
    <w:name w:val="编号列项（三级）"/>
    <w:pPr>
      <w:ind w:leftChars="600" w:left="800" w:hangingChars="200" w:hanging="200"/>
    </w:pPr>
    <w:rPr>
      <w:rFonts w:ascii="宋体"/>
      <w:sz w:val="21"/>
    </w:rPr>
  </w:style>
  <w:style w:type="character" w:customStyle="1" w:styleId="unnamed1">
    <w:name w:val="unnamed1"/>
    <w:basedOn w:val="af3"/>
  </w:style>
  <w:style w:type="character" w:styleId="affff3">
    <w:name w:val="已访问的超链接"/>
    <w:semiHidden/>
    <w:rPr>
      <w:color w:val="800080"/>
      <w:u w:val="single"/>
    </w:rPr>
  </w:style>
  <w:style w:type="paragraph" w:styleId="affff4">
    <w:name w:val="Balloon Text"/>
    <w:basedOn w:val="af2"/>
    <w:semiHidden/>
    <w:rPr>
      <w:sz w:val="18"/>
      <w:szCs w:val="18"/>
    </w:rPr>
  </w:style>
  <w:style w:type="paragraph" w:styleId="affff5">
    <w:name w:val="Date"/>
    <w:basedOn w:val="af2"/>
    <w:next w:val="af2"/>
    <w:semiHidden/>
    <w:pPr>
      <w:ind w:leftChars="2500" w:left="100"/>
    </w:pPr>
  </w:style>
  <w:style w:type="paragraph" w:customStyle="1" w:styleId="CharCharChar">
    <w:name w:val=" Char Char Char"/>
    <w:basedOn w:val="af2"/>
    <w:rPr>
      <w:rFonts w:ascii="Tahoma" w:hAnsi="Tahom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2</Pages>
  <Words>307</Words>
  <Characters>1754</Characters>
  <Application>Microsoft Office Word</Application>
  <DocSecurity>0</DocSecurity>
  <Lines>14</Lines>
  <Paragraphs>4</Paragraphs>
  <ScaleCrop>false</ScaleCrop>
  <HeadingPairs>
    <vt:vector size="2" baseType="variant">
      <vt:variant>
        <vt:lpstr>题目</vt:lpstr>
      </vt:variant>
      <vt:variant>
        <vt:i4>1</vt:i4>
      </vt:variant>
    </vt:vector>
  </HeadingPairs>
  <TitlesOfParts>
    <vt:vector size="1" baseType="lpstr">
      <vt:lpstr>氮气气调工程设计规范</vt:lpstr>
    </vt:vector>
  </TitlesOfParts>
  <Company>CNIS</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氮气气调工程设计规范</dc:title>
  <dc:subject/>
  <dc:creator>chk</dc:creator>
  <cp:keywords/>
  <cp:lastModifiedBy>qiwen</cp:lastModifiedBy>
  <cp:revision>2</cp:revision>
  <cp:lastPrinted>2014-12-26T05:30:00Z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