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银行信息科技风险监管评级提升协同作战计划（2026—2030）</w:t>
      </w:r>
    </w:p>
    <w:p>
      <w:pPr>
        <w:pStyle w:val="Heading1"/>
        <w:spacing w:after="120" w:before="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第一章 综述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（一）制定目的与目标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本计划面向2026—2030年五年周期，以"超越底线、质量优先、深化落地、协同作战"为核心，在现有制度框架与平台基础上，系统提升信息科技风险管理的实质有效性，推动监管评级持续改善。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2026年核心目标</w:t>
      </w:r>
      <w:r>
        <w:rPr>
          <w:rFonts w:ascii="FangSong" w:cs="FangSong" w:eastAsia="FangSong" w:hAnsi="FangSong"/>
          <w:sz w:val="30"/>
          <w:szCs w:val="30"/>
        </w:rPr>
        <w:t xml:space="preserve">：严格对照《商业银行信息科技风险管理指引》八大评级维度，以"深化落地、提升实质有效性、全面提升质量标尺"为主线，聚焦监管高频扣分项，推动评级从[当前级别]提升至[目标级别]，信息科技风险得分提升[目标分值]以上，助力全行综合监管评级升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五年战略目标</w:t>
      </w:r>
      <w:r>
        <w:rPr>
          <w:rFonts w:ascii="FangSong" w:cs="FangSong" w:eastAsia="FangSong" w:hAnsi="FangSong"/>
          <w:sz w:val="30"/>
          <w:szCs w:val="30"/>
        </w:rPr>
        <w:t xml:space="preserve">：至2030年，监管评级稳定保持优良等级，建立可持续运转的科技风险治理长效机制，实现从"底线合规"向"高质量治理"的持续转变，力争达到[政策性银行同业先进水平]。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（二）方案整体逻辑与摘要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本方案的立论起点是两个判断：其一，本行信息科技风险管理的核心矛盾不在于"有没有"，而在于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底线思维过重</w:t>
      </w:r>
      <w:r>
        <w:rPr>
          <w:rFonts w:ascii="FangSong" w:cs="FangSong" w:eastAsia="FangSong" w:hAnsi="FangSong"/>
          <w:sz w:val="30"/>
          <w:szCs w:val="30"/>
        </w:rPr>
        <w:t xml:space="preserve">——各项工作以满足监管最低要求为隐性目标，合规水平普遍接近监管底线（详见第二章）；其二，存在少量缺口， 如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数据治理层面</w:t>
      </w:r>
      <w:r>
        <w:rPr>
          <w:rFonts w:ascii="FangSong" w:cs="FangSong" w:eastAsia="FangSong" w:hAnsi="FangSong"/>
          <w:sz w:val="30"/>
          <w:szCs w:val="30"/>
        </w:rPr>
        <w:t xml:space="preserve">，数据资产目录、数据分类分级等基础工作尚未落地[有待核实，据我们所知2025年还没落实到系统层面]。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基于上述诊断与监管趋势分析（第三章），本方案确立"超越底线、质量优先"等核心原则（第四章），并将八大监管评级维度映射为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十大战役</w:t>
      </w:r>
      <w:r>
        <w:rPr>
          <w:rFonts w:ascii="FangSong" w:cs="FangSong" w:eastAsia="FangSong" w:hAnsi="FangSong"/>
          <w:sz w:val="30"/>
          <w:szCs w:val="30"/>
        </w:rPr>
        <w:t xml:space="preserve">，按强度分层推进：每年选定1—2个方向集中投入形成重点突破，其余战役以底线保障或深化维护为定位，确保全维度覆盖的同时实现重点跨档提升。十大战役的完整框架定义见第五章。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五年演进分为五个阶段：2026年夯实基础、攻坚评级（第六章），2027年深化体系（第七章），2028年争创优良（第八章），2029年数字赋能（第九章），2030年持续优化与长效治理（第十章）。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在组织保障层面，各年度作战计划中的部门分工基于全行既有职责定位；第十一章对各部门在本计划中的角色做显式汇总，并定义"风险—科技—数据"三角联席等专项协作机制，为跨部门协同提供制度支撑。保障措施与应急调整机制见第十二章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（三）适用范围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覆盖全行各部门、各分支机构。核心聚焦信息科技部（含五个专业板块）、风险管理、审计部、数据管理部四大关键职能，同时明确业务部门在特定战役中的协同职责，确保各项工作落地到岗、责任到人。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第二章 现状诊断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（一）现有基础能力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本行信息科技风险管理已具备以下基础能力，本计划以此为起点推进深化与提升，而非重复建设：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基础领域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现状描述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IT服务管理框架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ITIL/ISO 20000体系已实施，ITMIS平台（含事件、变更、配置管理模块）运行中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已认证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信息安全管理体系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ISMS/ISO 27001已通过认证，安全制度体系已建立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已认证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等级保护测评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重要系统已完成等保2.0测评并通过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已通过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密码测评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核心系统已完成商用密码应用安全性评估（密评）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已通过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核心制度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信息科技风险管理办法、外包管理办法等必要制度已发布生效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已建立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安全运营与监控平台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SOC、漏洞扫描平台、态势感知平台、ITMIS运维平台已部署上线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终端与数据安全工具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终端安全管理平台（EDR/终端防护）、DLP（数据防泄漏）已部署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特权账号管理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特权账号管理平台（PAM）已上线，覆盖服务器、数据库等关键系统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边界防御设施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防火墙、IDS/IPS、WAF等边界防御设备已部署；网络及主机监控设施齐备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容灾基础设施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容灾中心已建设，具备异地灾备能力，支撑RTO/RPO达标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软件开发成熟度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CMMi 已通过评估（软件开发能力成熟度基础已具备）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已通过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（二）核心问题诊断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两类问题并存</w:t>
      </w:r>
      <w:r>
        <w:rPr>
          <w:rFonts w:ascii="FangSong" w:cs="FangSong" w:eastAsia="FangSong" w:hAnsi="FangSong"/>
          <w:sz w:val="30"/>
          <w:szCs w:val="30"/>
        </w:rPr>
        <w:t xml:space="preserve">：当前本行信息科技风险管理的核心矛盾不在于"有没有"，而在于"好不好"与"确有缺失"。</w:t>
      </w:r>
    </w:p>
    <w:p>
      <w:pPr>
        <w:spacing w:after="120" w:before="60" w:line="420" w:lineRule="atLeast"/>
        <w:ind w:left="567"/>
      </w:pPr>
      <w:r>
        <w:rPr>
          <w:rFonts w:ascii="FangSong" w:cs="FangSong" w:eastAsia="FangSong" w:hAnsi="FangSong"/>
          <w:sz w:val="30"/>
          <w:szCs w:val="30"/>
        </w:rPr>
        <w:t xml:space="preserve">一方面，上述基础框架与安全设施已解决"有没有"的问题，但在执行深度和实质有效性上普遍存在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底线思维</w:t>
      </w:r>
      <w:r>
        <w:rPr>
          <w:rFonts w:ascii="FangSong" w:cs="FangSong" w:eastAsia="FangSong" w:hAnsi="FangSong"/>
          <w:sz w:val="30"/>
          <w:szCs w:val="30"/>
        </w:rPr>
        <w:t xml:space="preserve">：等保/密评重在通过而非整改落地；各类安全设备与平台的核心问题不在于基本处置流程，而在于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检测视野盲区</w:t>
      </w:r>
      <w:r>
        <w:rPr>
          <w:rFonts w:ascii="FangSong" w:cs="FangSong" w:eastAsia="FangSong" w:hAnsi="FangSong"/>
          <w:sz w:val="30"/>
          <w:szCs w:val="30"/>
        </w:rPr>
        <w:t xml:space="preserve">——超出默认配置与基础功能范围、需要主动设置或主动分析的能力普遍被忽略；各领域合规水平普遍接近监管最低要求。</w:t>
      </w:r>
    </w:p>
    <w:p>
      <w:pPr>
        <w:spacing w:after="120" w:before="60" w:line="420" w:lineRule="atLeast"/>
        <w:ind w:left="567"/>
      </w:pPr>
      <w:r>
        <w:rPr>
          <w:rFonts w:ascii="FangSong" w:cs="FangSong" w:eastAsia="FangSong" w:hAnsi="FangSong"/>
          <w:sz w:val="30"/>
          <w:szCs w:val="30"/>
        </w:rPr>
        <w:t xml:space="preserve">另一方面，存在少量缺口， 如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数据治理层面</w:t>
      </w:r>
      <w:r>
        <w:rPr>
          <w:rFonts w:ascii="FangSong" w:cs="FangSong" w:eastAsia="FangSong" w:hAnsi="FangSong"/>
          <w:sz w:val="30"/>
          <w:szCs w:val="30"/>
        </w:rPr>
        <w:t xml:space="preserve">*，数据资产目录、数据分类分级等基础性工作尚未系统落地，成为评级提升的突出短板（对应战役八）。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对评级的影响</w:t>
      </w:r>
      <w:r>
        <w:rPr>
          <w:rFonts w:ascii="FangSong" w:cs="FangSong" w:eastAsia="FangSong" w:hAnsi="FangSong"/>
          <w:sz w:val="30"/>
          <w:szCs w:val="30"/>
        </w:rPr>
        <w:t xml:space="preserve">：初步判断，当前各评级维度的总体状态是"维度均有覆盖，执行多在边缘"——底线思维虽可在各维度保持基本合格、避免明显失分，但在各维度上缺乏显著高于监管基准的质量优势，导致评级难以实现跨档提升。要从"基本合格"走向"优良"，必须在各维度上建立起超越底线的质量厚度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第三章 监管动态与趋势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本章系统梳理五年计划期内的监管政策演进趋势，作为各阶段重点工作安排的依据。监管预测基于现行政策脉络分析，实际政策以监管机构正式发文为准，计划每年复盘时根据新发政策滚动调整。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（一）现行监管框架要点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当前信息科技风险监管的核心依据体系如下，构成五年计划的基准约束：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监管层级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核心文件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主要约束方向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国家法律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《网络安全法》《数据安全法》《个人信息保护法》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数据安全、网络运行安全的法律底线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行政法规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《关键信息基础设施安全保护条例》（2021）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关基运营者安全保护义务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监管指引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《商业银行信息科技风险管理指引》（银监发〔2009〕19号）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IT治理三道防线、八大评级维度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规范性文件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《银行保险机构信息科技外包风险监管办法》（银保监办发〔2021〕141号）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外包全生命周期、集中度量化管控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规范性文件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《银行保险机构数据安全管理办法》（金规〔2024〕24号）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数据全生命周期、分类分级强制化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部门规章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《中国人民银行业务领域数据安全管理办法》（人民银行令〔2025〕第3号）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支付清算等人行业务领域数据安全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技术标准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等保2.0（GB/T 22239—2019）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二级及以上系统等保测评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技术标准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密评（GB/T 39786—2021）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核心系统商用密码应用评估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（二）2026年近期监管动向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以下政策动向高度确定，直接影响本计划2026年战役的工作重点：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《金融科技发展规划（2026—2030年）》</w:t>
      </w:r>
      <w:r>
        <w:rPr>
          <w:rFonts w:ascii="FangSong" w:cs="FangSong" w:eastAsia="FangSong" w:hAnsi="FangSong"/>
          <w:sz w:val="30"/>
          <w:szCs w:val="30"/>
        </w:rPr>
        <w:t xml:space="preserve">：现行2022-2025年规划到期，新一轮五年规划预计2026年发布，将明确"人工智能+"深度应用、数据资产价值释放等方向，直接驱动本计划后续阶段的战略重点。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AI算法风险专项监管</w:t>
      </w:r>
      <w:r>
        <w:rPr>
          <w:rFonts w:ascii="FangSong" w:cs="FangSong" w:eastAsia="FangSong" w:hAnsi="FangSong"/>
          <w:sz w:val="30"/>
          <w:szCs w:val="30"/>
        </w:rPr>
        <w:t xml:space="preserve">：2025年AI算法风险已成监管核心关注点，大模型备案管理要求、算法审计纳入信息科技审计范围等动作预计在2025-2026年陆续落地；金融领域AI模型风险管理专项指引有望出台。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数据安全双规落地</w:t>
      </w:r>
      <w:r>
        <w:rPr>
          <w:rFonts w:ascii="FangSong" w:cs="FangSong" w:eastAsia="FangSong" w:hAnsi="FangSong"/>
          <w:sz w:val="30"/>
          <w:szCs w:val="30"/>
        </w:rPr>
        <w:t xml:space="preserve">：金监总局数据安全办法（金规〔2024〕24号，2024年12月施行）和人民银行数据安全办法（2025年6月施行）相继落地，2026年是执法检查的关键之年，数据分类分级、敏感数据目录将是检查重点。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《商业银行信息科技风险管理指引》修订压力</w:t>
      </w:r>
      <w:r>
        <w:rPr>
          <w:rFonts w:ascii="FangSong" w:cs="FangSong" w:eastAsia="FangSong" w:hAnsi="FangSong"/>
          <w:sz w:val="30"/>
          <w:szCs w:val="30"/>
        </w:rPr>
        <w:t xml:space="preserve">：该文件历经15年未作整体修订，修订方向预期增加AI治理专章、数据资产化框架和第三方风险章节，2026年后存在修订可能。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（三）2027—2028年中期趋势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以下趋势对本计划第二、三阶段工作安排有重要影响：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AI算法审计常态化</w:t>
      </w:r>
      <w:r>
        <w:rPr>
          <w:rFonts w:ascii="FangSong" w:cs="FangSong" w:eastAsia="FangSong" w:hAnsi="FangSong"/>
          <w:sz w:val="30"/>
          <w:szCs w:val="30"/>
        </w:rPr>
        <w:t xml:space="preserve">：AI算法审计有望成为信息科技审计的常规检查项，银行需建立算法模型全生命周期管理制度和可解释性保障机制。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密评覆盖率要求提升</w:t>
      </w:r>
      <w:r>
        <w:rPr>
          <w:rFonts w:ascii="FangSong" w:cs="FangSong" w:eastAsia="FangSong" w:hAnsi="FangSong"/>
          <w:sz w:val="30"/>
          <w:szCs w:val="30"/>
        </w:rPr>
        <w:t xml:space="preserve">：密评覆盖范围向重要业务系统扩展，核心系统密评覆盖率将成为现场检查重要指标。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数字金融能力评估</w:t>
      </w:r>
      <w:r>
        <w:rPr>
          <w:rFonts w:ascii="FangSong" w:cs="FangSong" w:eastAsia="FangSong" w:hAnsi="FangSong"/>
          <w:sz w:val="30"/>
          <w:szCs w:val="30"/>
        </w:rPr>
        <w:t xml:space="preserve">：监管对银行AI应用、数据资产、云原生架构等数字金融能力的评估要求提升，科技投入产出比将纳入综合评价视野。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（四）2029—2030年长期趋势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以下长期趋势影响本计划第四、五阶段的工作方向：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实时监管与穿透监管全面建成</w:t>
      </w:r>
      <w:r>
        <w:rPr>
          <w:rFonts w:ascii="FangSong" w:cs="FangSong" w:eastAsia="FangSong" w:hAnsi="FangSong"/>
          <w:sz w:val="30"/>
          <w:szCs w:val="30"/>
        </w:rPr>
        <w:t xml:space="preserve">：EAST系统向实时、准实时数据采集演进，监管机构的非现场监测能力大幅提升，银行需具备监管数据自动采集、实时校验和接口对接能力。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AI伦理治理框架成熟</w:t>
      </w:r>
      <w:r>
        <w:rPr>
          <w:rFonts w:ascii="FangSong" w:cs="FangSong" w:eastAsia="FangSong" w:hAnsi="FangSong"/>
          <w:sz w:val="30"/>
          <w:szCs w:val="30"/>
        </w:rPr>
        <w:t xml:space="preserve">：AI伦理委员会将成为银行标配治理架构，算法公平性、可解释性、数据偏见防范成为常规合规要求。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数据资产化体系完善</w:t>
      </w:r>
      <w:r>
        <w:rPr>
          <w:rFonts w:ascii="FangSong" w:cs="FangSong" w:eastAsia="FangSong" w:hAnsi="FangSong"/>
          <w:sz w:val="30"/>
          <w:szCs w:val="30"/>
        </w:rPr>
        <w:t xml:space="preserve">：数据资产入表配套实施细则落地，金融数据流通交易规则明确，银行数据资产管理能力将面临全面评估。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（五）监管趋势与五年计划阶段映射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计划阶段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监管驱动力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本计划对应调整方向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2026（夯实基础）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数据安全双规执法、AI算法风险检查新增、评级指引不变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重点突破（战役二/三），数据治理确认与落地（战役八）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2027（深化体系）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新金科规划落地、AI治理要求细化、密评覆盖提升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DevSecOps成熟化（战役四重点突破），体系成熟化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2028（争创优良）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算法审计常态化、数字金融能力评估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内部模拟检查里程碑（战役二重点突破），争优良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2029（数字赋能）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实时监管升级、数据资产化规则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监管数据实时接口上线（战役二/八重点突破）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2030（持续优化）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AI伦理框架成熟、可持续治理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科技风险量化预测模型成熟验证（战役二重点突破）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第四章 方针原则与战略路径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（一）核心原则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基于第二章的现状诊断与第三章的监管趋势分析，本方案确立以下核心原则：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超越底线，质量优先</w:t>
      </w:r>
      <w:r>
        <w:rPr>
          <w:rFonts w:ascii="FangSong" w:cs="FangSong" w:eastAsia="FangSong" w:hAnsi="FangSong"/>
          <w:sz w:val="30"/>
          <w:szCs w:val="30"/>
        </w:rPr>
        <w:t xml:space="preserve">：拒绝以满足监管最低要求为隐性目标，以"实质有效"而非"形式达标"为交付标准；所有战役的任务动词优先采用"深化、提升、落地"，而非"建设、新增、发布"；已有基础上的质量提升，比重复建设更重要。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提标聚焦，重点突破</w:t>
      </w:r>
      <w:r>
        <w:rPr>
          <w:rFonts w:ascii="FangSong" w:cs="FangSong" w:eastAsia="FangSong" w:hAnsi="FangSong"/>
          <w:sz w:val="30"/>
          <w:szCs w:val="30"/>
        </w:rPr>
        <w:t xml:space="preserve">：核心问题是质量标尺偏低而非基础缺失，不应将"提升质量标准"混同为"补建基础设施"；重点突破方向不能靠堆砌数量，须每年有意识地选定方向集中投入，形成显著优于监管基准的质量优势；全面提标保住基本分，重点突破才能推动评级跨档提升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对标监管，全量覆盖</w:t>
      </w:r>
      <w:r>
        <w:rPr>
          <w:rFonts w:ascii="FangSong" w:cs="FangSong" w:eastAsia="FangSong" w:hAnsi="FangSong"/>
          <w:sz w:val="30"/>
          <w:szCs w:val="30"/>
        </w:rPr>
        <w:t xml:space="preserve">：以《商业银行信息科技风险管理指引》八大评级维度为基准坐标系，建立"评级维度—战役—任务—交付物"的四级映射关系，确保每个评级维度都有对应的主责战役（D8信息科技审计因审计独立性要求，以独立保障机制覆盖而非设置独立战役），不留覆盖盲区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协同联动，打破壁垒</w:t>
      </w:r>
      <w:r>
        <w:rPr>
          <w:rFonts w:ascii="FangSong" w:cs="FangSong" w:eastAsia="FangSong" w:hAnsi="FangSong"/>
          <w:sz w:val="30"/>
          <w:szCs w:val="30"/>
        </w:rPr>
        <w:t xml:space="preserve">：以三大核心协作机制为抓手，推动信息科技部各专业板块与风险管理、审计部、数据管理部及业务部门高效联动，形成协同作战格局（详见第十一章）。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务实落地，量化可考</w:t>
      </w:r>
      <w:r>
        <w:rPr>
          <w:rFonts w:ascii="FangSong" w:cs="FangSong" w:eastAsia="FangSong" w:hAnsi="FangSong"/>
          <w:sz w:val="30"/>
          <w:szCs w:val="30"/>
        </w:rPr>
        <w:t xml:space="preserve">：所有战役任务明确"牵头板块/部门+协同部门+交付物+量化验收标准+完成时限"，每项工作均有具体动作、可穿透验证的量化标准和证据要求。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机制兜底，闭环管控</w:t>
      </w:r>
      <w:r>
        <w:rPr>
          <w:rFonts w:ascii="FangSong" w:cs="FangSong" w:eastAsia="FangSong" w:hAnsi="FangSong"/>
          <w:sz w:val="30"/>
          <w:szCs w:val="30"/>
        </w:rPr>
        <w:t xml:space="preserve">：以"整改销号"机制为保障，强化审计独立验证，形成"发现—认领—整改—验证—销号"全闭环（详见第十一章）。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聚焦提升，证据先行</w:t>
      </w:r>
      <w:r>
        <w:rPr>
          <w:rFonts w:ascii="FangSong" w:cs="FangSong" w:eastAsia="FangSong" w:hAnsi="FangSong"/>
          <w:sz w:val="30"/>
          <w:szCs w:val="30"/>
        </w:rPr>
        <w:t xml:space="preserve">：优先启动需要长周期积累执行记录的维度（开发测试管理、运行管理），确保迎检时有充足、连续的过程证据链。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跟踪监管，动态优化</w:t>
      </w:r>
      <w:r>
        <w:rPr>
          <w:rFonts w:ascii="FangSong" w:cs="FangSong" w:eastAsia="FangSong" w:hAnsi="FangSong"/>
          <w:sz w:val="30"/>
          <w:szCs w:val="30"/>
        </w:rPr>
        <w:t xml:space="preserve">：以年度复盘和监管政策跟踪为驱动，滚动调整各年度目标，确保计划始终对准监管前沿（参见第三章监管动态与趋势）。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（二）监管评级维度诊断与战役映射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按《商业银行信息科技风险管理指引》（银监发〔2009〕19号）各实质性章节逐条梳理监管要求，括号内标注条款依据；数据治理及前瞻性风险防范依据第（一）节所列其他监管文件单独列示；人才与文化为跨维度管理支撑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5"/>
        <w:gridCol w:w="2055"/>
        <w:gridCol w:w="2055"/>
        <w:gridCol w:w="2055"/>
      </w:tblGrid>
      <w:tr>
        <w:trPr>
          <w:tblHeader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监管要求（条款依据）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已有/现状（有待进一步核实）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改进项/建议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对应战役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第二章 信息科技治理（第6—13条）───**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CIO设置，直接向行长汇报（第8条）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CIO已设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制度化汇报路径；留存CIO向行长汇报记录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董事会设立IT管理委员会，定期向董事会和高级管理层汇报IT战略执行、预算和整体状况（第7条第(五)项）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机制已建立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规范会议纪要；决策事项可追溯，记录迎检可举证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设立专门IT风险管理部门，直接向CIO或CRO报告（第10条）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三道防线已划定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明确部门职责文件；年度履职留痕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内审部门设立IT审计专岗，承担IT审计制度和流程实施（第11条）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IT审计专岗已设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确保IT审计专岗独立性和专业能力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审查批准IT战略，确保与总体业务战略一致（第7条第(二)项、第14条）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战略规划已发布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完善年度对齐核查台账，追踪执行偏差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IT部门内部管理职责明确界定；开发、测试与运维职能分离（第9条、第35条第(二)项、第41条）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制度已制定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权限交叉全清零；完善执行台账，迎检可举证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每年审阅并向银监会报送IT风险管理年度报告（第7条第(八)项）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已有报送实践，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固化报送节奏；留存报告材料与汇报纪要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制定全面IT风险管理策略，确保配置足够人力财力资源（第14条、第15条）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策略框架已有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明确IT风险在全面风险管理框架中的位置与报告路径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第三章 信息科技风险管理（第14—19条）───**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建立持续风险识别和评估流程，确定潜在风险区域并按影响排序（第16条）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制度已建立，颗粒度有待提升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年度系统化执行，输出标准化风险评估报告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建立持续IT风险计量和监测机制（第18条，含：系统性能检查、事故报告、整改处理、新技术威胁评估、外包项目风险评价等）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体系已有，颗粒度与自动化程度有待提升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逐项评估机制现状，推进自动采集替代人工报送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建立IT服务投诉和事故处理报告机制（第18条第(三)项）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制度已建立，报告内容标准化有待提升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统一报告模板；明确内容标准与发送机制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建立审计和监管发现问题的整改处理机制（第18条第(四)项）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工具已部署，整改闭环的规范性有待加强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规范整改台账；纳入历史数据；深化整改追踪机制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掌握主要IT风险，确定可接受风险级别（第7条第(三)项）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风险偏好框架已有，量化深度有待提升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量化容忍度阈值并与监控机制挂钩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定期进行IT外包项目风险状况评价（第18条第(八)项）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评价机制已有，量化程度有待加强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完善外包风险评价记录；关键供应商集中度可量化监控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定期评估新技术发展影响及已使用软件面临的新威胁（第18条第(六)项）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有日常关注和个案分析，年度系统化机制有待建立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深化新技术风险评估机制；形成年度评估报告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第四章 信息安全（第20—31条）───**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建立信息分类和保护体系（第20条）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分类体系已有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完善分类保护制度；全员培训覆盖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建立信息安全管理职能，覆盖11个领域：安全制度、组织、资产、人员安全、物理环境、通信运营、访问控制、系统开发维护、事故管理、业务连续性、合规性（第21条）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机制已建立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对照11个领域逐项自评，补齐薄弱领域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用户认证和访问控制，以"必需知道"和"最小授权"为原则；用户离职或调岗时及时注销（第22条、第17条第(三)项）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PAM已上线，全量覆盖和规范化运作有待深化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特权账号行为100%可审计；共享账号清零；离职账号即时注销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物理安全保护区域，采取预防、检测和恢复控制措施（第23条）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定期复查物理访问记录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网络安全域划分，实施逻辑访问控制、传输加密、网络监控和活动日志记录（第24条）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域划分已完成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持续优化域间访问控制规则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操作系统安全：制定基本安全要求，定期检查可用安全补丁，监控系统异常事件（第25条）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扫描机制已建立，修复闭环的规范性有待提升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强化补丁修复闭环管控；异常事件监控自动化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信息系统安全：职责划分，关键岗位双重控制，以书面或电子格式保存审计痕迹（第26条）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制度已制定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强化双重控制执行；审计痕迹完整性核查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系统日志管理：系统日志保存期限不少于一年（第27条）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日志管理制度已有，策略统一性有待强化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统一日志保留策略；核心系统≥1年；合规性验收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采用符合国家要求的加密技术，建立密钥和证书生命周期管理流程（第28条；密评测评依据GB/T 39786-2021）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核心系统已通过密评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扩展密评覆盖范围至重要业务系统；系统适配改造纳入开发计划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客户信息采集、处理、存储、传输、备份和销毁全生命周期管理（第30条）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制度已制定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强化执行验证；全生命周期覆盖率核查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等保2.0测评通过并整改落地（依据：GB/T 22239-2019）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测评已通过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将测评发现逐条整改落地；下次测评前核查有效性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数据安全管理和合规整改（依据：金规〔2024〕24号、人行令〔2025〕第3号）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双规已生效，系统性差距梳理有待正式启动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系统性差距分析→整改计划→审计验证，2026年完成主要整改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第五章 信息系统开发、测试和维护（第32—38条）───**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信息系统全生命周期管理：需求分析、开发、测试到报废，制定项目优先排序和审批控制流程（第32条）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流程已建立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强化项目后评价机制；重大项目进度报告规范化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采用与项目规模、性质和复杂度匹配的系统开发方法（第34条）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基础流程已有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核查开发方法适配性；推进DevSecOps覆盖主要项目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系统变更控制：生产与开发/测试环境有效隔离，管理职能分离，变更须双方联合审批并记录（第35条）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流程已建立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强化变更记录完整性；台账可迎检查验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开发测试维护过程确保数据完整性、保密性和可用性（第36条）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脱敏要求已明确，测试环境的全面落地有待推进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测试环境真实客户数据脱敏清零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建立有效问题管理流程，全面追踪、分析和解决信息系统问题（第37条）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事件管理有基础，独立问题管理机制有待建立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深化独立问题管理机制；重复故障追溯根因并消除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第六章 信息科技运行（第39—49条）───**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事故管理及处置机制：及时响应，逐级报告，记录并进行根本原因分析（第44条）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事故管理机制已有，RCA执行的规范性和覆盖有待加强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强化RCA模板与时限管控；逾期自动上报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建立连续监控信息系统性能的程序，提供预警功能（第46条）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监控平台已部署，告警质量管理机制有待深化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优化告警规则；深化告警质量评估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制定容量规划，适应业务发展和交易量增长（第47条）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容量规划机制已有，自动化程度有待提升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容量监控自动化；月报机制固化；预警阈值设定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制定详尽IT运行操作说明，明确备份的频率、范围和保留周期；批处理作业异常全量监控（第43条）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IT运行操作说明已有，批处理监控覆盖有待完善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补充批处理监控覆盖；统一操作说明文档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有效变更管理流程：所有变更（含紧急变更）记入日志，IT部门和业务部门共同审核签字（第49条）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流程已建立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强化变更记录完整性；紧急变更事后规范化处理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建立服务水平管理制度，对IT运行服务水平进行定期考核（第45条）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维持例行达标；SLA考核结果留存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按法律法规要求保存交易记录，确保存档数据完整性（第42条）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记录保存制度已有，CMDB自动化程度有待提升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CMDB自动同步改造；配置信息准确率持续提升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第七章 业务连续性管理（第50—54条）───**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评估业务中断可能性及影响（第51条）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连续性安排和基本参数已有，全行系统化BIA有待正式开展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2026年完成全行BIA，确认RTO/RPO目标并经高管层审批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制定并维护业务连续性计划（BCP），覆盖资源需求、恢复优先顺序和沟通安排（第53条）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BCP框架已有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完善BCP文档；定期更新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定期演练BCP，确保其有效性；演练结果由IT管理委员会确认（第50条、第54条）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演练机制已有，场景多样化和独立验证有待加强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设计场景化独立故障演练；审计部现场见证，出具鉴证报告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存档数据的完整性保障和可恢复性验证（第42条、第43条）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备份机制已建立，可恢复性验证的规范化有待提升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年度全量验证，输出《备份数据校验报告》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采取系统恢复和双机热备处理措施；建立与外部关键系统联合演练机制（第52条）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已部署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2026年起推进外部联合演练落地（支付清算、央行等），至少1次/年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第八章 外包（第55—62条）───**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不得外包IT管理责任；重要外包须向监管机构正式报告（第55条、第56条）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机制已建立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确认外包边界界定；重要外包报告记录归档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外包前充分评估服务商财务稳定性、专业经验和服务能力（第57条）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机制已建立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维持例行达标；评估记录台账完整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外包关系管理和SLA：制定定性和定量绩效指标，定期考核（第59条）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监控在位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持续监控；完善绩效考核记录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外包人员以"最小授权"原则授权；离场后账号权限即时收回（第60条第(二)项、第22条）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流程已建立，执行的全量覆盖有待强化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强化执行验收；离场权限100%收回并留台账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外包交付代码安全审查；外包数据与其他客户数据有效隔离（第58条、第60条第(一)项）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安全审查要求已有，覆盖范围有待全量落实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确保外包交付物安全审查覆盖率达100%，台账完整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建立外包服务商重大缺失的应急措施（第61条）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外包合同含基本应急条款，重大缺失专项预案有待完善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完善关键外包商应急预案文档；明确替代方案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外包合同须经IT风险管理部门、法律部门和IT管理委员会审核；定期审阅SLA（第62条）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流程已建立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确保合同审核记录完整；SLA定期审阅留痕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第三方软件/开源组件依赖管理，防范集中风险（第57条第(五)项）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第三方软件有采购管控，组件依赖清单系统化尚待启动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2026年完成初版软件成分清单；2028年建立SBOM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第九章 内部审计 + 第十章 外部审计（第63—72条）───**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内审配备足够专业IT审计人员，独立于日常活动（第63条）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IT审计人员已配备，独立性运作有待制度化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完善三年滚动审计框架；Q1每年发布年度审计计划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制定并执行IT审计计划，覆盖系统及其控制；至少每三年全面审计一次（第64条、第65条）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年度计划已制定，审计频次和覆盖深度有待提升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固化≥3次/年专项审计；Q4全面"整改回头看"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检查整改意见落实情况；执行IT专项审计（第64条第(三)(四)项）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整改管理有基础，系统化闭环追踪机制有待建立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深化整改追踪；整改验证通过方可销号；逾期自动上报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大规模系统开发时，内审参与，确保符合IT风险管理标准（第66条）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内审已参与部分重大项目，全面纳入开发管理流程有待规范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将内审参与纳入重大项目管理流程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必要时委托具备资质外部审计机构进行IT外部审计（第67条）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有委托外部审计的先例，常态化机制有待建立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每年至少一次委托外部机构复核高风险领域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内部模拟监管检查（综合上述维度，非指引原文要求；服务于迎检准备）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常规迎检准备已有，系统性模拟检查机制尚未建立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2028年完成首次全面内部模拟检查，以可核验数据支撑争优良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数据治理（依据：金规〔2024〕24号、人行令〔2025〕第3号）───**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数据资产目录系统化落地（金规〔2024〕24号）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工作已部分启动，系统化深度有待进一步提升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2026年完成系统化落地或质量提升至≥95%覆盖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数据分类分级精细化，对齐双规要求（金规〔2024〕24号、人行令〔2025〕第3号）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分类分级框架已有，精细化深度对标双规有待提升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2026年完成精细化标注，达到双规要求标准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数据质量持续监控机制（金规〔2024〕24号）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数据质量有管控要求，月度系统化检核机制有待建立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建立月度检核机制，输出检核报告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数据血缘追踪，全链路可追溯（金规〔2024〕24号）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数据管理平台已有基础，血缘追踪功能有待建设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2026年启动建设，2027年完善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个人信息保护合规年度审计与差距整改（依据：《个人信息保护法》）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日常个人信息保护有管控措施，年度专项审计有待开展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2026年完成差距分析，制定整改计划并执行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前瞻性风险防范（依据：AI算法风险监管动向，见第三章第（二）节）───**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AI模型上线前风险评估机制（监管预期要求）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AI应用上线有评估实践，强制准入机制有待规范建立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发布新技术风险评估框架；AI上线前评估强制执行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AI模型全生命周期管控制度（监管预期要求）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AI应用有初步管控考虑，全生命周期管控制度有待发布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2026年发布制度框架；2027年深化落地；2028年专项评估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大模型备案管理与算法审计准备（监管预期要求）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监管要求已关注，系统性准备工作有待启动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跟踪监管要求；完善内部备案流程；探索算法审计路径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云应用及新技术引入安全评估（监管预期要求）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云应用引入有安全审查实践，标准化机制有待建立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2027年完善云应用安全评估标准；新技术引入安全审查前置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**─── 人才与文化（跨维度支撑）───**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对所有员工进行必要培训，了解违规后果，违规零容忍（第31条、第20条）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已开展，效果量化机制有待建立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全员年度培训；完成率纳入绩效考核；培训后行为测评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关键岗位人员专业能力培养（第9条）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专业培训有开展，岗位能力框架和培养路径有待系统化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明确各岗位能力要求，完善培训路径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信息科技人员占比及结构管理（监管惯例）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基本达标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年度监控；低于阈值及时触发招聘计划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钓鱼演练、安全意识文化建设（管理最佳实践）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信息安全意识培训已有，钓鱼演练机制有待建立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2026年启动；点击率逐次下降纳入考核指标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双向挂职（风险←→科技，管理最佳实践）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有人员交流意向，正式双向挂职机制有待建立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2027年落实首批；人力资源部配合安排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科技风险KPI纳入全行绩效考核（管理最佳实践）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权重和落地有待加强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制定绩效考核办法（信息科技部30%由风险管理部打分）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上表各行均为独立管理动作；同一维度若存在多个不足，分行列示。括号内标注条款依据；标注"监管预期要求""监管惯例"或"管理最佳实践"的行超出2009年指引原文范围，有其他监管依据或行业依据支撑。D8（信息科技审计，含第九章内部审计和第十章外部审计）以独立保障机制贯穿全计划，不单设战役。基于上表各维度的改进需求，本方案聚合为十大战役，映射关系与覆盖目标见下表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1644"/>
        <w:gridCol w:w="1644"/>
        <w:gridCol w:w="1644"/>
        <w:gridCol w:w="1644"/>
      </w:tblGrid>
      <w:tr>
        <w:trPr>
          <w:tblHeader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监管评级维度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主责战役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主要落实年份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牵头责任部门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维度覆盖率目标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D1 信息科技治理（第二章）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战役一：治理架构与履职深化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2026—2027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信息科技部·风险管理-制度处（部门层面）/ 风险管理部（全行层面）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D2 信息科技风险管理（第三章）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战役二：IT风险管理体系深化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信息科技部·风险管理-制度处（部门层面）/ 风险管理部（全行层面）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D3 信息安全（第四章）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战役三：信息安全深化攻坚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2026—2029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信息科技部·网络安全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D4 开发测试维护（第五章）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战役四：开发测试安全基线提升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2026—2028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信息科技部·开发测试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D5 信息科技运行（第六章）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战役五：IT运行管理深化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2026—2027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D6 业务连续性管理（第七章）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战役六：业务连续性与灾备实战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D7 外包管理（第八章）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战役七：供应链安全与外包管理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2026—2028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信息科技部·规划/科技资源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D8 信息科技审计（第九、十章）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独立保障机制（贯穿全计划）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审计部（独立）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数据治理（综合监管独立要素）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战役八：数据治理与隐私保护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2026—2027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数据管理部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前瞻性风险防范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战役九：新技术应用与AI安全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信息科技部·风险管理-制度处（部门层面）/ 风险管理部（全行层面）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建立基础框架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人才与文化（跨维度支撑）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战役十：人才队伍与文化培育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2026—2030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≥90%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（三）五年战略演进路径</w:t>
      </w:r>
    </w:p>
    <w:p>
      <w:pPr>
        <w:spacing w:after="120" w:before="60" w:line="420" w:lineRule="atLeast"/>
        <w:jc w:val="center"/>
      </w:pPr>
      <w:r>
        <w:drawing>
          <wp:inline distT="0" distB="0" distL="0" distR="0">
            <wp:extent cx="5400675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（四）五年关键指标演进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1644"/>
        <w:gridCol w:w="1644"/>
        <w:gridCol w:w="1644"/>
        <w:gridCol w:w="1644"/>
      </w:tblGrid>
      <w:tr>
        <w:trPr>
          <w:tblHeader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指标类别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指标名称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2026基准建立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2028目标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2030目标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系统可用性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核心系统年度可用率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99.95%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99.99%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安全基线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SAST/DAST扫描闭环整改率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99%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灾备能力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RTO/RPO演练达标率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安全漏洞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高危漏洞平均修复周期（天）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15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7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安全事件重复发生率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开发质量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系统上线后缺陷逃逸率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1%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≤ 0.5%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KRI超阈值未处置率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KRI质量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KRI自动采集覆盖率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80%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≥ 95%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故障恢复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核心系统MTTR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建立基准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较基准降低30%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较基准降低40%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监管评级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信息科技风险监管评级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攻坚提级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良好等级</w:t>
            </w:r>
          </w:p>
        </w:tc>
        <w:tc>
          <w:tcPr>
            <w:tcW w:type="dxa" w:w="16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优良等级稳定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（五）十大战役与五年规划强度映射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下表展示十大战役在五年各阶段的强度定位。各战役的完整框架定义（战役定位、职责分工、五年演进路径、核心工作机制、典型交付物）见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；各年度具体执行计划见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第六至十章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blHeader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主责部门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2027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2028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2029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2030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 / 风险管理部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适应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 / 风险管理部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信息科技部·网络安全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智能化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信息科技部·开发测试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赋能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重点突破候选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扩展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信息科技部·规划/科技资源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深控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待确认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引领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 / 风险管理部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输出</w:t>
            </w:r>
          </w:p>
        </w:tc>
      </w:tr>
      <w:tr>
        <w:trPr>
          <w:tblHeader w:val="false"/>
        </w:trPr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117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 十大战役框架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为十大战役的定义性文档——明确各战役的战役定位、职责归属、五年演进路径、核心工作机制与典型交付物。本章内容在五年计划周期内保持稳定，各年度具体执行任务见第六至十章年度作战计划，并在相应战役条目中注明"详见第五章"。各战役涉及的部门分工与协作机制定义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第十一章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战役一：治理架构与履职深化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对应评级维度：D1 信息科技治理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：IT治理的基础架构（CIO设置、三道防线、委员会机制、IT战略规划）均已具备；本战役的核心不是"有没有"，而是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履职记录的完整性与可查验性</w:t>
      </w:r>
      <w:r>
        <w:rPr>
          <w:rFonts w:ascii="FangSong" w:cs="FangSong" w:eastAsia="FangSong" w:hAnsi="FangSong"/>
          <w:sz w:val="30"/>
          <w:szCs w:val="30"/>
        </w:rPr>
        <w:t xml:space="preserve">——检查时能否拿出连续完整的会议纪要、CIO汇报记录、岗位分离执行台账，是决定评级的关键。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：信息科技部·风险管理-制度处（部门层面）/ 风险管理部（全行层面）；协同：数据管理部、人力资源部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履职证据链完整可查验：CIO汇报记录、委员会纪要连续≥4次、岗位分离无交叉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IT管理委员会运作规范化；三道防线履职质量提升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信息科技管理体系3年综合评估；AI治理专章纳入治理框架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适应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应对《商业银行信息科技风险管理指引》修订，调整治理结构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科技风险治理成熟度综合评估；治理架构长效机制固化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CIO向行长直接汇报路径的制度保障；开发/测试/运维三类岗位的职责分离执行质量管控；IT管理委员会季度例会与决策留痕（≥4次/年）；IT战略规划与全行经营战略年度对齐核查；董事会科技风险专题汇报（≥4次/年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CIO履职记录制度化</w:t>
      </w:r>
      <w:r>
        <w:rPr>
          <w:rFonts w:ascii="FangSong" w:cs="FangSong" w:eastAsia="FangSong" w:hAnsi="FangSong"/>
          <w:sz w:val="30"/>
          <w:szCs w:val="30"/>
        </w:rPr>
        <w:t xml:space="preserve">：从"有汇报"向"汇报有记录、记录可举证"推进——统一汇报模板（含议题清单、会议结论、跟踪事项），确保每次汇报留有可迎检的完整记录台账。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IT管理委员会运作规范化</w:t>
      </w:r>
      <w:r>
        <w:rPr>
          <w:rFonts w:ascii="FangSong" w:cs="FangSong" w:eastAsia="FangSong" w:hAnsi="FangSong"/>
          <w:sz w:val="30"/>
          <w:szCs w:val="30"/>
        </w:rPr>
        <w:t xml:space="preserve">：从"会议有开"向"决策有追踪、落实有验证"推进——标准化议题设置和纪要格式，每次例会冒头核查上次决策落实情况，台账连续可查。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岗位职责分离落地</w:t>
      </w:r>
      <w:r>
        <w:rPr>
          <w:rFonts w:ascii="FangSong" w:cs="FangSong" w:eastAsia="FangSong" w:hAnsi="FangSong"/>
          <w:sz w:val="30"/>
          <w:szCs w:val="30"/>
        </w:rPr>
        <w:t xml:space="preserve">：从"制度有规定"向"系统中权限无交叉"推进——逐人核查开发/测试/运维三类岗位实际权限配置，消除交叉点，维护执行台账供迎检抽查。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IT战略规划年度对齐</w:t>
      </w:r>
      <w:r>
        <w:rPr>
          <w:rFonts w:ascii="FangSong" w:cs="FangSong" w:eastAsia="FangSong" w:hAnsi="FangSong"/>
          <w:sz w:val="30"/>
          <w:szCs w:val="30"/>
        </w:rPr>
        <w:t xml:space="preserve">：从"战略规划已发布"向"执行偏差有追踪"推进——设置每年Q4的战略对齐审查节点，对执行偏差逐项记录并向IT管理委员会汇报调整计划。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科技风险纳入全面风险管理框架</w:t>
      </w:r>
      <w:r>
        <w:rPr>
          <w:rFonts w:ascii="FangSong" w:cs="FangSong" w:eastAsia="FangSong" w:hAnsi="FangSong"/>
          <w:sz w:val="30"/>
          <w:szCs w:val="30"/>
        </w:rPr>
        <w:t xml:space="preserve">：从"框架性表述"向"报告路径清晰可操作"推进——与风险管理部明确科技风险在全行风险报告体系中的层级定位、上报频次和格式标准。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：《CIO岗位职责说明书》（含履职记录）、《信息科技战略规划》（年度执行跟踪）、《岗位职责分离矩阵》、IT管理委员会季度会议纪要、《科技风险治理手册》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战役二：IT风险管理体系深化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对应评级维度：D2 信息科技风险管理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：构建量化、可视、闭环的信息科技风险管理体系，从"有制度有框架"升级到"数据真实、指标有效、预警及时"；以2026年为起点持续积累高质量数据，支撑2030年科技风险量化预测模型的最终重点突破成果。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：信息科技部·风险管理-制度处（部门层面）/ 风险管理部（全行层面）；协同：数据管理部、各业务部门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KRI体系完善（指标质量提升+自动采集≥60%）；全行风险评估；ITMIS/SOC能力激活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KRI自动采集≥80%；风险量化方法论引入；外包风险量化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内部模拟检查机制建立并运作（整改完成率≥95%）；科技风险全景地图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深化·重点突破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监管数据自动化实时采集接口上线；量化预测模型建设启动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科技风险量化预测模型成熟验证（4年数据积累成果）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KRI指标体系的双维度持续优化（指标质量：领先指标优先；采集质量：自动采集率持续提升）；分层分级风险报告的频率和质量管控（周/月/季三级）；年度全行信息系统风险评估（RCSA方法论）；ITMIS/SOC平台的实际应用深化（激活已有但未充分使用的模块）；风险事件管理与损失数据持续积累；持续优化KRI内部数据采集与分析质量，为监管评级系统（GIRR）提供高质量输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KRI指标体系优化</w:t>
      </w:r>
      <w:r>
        <w:rPr>
          <w:rFonts w:ascii="FangSong" w:cs="FangSong" w:eastAsia="FangSong" w:hAnsi="FangSong"/>
          <w:sz w:val="30"/>
          <w:szCs w:val="30"/>
        </w:rPr>
        <w:t xml:space="preserve">：从"人工报送为主"向"自动采集为主、有效预警"推进——逐指标审查采集路径，识别可改造数据源，按季度推进自动化；同步开展年度指标有效性评审，淘汰不能真实反映风险水位的指标。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年度全行风险评估（RCSA）</w:t>
      </w:r>
      <w:r>
        <w:rPr>
          <w:rFonts w:ascii="FangSong" w:cs="FangSong" w:eastAsia="FangSong" w:hAnsi="FangSong"/>
          <w:sz w:val="30"/>
          <w:szCs w:val="30"/>
        </w:rPr>
        <w:t xml:space="preserve">：从"制度有规定"向"全系统覆盖、结果驱动整改"推进——细化RCSA方法论（分类标准、评估维度、打分规则），按系统重要性分批执行，评估结果与整改追踪台账挂钩，年度复评时核查落实情况。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分层分级风险报告体系</w:t>
      </w:r>
      <w:r>
        <w:rPr>
          <w:rFonts w:ascii="FangSong" w:cs="FangSong" w:eastAsia="FangSong" w:hAnsi="FangSong"/>
          <w:sz w:val="30"/>
          <w:szCs w:val="30"/>
        </w:rPr>
        <w:t xml:space="preserve">：从"有报告"向"内容实质化"推进——分别细化运营层/管理层/决策层报告模板，明确每份报告的强制内容项（区分数字罗列与真实风险判断），逐批次核查报告质量是否从数据堆砌转向分析判断。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风险事件管理与损失数据积累</w:t>
      </w:r>
      <w:r>
        <w:rPr>
          <w:rFonts w:ascii="FangSong" w:cs="FangSong" w:eastAsia="FangSong" w:hAnsi="FangSong"/>
          <w:sz w:val="30"/>
          <w:szCs w:val="30"/>
        </w:rPr>
        <w:t xml:space="preserve">：从"事件有记录"向"分类标准化、根因可追溯、损失可量化"推进——统一事件分类（对齐监管分类），强化"记录→损失统计→根因分析→经验固化"全流程执行，为后期量化建模积累基础数据。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工具平台深化应用</w:t>
      </w:r>
      <w:r>
        <w:rPr>
          <w:rFonts w:ascii="FangSong" w:cs="FangSong" w:eastAsia="FangSong" w:hAnsi="FangSong"/>
          <w:sz w:val="30"/>
          <w:szCs w:val="30"/>
        </w:rPr>
        <w:t xml:space="preserve">：从"平台已部署"向"功能实际使用率提升"推进——逐模块梳理"已配置但未使用"的功能，按风险优先级制定激活计划，每季度验收激活进展，年度评估实际应用深度。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：《信息科技风险管理框架》（年度修订）、《KRI指标体系》（含自动采集覆盖率统计）、《年度风险评估报告》（含风险热力图）、各层级风险报告、《风险事件损失分析报告》（季度）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战役三：信息安全深化攻坚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对应评级维度：D3 信息安全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：在ISMS/ISO 27001认证、等保测评、密评已通过的基础上，重点提升安全体系的执行实质性——激活现有安全产品的完整功能（消除"已购未用"），深化访问控制、漏洞管理、安全监测与响应的质量，以穿透检查通过（而非证书维护）为验收标准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：信息科技部·网络安全；协同：信息科技部·风险管理-制度处、风险管理部、数据管理部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攻坚·重点突破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安全产品功能系统性激活；PAM精细化；安全基线自动化；零信任启动；红蓝对抗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零信任覆盖核心系统；漏洞修复周期≤15天；全员安全培训全覆盖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AI模型安全管控框架完善；攻防演练常态化≥2次/年；安全能力覆盖扩展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智能化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SOC关联规则大幅扩展；UEBA引入；威胁响应时效较基准-50%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AI伦理审查机制；安全事件重复率≤5%；安全能力行业领先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安全产品功能激活路线图的制定与执行（逐产品梳理已购能力与实际启用差距，消除底线思维导致的功能闲置）；特权访问管理（PAM）全链路管控（申请—审批—记录—审计）；安全基线自动化检测与整改闭环；零信任架构分阶段落地；红蓝对抗演练（无预告）；数据安全双规合规整改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安全产品功能激活</w:t>
      </w:r>
      <w:r>
        <w:rPr>
          <w:rFonts w:ascii="FangSong" w:cs="FangSong" w:eastAsia="FangSong" w:hAnsi="FangSong"/>
          <w:sz w:val="30"/>
          <w:szCs w:val="30"/>
        </w:rPr>
        <w:t xml:space="preserve">：从"产品已采购"向"功能实际有效启用"推进——逐产品整理"已购功能 vs 实际启用"对比表，按风险覆盖价值排序，分批激活并验收每项功能的实际效果，而非仅记录"已开启"。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PAM特权账号管理深化</w:t>
      </w:r>
      <w:r>
        <w:rPr>
          <w:rFonts w:ascii="FangSong" w:cs="FangSong" w:eastAsia="FangSong" w:hAnsi="FangSong"/>
          <w:sz w:val="30"/>
          <w:szCs w:val="30"/>
        </w:rPr>
        <w:t xml:space="preserve">：从"有PAM系统"向"特权操作全量受控可审计"推进——梳理全量特权账号（含共享账号、服务账号），清理闲置账号，将所有特权操作纳入日志或录像审计，按季度全量审查并清零无效账号。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漏洞管理深化</w:t>
      </w:r>
      <w:r>
        <w:rPr>
          <w:rFonts w:ascii="FangSong" w:cs="FangSong" w:eastAsia="FangSong" w:hAnsi="FangSong"/>
          <w:sz w:val="30"/>
          <w:szCs w:val="30"/>
        </w:rPr>
        <w:t xml:space="preserve">：从"扫描有执行"向"修复有时限、有验证、有留痕"推进——扩展扫描覆盖面，完善按严重程度分级的整改期限管控，每次修复后留存可验证凭据，定期开展修复有效性复核。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安全基线管理</w:t>
      </w:r>
      <w:r>
        <w:rPr>
          <w:rFonts w:ascii="FangSong" w:cs="FangSong" w:eastAsia="FangSong" w:hAnsi="FangSong"/>
          <w:sz w:val="30"/>
          <w:szCs w:val="30"/>
        </w:rPr>
        <w:t xml:space="preserve">：从"使用默认配置"向"超越默认配置的定制化基线"推进——为各类系统制定严于厂商默认的安全基线标准，部署自动化检测工具，强化基线偏离→告警→整改→验证的全流程执行。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数据安全双规合规整改</w:t>
      </w:r>
      <w:r>
        <w:rPr>
          <w:rFonts w:ascii="FangSong" w:cs="FangSong" w:eastAsia="FangSong" w:hAnsi="FangSong"/>
          <w:sz w:val="30"/>
          <w:szCs w:val="30"/>
        </w:rPr>
        <w:t xml:space="preserve">：从"双规已生效"向"逐条对标落地"推进——系统梳理金规〔2024〕24号和人行令〔2025〕第3号各条款要求，逐条评估差距，制定有优先级的整改计划，执行后由内审独立验证。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：《安全产品功能激活路线图》及年度验收报告、《PAM深化实施报告》、《安全基线自动化检测报告》、《红蓝对抗复盘报告》、《数据安全双规合规差距分析报告》、漏洞整改台账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战役四：开发测试安全基线提升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对应评级维度：D4 信息系统开发、测试和维护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：开发测试领域的制度框架与流程（SDLC、变更管理、测试规范）已具备，核心问题是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安全基线的质量标尺系统性偏低</w:t>
      </w:r>
      <w:r>
        <w:rPr>
          <w:rFonts w:ascii="FangSong" w:cs="FangSong" w:eastAsia="FangSong" w:hAnsi="FangSong"/>
          <w:sz w:val="30"/>
          <w:szCs w:val="30"/>
        </w:rPr>
        <w:t xml:space="preserve">——SAST/DAST扫描以默认规则运行、扫描结果以"无高危即通过"为标准、安全需求在SDLC中停留在检查清单层面而非质量门禁层面；以DevSecOps成熟度提升为中期重点突破目标，推动安全基线从"形式嵌入"走向"实质有效"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：信息科技部·开发测试；协同：信息科技部·网络安全（安全测试）、信息科技部·应用支持（需求接口）、风险管理部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安全基线检测规则深化（超越默认配置）；SAST/DAST扫描闭环整改率≥90%；测试数据清零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DevSecOps流水线覆盖主要项目≥60%；SCA引入；密评适配改造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DevSecOps覆盖率≥80%；密评覆盖核心系统；开源风险识别率100%；推进CMMi Level 4评估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AI辅助测试引入；安全左移效果持续验证与优化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缺陷逃逸率≤0.5%；AI辅助测试规模化；安全开发能力行业领先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安全基线检测规则的定制化深化（逐项目梳理默认规则与实际风险的差距，提升检测深度）；SAST/DAST扫描结果整改落实（从"无高危即通过"提升为"中危以上全量整改到位"）；安全需求纳入SDLC质量门禁（安全评审不通过不得进入下一阶段）；测试环境数据脱敏自动化（真实数据清零）；软件成分分析（SCA）与开源组件风险管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SAST/DAST扫描规则深化</w:t>
      </w:r>
      <w:r>
        <w:rPr>
          <w:rFonts w:ascii="FangSong" w:cs="FangSong" w:eastAsia="FangSong" w:hAnsi="FangSong"/>
          <w:sz w:val="30"/>
          <w:szCs w:val="30"/>
        </w:rPr>
        <w:t xml:space="preserve">：从"运行默认规则"向"定制化规则+中危以上全量整改到位"推进——针对主要系统类型（Java/Python/前端等）分别细化规则集，将中危以上漏洞纳入强制整改范围，完善扫描→整改→验证→关闭的追踪台账。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SDLC安全门禁落实</w:t>
      </w:r>
      <w:r>
        <w:rPr>
          <w:rFonts w:ascii="FangSong" w:cs="FangSong" w:eastAsia="FangSong" w:hAnsi="FangSong"/>
          <w:sz w:val="30"/>
          <w:szCs w:val="30"/>
        </w:rPr>
        <w:t xml:space="preserve">：从"检查清单层面"向"流程系统中的强制门禁"推进——在需求/设计/测试/上线各阶段明确安全评审检查点，将"评审通过"设为进入下一阶段的前置条件，强化评审记录归档。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测试环境数据脱敏</w:t>
      </w:r>
      <w:r>
        <w:rPr>
          <w:rFonts w:ascii="FangSong" w:cs="FangSong" w:eastAsia="FangSong" w:hAnsi="FangSong"/>
          <w:sz w:val="30"/>
          <w:szCs w:val="30"/>
        </w:rPr>
        <w:t xml:space="preserve">：从"有脱敏要求"向"真实数据清零、增量自动化"推进——梳理测试/开发环境中直接复制生产数据的情况，部署脱敏工具执行存量清零，强化增量数据自动脱敏机制，按季度抽查验证合规性。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DevSecOps流水线推进</w:t>
      </w:r>
      <w:r>
        <w:rPr>
          <w:rFonts w:ascii="FangSong" w:cs="FangSong" w:eastAsia="FangSong" w:hAnsi="FangSong"/>
          <w:sz w:val="30"/>
          <w:szCs w:val="30"/>
        </w:rPr>
        <w:t xml:space="preserve">：从"CI/CD覆盖部分项目"向"安全扫描嵌入流水线强制执行"推进——在新项目中优先引入DevSecOps标准模板，将SAST/SCA/密钥检测嵌入自动化流水线的强制节点，按季度统计覆盖率。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SCA软件成分分析</w:t>
      </w:r>
      <w:r>
        <w:rPr>
          <w:rFonts w:ascii="FangSong" w:cs="FangSong" w:eastAsia="FangSong" w:hAnsi="FangSong"/>
          <w:sz w:val="30"/>
          <w:szCs w:val="30"/>
        </w:rPr>
        <w:t xml:space="preserve">：从"无组件依赖清单"向"存量覆盖+新增前置"推进——对主要存量系统开展组件依赖扫描，维护组件风险台账（含版本、已知漏洞），识别高危组件制定替换计划，新项目上线前强制执行SCA扫描。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：《安全基线检测规则定制化报告》、SAST/DAST扫描整改台账、《SDLC安全门禁执行报告》、测试数据脱敏验证报告、DevSecOps覆盖率统计报告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战役五：IT运行管理深化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对应评级维度：D5 信息科技运行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在ITMIS平台已运行的基础上，聚焦提升平台内数据质量与流程执行深度；覆盖事件管理、问题管理、CMDB、容量管理、监控告警、批处理与日志六个子方向，以连续完整的执行记录为迎检基础（证据链不可中断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：信息科技部·系统运行；协同：信息科技部·应用支持（应用层事件协同）、信息科技部·风险管理-制度处、风险管理部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ITMIS六子方向全面提升；事件工单台账连续积累≥6个月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CMDB实时同步准确率≥98%；问题管理机制成熟化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基础设施巡检自动化覆盖率≥90%；MTTR较基准降低30%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赋能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AIOps方向探索；MTTR较基准降低40%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核心系统可用率≥99.99%；运维自动化成熟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P1/P2事件RCA执行质量管控（5个工作日内完成）；问题管理独立于事件管理运作（重复故障须追溯根因消除）；CMDB自动发现与实时同步；容量趋势预警与月报；监控告警质量优化（虚假告警率≤5%）；批处理作业异常全量监控；日志集中采集与保留策略合规（核心系统≥1年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事故管理与RCA质量提升</w:t>
      </w:r>
      <w:r>
        <w:rPr>
          <w:rFonts w:ascii="FangSong" w:cs="FangSong" w:eastAsia="FangSong" w:hAnsi="FangSong"/>
          <w:sz w:val="30"/>
          <w:szCs w:val="30"/>
        </w:rPr>
        <w:t xml:space="preserve">：从"RCA有执行"向"RCA按时完成、改进措施有追踪"推进——细化RCA报告模板（故障时间线、直接原因、根本原因、改进措施、验证时限），月度统计按时完成率，每条改进措施落实情况纳入跟踪。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问题管理独立运作</w:t>
      </w:r>
      <w:r>
        <w:rPr>
          <w:rFonts w:ascii="FangSong" w:cs="FangSong" w:eastAsia="FangSong" w:hAnsi="FangSong"/>
          <w:sz w:val="30"/>
          <w:szCs w:val="30"/>
        </w:rPr>
        <w:t xml:space="preserve">：从"事件与问题混同管理"向"问题独立追踪、根因消除可验证"推进——在ITMIS中单独配置问题工单类型，规定触发条件（同类事件重复≥2次），强化问题→根因→根治→验证消除的全流程执行，月度分析活跃问题清单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CMDB自动发现与准确性提升</w:t>
      </w:r>
      <w:r>
        <w:rPr>
          <w:rFonts w:ascii="FangSong" w:cs="FangSong" w:eastAsia="FangSong" w:hAnsi="FangSong"/>
          <w:sz w:val="30"/>
          <w:szCs w:val="30"/>
        </w:rPr>
        <w:t xml:space="preserve">：从"人工维护为主"向"自动发现为主、定期抽查验证"推进——逐类型推进CMDB自动发现改造，完善配置变更与CMDB同步的联动触发，按季度随机抽取配置项与实际系统对比核查准确性。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监控告警质量优化</w:t>
      </w:r>
      <w:r>
        <w:rPr>
          <w:rFonts w:ascii="FangSong" w:cs="FangSong" w:eastAsia="FangSong" w:hAnsi="FangSong"/>
          <w:sz w:val="30"/>
          <w:szCs w:val="30"/>
        </w:rPr>
        <w:t xml:space="preserve">：从"告警数量多"向"有效告警不被淹没"推进——梳理高频虚假告警规则并逐条调整阈值/触发逻辑，完善告警质量月度评估指标（虚假告警率、有效告警处置率），追踪改善趋势。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批处理监控与日志管理</w:t>
      </w:r>
      <w:r>
        <w:rPr>
          <w:rFonts w:ascii="FangSong" w:cs="FangSong" w:eastAsia="FangSong" w:hAnsi="FangSong"/>
          <w:sz w:val="30"/>
          <w:szCs w:val="30"/>
        </w:rPr>
        <w:t xml:space="preserve">：从"部分覆盖"向"全量覆盖+策略统一执行"推进——梳理全量批处理作业清单补充未覆盖监控，统一日志保留策略并逐系统核查符合情况，优先保障核心系统日志≥1年留存合规。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：事件工单台账（月度积累）、RCA报告集、问题工单台账及月度分析报告、CMDB提升验收报告、容量分析月报、批处理监控清单、日志覆盖率验收报告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战役六：业务连续性与灾备实战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对应评级维度：D6 业务连续性管理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以演练质量的跃升为核心重点突破方向——从"重大灾难全切换"的脚本式演练，升级为场景化重大故障应急：针对数据库单点、核心中间件崩溃、网络分区、关键外部接口（支付清算/央行）断连等真实高发场景，分别设计独立演练，覆盖比全灾演练更宽的故障谱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：信息科技部·系统运行；协同：信息科技部·风险管理-制度处、风险管理部、数据管理部、各业务部门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重点突破候选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场景化演练首次落地（≥3个独立场景）；BIA完成；备份数据可恢复性验证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演练场景制度化；新增应用层/存储层场景；RTO/RPO达标率≥90%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全年演练≥6个场景；RTO/RPO 100%达标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扩展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场景全面扩展；与外部系统联合演练常态化（≥2次/年）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场景化演练覆盖完整故障谱；BCM体系长效运转成熟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业务影响分析（BIA）的年度复核（更新RTO/RPO目标）；场景化应急方案的设计与演练（独立场景，非全灾脚本）；备份数据完整性与可恢复性年度验证；审计部现场见证（防止脚本式演练）；与支付清算、央行等外部系统的联合演练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BIA执行与更新</w:t>
      </w:r>
      <w:r>
        <w:rPr>
          <w:rFonts w:ascii="FangSong" w:cs="FangSong" w:eastAsia="FangSong" w:hAnsi="FangSong"/>
          <w:sz w:val="30"/>
          <w:szCs w:val="30"/>
        </w:rPr>
        <w:t xml:space="preserve">：从"BIA有开展"向"RTO/RPO目标经高管审批确认、年度复核"推进——细化BIA方法论（业务流程识别、影响维度、IT系统映射），逐系统明确RTO/RPO目标值，经高管层正式确认，完善年度复核触发机制（业务变化或架构调整时更新）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场景化演练设计与执行</w:t>
      </w:r>
      <w:r>
        <w:rPr>
          <w:rFonts w:ascii="FangSong" w:cs="FangSong" w:eastAsia="FangSong" w:hAnsi="FangSong"/>
          <w:sz w:val="30"/>
          <w:szCs w:val="30"/>
        </w:rPr>
        <w:t xml:space="preserve">：从"全灾脚本演练"向"中/低危高频故障场景覆盖"推进——基于BIA结果识别高概率独立故障场景（核心数据库单点、中间件不可用、网络分区、外部接口断连等），为每个场景单独设计演练方案，执行时不提前告知时间窗口，演练后48小时内复盘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备份数据可恢复性验证</w:t>
      </w:r>
      <w:r>
        <w:rPr>
          <w:rFonts w:ascii="FangSong" w:cs="FangSong" w:eastAsia="FangSong" w:hAnsi="FangSong"/>
          <w:sz w:val="30"/>
          <w:szCs w:val="30"/>
        </w:rPr>
        <w:t xml:space="preserve">：从"备份任务成功"向"实际恢复可验证"推进——每年对全量核心系统执行实际恢复测试（区别于仅检查备份任务成功状态），记录实际恢复时长与RTO目标的对比，超时系统纳入整改追踪。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审计部独立鉴证</w:t>
      </w:r>
      <w:r>
        <w:rPr>
          <w:rFonts w:ascii="FangSong" w:cs="FangSong" w:eastAsia="FangSong" w:hAnsi="FangSong"/>
          <w:sz w:val="30"/>
          <w:szCs w:val="30"/>
        </w:rPr>
        <w:t xml:space="preserve">：从"演练自评"向"审计独立鉴证"推进——审计部全程现场见证演练执行（不参与脚本设计），记录完整演练过程，出具鉴证报告（评价演练真实性和有效性），作为演练不脚本化的独立凭证。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外部系统联合演练推进</w:t>
      </w:r>
      <w:r>
        <w:rPr>
          <w:rFonts w:ascii="FangSong" w:cs="FangSong" w:eastAsia="FangSong" w:hAnsi="FangSong"/>
          <w:sz w:val="30"/>
          <w:szCs w:val="30"/>
        </w:rPr>
        <w:t xml:space="preserve">：从"仅内部演练"向"关键外部接口联合演练"推进——梳理业务关键外部接口清单（支付清算、央行等），协商联合演练意向，设计接口断连应对等联合场景，推进首次联合演练落地。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：《BIA报告》（年度）、各场景《应急演练复盘报告》、《业务连续性总体预案》（年度修订）、《演练鉴证报告》（审计部出具）、《备份数据校验报告》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战役七：供应链安全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对应评级维度：D7 外包管理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：外包基础制度框架成熟，例行维持即可；本战役聚焦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供应链安全</w:t>
      </w:r>
      <w:r>
        <w:rPr>
          <w:rFonts w:ascii="FangSong" w:cs="FangSong" w:eastAsia="FangSong" w:hAnsi="FangSong"/>
          <w:sz w:val="30"/>
          <w:szCs w:val="30"/>
        </w:rPr>
        <w:t xml:space="preserve">——软件供应链（开源组件漏洞、商业软件安全风险、第三方库依赖）、服务供应链（关键第三方API/数据服务的依赖深度与可替代性）是当前管控能力相对薄弱的真实风险所在，也是近年重大安全事件（Log4j类）的高频根源。外包基础管理（分级/集中度/人员操作细节）作为例行合规项持续维持，不作为本战役的主攻方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：信息科技部·规划/科技资源；协同：信息科技部·网络安全（供应链安全评估）、信息科技部·风险管理-制度处、风险管理部、信息科技部·应用支持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第三方软件与关键服务依赖清单首建；外包基本操作管控例行达标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供应链风险评估机制建立；关键依赖可替代性分析；高风险组件替换计划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软件供应链风险管控体系成熟（含SBOM）；供应商安全评级机制建立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深控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服务供应链依赖深度管控；核心功能外部依赖最小化专项评估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长效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供应链安全治理体系成熟；自主可控能力持续提升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第三方软件与开源组件风险清单整合与动态维护（与战役四SCA协同）；商业软件供应商安全基线评估；关键第三方API/数据服务依赖清单与可替代性评估；新引入第三方组件安全审查前置；软件物料清单（SBOM）逐步完善；外包基础管理例行维持（分级评估、集中度监控、离场权限回收核验、代码安全审查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第三方软件与服务依赖清单完善</w:t>
      </w:r>
      <w:r>
        <w:rPr>
          <w:rFonts w:ascii="FangSong" w:cs="FangSong" w:eastAsia="FangSong" w:hAnsi="FangSong"/>
          <w:sz w:val="30"/>
          <w:szCs w:val="30"/>
        </w:rPr>
        <w:t xml:space="preserve">：从"软件有采购管控"向"依赖关系透明可见"推进——梳理主要应用系统的第三方依赖（商业软件+开源库+关键API），记录版本、已知漏洞和许可证，完善新引入依赖时的触发登记和版本更新同步机制，与战役四SCA扫描结果联动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供应商安全基线评估</w:t>
      </w:r>
      <w:r>
        <w:rPr>
          <w:rFonts w:ascii="FangSong" w:cs="FangSong" w:eastAsia="FangSong" w:hAnsi="FangSong"/>
          <w:sz w:val="30"/>
          <w:szCs w:val="30"/>
        </w:rPr>
        <w:t xml:space="preserve">：从"仅评估服务能力"向"纳入安全专项评估"推进——制定供应商安全评估问卷（数据保护措施、漏洞响应流程、业务连续性保障），在年度供应商复评中强制纳入安全专项，对高风险发现要求提供整改承诺。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关键服务依赖可替代性分析</w:t>
      </w:r>
      <w:r>
        <w:rPr>
          <w:rFonts w:ascii="FangSong" w:cs="FangSong" w:eastAsia="FangSong" w:hAnsi="FangSong"/>
          <w:sz w:val="30"/>
          <w:szCs w:val="30"/>
        </w:rPr>
        <w:t xml:space="preserve">：从"有依赖关系"向"高风险依赖有替代方案"推进——识别核心业务中单一来源、可替代性低的关键第三方服务，逐项评估内部替代、备用供应商、降级方案的可行性，制定高优先级依赖的替换或双活计划。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SBOM软件物料清单推进</w:t>
      </w:r>
      <w:r>
        <w:rPr>
          <w:rFonts w:ascii="FangSong" w:cs="FangSong" w:eastAsia="FangSong" w:hAnsi="FangSong"/>
          <w:sz w:val="30"/>
          <w:szCs w:val="30"/>
        </w:rPr>
        <w:t xml:space="preserve">：从"无系统性组件清单"向"SBOM初版覆盖核心系统"推进——基于战役四SCA扫描结果整合初版SBOM，明确字段标准和维护责任，完善新项目上线时的SBOM更新触发机制，逐步扩展覆盖范围。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外包基础管理例行维持</w:t>
      </w:r>
      <w:r>
        <w:rPr>
          <w:rFonts w:ascii="FangSong" w:cs="FangSong" w:eastAsia="FangSong" w:hAnsi="FangSong"/>
          <w:sz w:val="30"/>
          <w:szCs w:val="30"/>
        </w:rPr>
        <w:t xml:space="preserve">：维持外包商年度分级评估和风险复核、单一外包商集中度监控、离场权限回收抽查（100%完成）、外包交付代码安全审查覆盖率核查，例行管理结果完整留档。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：《第三方软件与服务依赖清单》、《供应链风险评估报告》（年度）、《高风险组件替换计划》、《SBOM软件物料清单》（逐步完善）、外包例行管理台账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战役八：数据治理与隐私保护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对应维度：数据治理（综合监管评级独立要素）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数据治理是否仍存在基础性缺口有待确认（据了解2025年部分基础工作已启动但尚未落实到系统层面）。若确认缺口存在，2026年完成数据资产目录系统落地；若已基本具备，则同样面临质量标尺偏低的问题，重点转向数据分类分级的精细度与数据质量管控的实质有效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：数据管理部；主建：信息科技部·开发测试（技术改造）、信息科技部·应用支持（脱敏执行）；协同：信息科技部·风险管理-制度处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待确认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确认数据治理基础缺口；数据资产目录落地（若需）；数据分类分级双规对齐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数据资产目录持续维护；数据分类分级精细度提升；血缘追踪完善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数据安全审计机制成熟；数据质量管控实质化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重点突破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监管数据实时对接接口（数据侧，与战役二科技风险数据接口互补）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引领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数据治理成熟度成政策性银行行业参考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全行数据资产目录的建立（或质量提升）与年度动态维护；数据分类分级标注（以双规为标准，超越"打标签"走向精细化管理）；个人信息保护合规年度审计；测试环境数据脱敏自动化（真实数据清零）；数据血缘追踪系统；数据质量月度检核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数据资产目录建立与维护</w:t>
      </w:r>
      <w:r>
        <w:rPr>
          <w:rFonts w:ascii="FangSong" w:cs="FangSong" w:eastAsia="FangSong" w:hAnsi="FangSong"/>
          <w:sz w:val="30"/>
          <w:szCs w:val="30"/>
        </w:rPr>
        <w:t xml:space="preserve">：制定数据资产盘点方法论（维度：系统×数据集×数据类型×敏感程度×数据负责人）；推动各业务部门确认本部门的数据资产清单；建立新系统上线时数据资产登记的强制流程；定期（建议半年）开展目录准确性核查和更新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数据分类分级精细化</w:t>
      </w:r>
      <w:r>
        <w:rPr>
          <w:rFonts w:ascii="FangSong" w:cs="FangSong" w:eastAsia="FangSong" w:hAnsi="FangSong"/>
          <w:sz w:val="30"/>
          <w:szCs w:val="30"/>
        </w:rPr>
        <w:t xml:space="preserve">：对照金规〔2024〕24号的分类分级要求，梳理现有分类框架与监管要求的差距；完成精细化重新标注（明确每类数据集的类别、级别和对应管控措施）；核查关键系统的实际数据处理行为是否与分类分级结论一致；建立年度复审机制（业务变化时触发重新评估）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数据质量月度检核</w:t>
      </w:r>
      <w:r>
        <w:rPr>
          <w:rFonts w:ascii="FangSong" w:cs="FangSong" w:eastAsia="FangSong" w:hAnsi="FangSong"/>
          <w:sz w:val="30"/>
          <w:szCs w:val="30"/>
        </w:rPr>
        <w:t xml:space="preserve">：建立数据质量检核规则集（覆盖：完整性、准确性、一致性、及时性四个维度）；配置检核工具并对接关键数据源；每月执行检核并出具报告；对质量问题建立整改追踪；逐月对比质量趋势。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个人信息保护合规审计</w:t>
      </w:r>
      <w:r>
        <w:rPr>
          <w:rFonts w:ascii="FangSong" w:cs="FangSong" w:eastAsia="FangSong" w:hAnsi="FangSong"/>
          <w:sz w:val="30"/>
          <w:szCs w:val="30"/>
        </w:rPr>
        <w:t xml:space="preserve">：梳理全行个人信息采集、存储、处理和共享场景清单；对照《个人信息保护法》逐项评估合规差距；制定整改计划并推动执行；开展年度专项审计（可委托内审部门或外部机构）；将审计发现纳入整改销号平台跟踪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数据血缘追踪建设</w:t>
      </w:r>
      <w:r>
        <w:rPr>
          <w:rFonts w:ascii="FangSong" w:cs="FangSong" w:eastAsia="FangSong" w:hAnsi="FangSong"/>
          <w:sz w:val="30"/>
          <w:szCs w:val="30"/>
        </w:rPr>
        <w:t xml:space="preserve">：明确血缘追踪的目标范围（优先覆盖核心数据集）；选型或利用现有数据管理平台功能；梳理核心数据从源头到应用的完整流转路径；建立数据变更时血缘关系自动更新的机制。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：《全行数据资产目录》（年度维护）、《数据分类分级方案》、《数据质量检核报告》（月度）、《数据治理专项审计报告》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战役九：新技术应用与AI安全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对应维度：前瞻性风险防范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：防范AI、云等新技术应用带来的新型风险，建立新技术风险管控基础框架，满足AI算法风险监管的前瞻性要求；随AI治理标准成熟，逐步深化为行业可参考的实践成果。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：信息科技部·风险管理-制度处（部门层面）/ 风险管理部（全行层面）；主建：信息科技部·开发测试（AI技术）、信息科技部·系统运行（基础设施层）；协同：数据管理部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新技术风险评估框架发布；AI模型上线前100%评估；基础管控框架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AI风险框架落地深化；算法审计标准探索；云应用安全评估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AI治理合规性专项评估；新技术风险管控成熟度提升；算法审计机制完善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科技风险量化评估模型建设（与战役二协同）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输出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参与行业标准制定；AI治理框架输出行业参考；信创按计划推进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新技术风险评估框架的制定与执行（AI上线前100%评估）；AI模型全生命周期管理（准入—运行—验证—退出）；AI模型安全测试（含对抗样本、数据投毒测试）；算法可解释性与审计路径探索；AI训练数据的代表性与合规性评估；云应用安全评估机制完善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新技术风险评估框架落地</w:t>
      </w:r>
      <w:r>
        <w:rPr>
          <w:rFonts w:ascii="FangSong" w:cs="FangSong" w:eastAsia="FangSong" w:hAnsi="FangSong"/>
          <w:sz w:val="30"/>
          <w:szCs w:val="30"/>
        </w:rPr>
        <w:t xml:space="preserve">：从"个案评估"向"统一框架强制前置"推进——制定适用于AI/云等新技术的统一评估框架（覆盖：技术成熟度、监管合规、安全风险、数据合规、应急退出五个维度），将评估审批作为上线的强制前置步骤，维护评估结果台账，年度更新框架适用性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AI模型全生命周期管理制度落地</w:t>
      </w:r>
      <w:r>
        <w:rPr>
          <w:rFonts w:ascii="FangSong" w:cs="FangSong" w:eastAsia="FangSong" w:hAnsi="FangSong"/>
          <w:sz w:val="30"/>
          <w:szCs w:val="30"/>
        </w:rPr>
        <w:t xml:space="preserve">：从"AI应用有初步考虑"向"全生命周期有制度规范可执行"推进——起草AI模型管理制度（准入→上线→运行监控→版本变更→退出处置），维护在用模型台账（模型名称、版本、应用场景、风险等级），定期开展模型性能和稳定性评估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AI模型安全测试</w:t>
      </w:r>
      <w:r>
        <w:rPr>
          <w:rFonts w:ascii="FangSong" w:cs="FangSong" w:eastAsia="FangSong" w:hAnsi="FangSong"/>
          <w:sz w:val="30"/>
          <w:szCs w:val="30"/>
        </w:rPr>
        <w:t xml:space="preserve">：从"功能测试为主"向"纳入针对性安全测试"推进——对直接影响金融决策的高风险AI模型优先开展对抗样本、数据投毒、模型提取攻击等安全测试，记录测试结果，对高风险发现制定监控和整改措施。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算法备案准备与可解释性</w:t>
      </w:r>
      <w:r>
        <w:rPr>
          <w:rFonts w:ascii="FangSong" w:cs="FangSong" w:eastAsia="FangSong" w:hAnsi="FangSong"/>
          <w:sz w:val="30"/>
          <w:szCs w:val="30"/>
        </w:rPr>
        <w:t xml:space="preserve">：从"监管要求已关注"向"内部登记和文档备齐"推进——为每个在用算法模型准备功能描述和决策逻辑说明文档，完善内部模型登记机制，跟踪监管备案要求并同步准备。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云应用安全评估</w:t>
      </w:r>
      <w:r>
        <w:rPr>
          <w:rFonts w:ascii="FangSong" w:cs="FangSong" w:eastAsia="FangSong" w:hAnsi="FangSong"/>
          <w:sz w:val="30"/>
          <w:szCs w:val="30"/>
        </w:rPr>
        <w:t xml:space="preserve">：从"有安全审查实践"向"标准化评估强制前置"推进——细化云应用安全评估标准（数据驻留、访问控制、加密、审计日志、退出权保障），在云应用引入前强制执行评估，完善云环境持续安全监控。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：《新技术风险评估框架》、AI模型全生命周期管理制度、《AI模型安全测试报告》、《AI数据合规评估报告》、《算法审计报告》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战役十：人才队伍与文化培育</w:t>
      </w:r>
    </w:p>
    <w:p>
      <w:p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对应维度：跨维度支撑（D1治理中的人才要求+全行风险文化建设）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战役定位</w:t>
      </w:r>
      <w:r>
        <w:rPr>
          <w:rFonts w:ascii="FangSong" w:cs="FangSong" w:eastAsia="FangSong" w:hAnsi="FangSong"/>
          <w:sz w:val="30"/>
          <w:szCs w:val="30"/>
        </w:rPr>
        <w:t xml:space="preserve">：对于国有大行，人员规模、学历层次与稳定性均不构成制约，监管底线问题在于信息科技人员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占比</w:t>
      </w:r>
      <w:r>
        <w:rPr>
          <w:rFonts w:ascii="FangSong" w:cs="FangSong" w:eastAsia="FangSong" w:hAnsi="FangSong"/>
          <w:sz w:val="30"/>
          <w:szCs w:val="30"/>
        </w:rPr>
        <w:t xml:space="preserve">是否达标；真正的挑战在于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激活效能与建立风险文化</w:t>
      </w:r>
      <w:r>
        <w:rPr>
          <w:rFonts w:ascii="FangSong" w:cs="FangSong" w:eastAsia="FangSong" w:hAnsi="FangSong"/>
          <w:sz w:val="30"/>
          <w:szCs w:val="30"/>
        </w:rPr>
        <w:t xml:space="preserve">——将科技风险意识从培训覆盖推向行为改变，以钓鱼演练点击率、年度培训完成率、安全事件重复发生率等可量化指标衡量文化成效。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牵头责任</w:t>
      </w:r>
      <w:r>
        <w:rPr>
          <w:rFonts w:ascii="FangSong" w:cs="FangSong" w:eastAsia="FangSong" w:hAnsi="FangSong"/>
          <w:sz w:val="30"/>
          <w:szCs w:val="30"/>
        </w:rPr>
        <w:t xml:space="preserve">：信息科技部；协同：风险管理部、数据管理部、人力资源部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五年演进路径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强度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年度战略重点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底线保障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人员占比达标；全员培训完成率≥95%；关键岗位年度能力评估完成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2027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深化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双向挂职落实（≥2人）；钓鱼演练点击率≤8%；培训后行为改变可测量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2028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成熟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安全事件重复发生率≤10%（文化成效可量化）；科技人才体系稳定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2029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持续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数据安全治理文化成熟度评估；科技风险知识体系深化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2030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领先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科技风险文化与人才体系达行业先进；知识体系可对外输出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核心工作机制</w:t>
      </w:r>
      <w:r>
        <w:rPr>
          <w:rFonts w:ascii="FangSong" w:cs="FangSong" w:eastAsia="FangSong" w:hAnsi="FangSong"/>
          <w:sz w:val="30"/>
          <w:szCs w:val="30"/>
        </w:rPr>
        <w:t xml:space="preserve">：信息科技人员占比年度监控与达标管理；关键岗位专项方向培训（信息安全：CISP/CISSP方向；审计：CISA方向；数据安全方向等，以学习内容为目标，不强制要求持证）；全员信息安全意识培训（≥1次/半年，完成率纳入绩效考核）；钓鱼邮件模拟演练（≥2次/年，点击率逐次下降）；科技风险KPI纳入全行绩效考核；双向挂职（风险←→科技）；数据安全全员培训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具体工作内容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全员信息安全意识培训</w:t>
      </w:r>
      <w:r>
        <w:rPr>
          <w:rFonts w:ascii="FangSong" w:cs="FangSong" w:eastAsia="FangSong" w:hAnsi="FangSong"/>
          <w:sz w:val="30"/>
          <w:szCs w:val="30"/>
        </w:rPr>
        <w:t xml:space="preserve">：从"培训有开展"向"效果可量化"推进——统一培训内容与当年重点风险领域匹配，追踪全员完成率并纳入绩效考核，培训后开展知识测评（区别于仅统计出勤率），全年培训数据归档备检。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钓鱼演练机制落地</w:t>
      </w:r>
      <w:r>
        <w:rPr>
          <w:rFonts w:ascii="FangSong" w:cs="FangSong" w:eastAsia="FangSong" w:hAnsi="FangSong"/>
          <w:sz w:val="30"/>
          <w:szCs w:val="30"/>
        </w:rPr>
        <w:t xml:space="preserve">：从"未系统开展"向"每年至少2次、点击率可见改善"推进——设计多种伪装场景（外部攻击、内部社工等），执行时无预告，统计点击率（分部门/分岗位），对点击人员强制针对培训，逐次对比改善趋势。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关键岗位能力培养</w:t>
      </w:r>
      <w:r>
        <w:rPr>
          <w:rFonts w:ascii="FangSong" w:cs="FangSong" w:eastAsia="FangSong" w:hAnsi="FangSong"/>
          <w:sz w:val="30"/>
          <w:szCs w:val="30"/>
        </w:rPr>
        <w:t xml:space="preserve">：从"培训路径不清晰"向"岗位能力画像明确、培养进度可追踪"推进——为信息安全/IT审计/数据安全等关键岗位细化能力画像（知识域+技能点），制定内训+外训+实战路径，年度评估能力进展。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科技风险KPI落地</w:t>
      </w:r>
      <w:r>
        <w:rPr>
          <w:rFonts w:ascii="FangSong" w:cs="FangSong" w:eastAsia="FangSong" w:hAnsi="FangSong"/>
          <w:sz w:val="30"/>
          <w:szCs w:val="30"/>
        </w:rPr>
        <w:t xml:space="preserve">：从"权重和落地有待加强"向"纳入正式绩效考核且权重明确"推进——与风险管理部联合设计科技风险绩效指标体系（安全事件数、整改完成率、培训完成率等），明确权重，完善KPI数据的月度收集和核验机制。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双向挂职落实</w:t>
      </w:r>
      <w:r>
        <w:rPr>
          <w:rFonts w:ascii="FangSong" w:cs="FangSong" w:eastAsia="FangSong" w:hAnsi="FangSong"/>
          <w:sz w:val="30"/>
          <w:szCs w:val="30"/>
        </w:rPr>
        <w:t xml:space="preserve">：从"有意向"向"首批挂职人员落地并有评估"推进——与人力资源部明确挂职岗位、时长、工作目标和职业发展衔接，完成首批风险←→科技双向挂职安排，挂职结束后完成效果评估和经验分享。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典型交付物</w:t>
      </w:r>
      <w:r>
        <w:rPr>
          <w:rFonts w:ascii="FangSong" w:cs="FangSong" w:eastAsia="FangSong" w:hAnsi="FangSong"/>
          <w:sz w:val="30"/>
          <w:szCs w:val="30"/>
        </w:rPr>
        <w:t xml:space="preserve">：《科技风险绩效考核办法》、《年度培训完成率报告》、《关键岗位能力评估记录》、《全员安全培训记录》、钓鱼邮件演练报告（含点击率统计）、《数据安全培训记录》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第六章 2026年作战计划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本章规定2026年各战役的年度执行计划。各战役定位、职责分工及五年演进框架见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；本章仅列本年强度定位、具体执行动作与年度验收标准。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：突破底线思维，激活现有能力；补齐唯一真正空白；以重点突破驱动评级跨档。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年度重点突破候选</w:t>
      </w:r>
      <w:r>
        <w:rPr>
          <w:rFonts w:ascii="FangSong" w:cs="FangSong" w:eastAsia="FangSong" w:hAnsi="FangSong"/>
          <w:sz w:val="30"/>
          <w:szCs w:val="30"/>
        </w:rPr>
        <w:t xml:space="preserve">（两个并行，择优推进）：战役二（风险指标与报告体系质量）、战役三（安全产品能力激活）；战役六（场景化重大故障应急）若执行质量充分可并行为重点突破方向。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数据治理（待确认）</w:t>
      </w:r>
      <w:r>
        <w:rPr>
          <w:rFonts w:ascii="FangSong" w:cs="FangSong" w:eastAsia="FangSong" w:hAnsi="FangSong"/>
          <w:sz w:val="30"/>
          <w:szCs w:val="30"/>
        </w:rPr>
        <w:t xml:space="preserve">：战役八——数据治理基础缺口范围有待确认，2026年首要任务是评估现状并确定工作方向。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底线保障</w:t>
      </w:r>
      <w:r>
        <w:rPr>
          <w:rFonts w:ascii="FangSong" w:cs="FangSong" w:eastAsia="FangSong" w:hAnsi="FangSong"/>
          <w:sz w:val="30"/>
          <w:szCs w:val="30"/>
        </w:rPr>
        <w:t xml:space="preserve">：战役一、四、五、七、九、十——以不失分为目标，关键红线不破。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Q1基础工程（全战役前提）</w:t>
      </w:r>
      <w:r>
        <w:rPr>
          <w:rFonts w:ascii="FangSong" w:cs="FangSong" w:eastAsia="FangSong" w:hAnsi="FangSong"/>
          <w:sz w:val="30"/>
          <w:szCs w:val="30"/>
        </w:rPr>
        <w:t xml:space="preserve">：依托现有科委会授权启动本计划治理机制、三大协作机制发布（详见第十一章）、整改销号平台上线。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（二）年度战役执行计划</w:t>
      </w:r>
    </w:p>
    <w:p>
      <w:pPr>
        <w:pStyle w:val="Heading3"/>
        <w:numPr>
          <w:ilvl w:val="1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战役二（攻坚·重点突破）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（详见第五章战役二）：KRI体系双维度完善（指标质量提升+自动采集率≥60%）；ITMIS/SOC平台功能激活；全行风险评估覆盖率100%。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Q1：修订完善《信息科技风险管理框架》；启动KRI指标体系优化（逐一明确采集路径，改造高频人工报送指标）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Q2：组织全行信息系统RCSA风险评估（覆盖率100%）；完善分层分级风险报告制度（各层级按频次输出）；深化ITMIS/SOC平台告警与KRI指标的自动关联规则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Q3：完善ITMIS风险事件管理与损失记录模块，规范事件分类标准；SOC关联分析规则扩展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Q4：年度成果收尾；KRI自动采集覆盖率验收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：KRI指标≥30个，自动采集覆盖率≥60%；年度风险评估覆盖率100%；各层级报告按频次完整输出；风险事件数据库纳入历史数据。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战役三（攻坚·重点突破）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（详见第五章战役三）：安全产品功能系统性激活；PAM精细化管控；安全基线自动化；零信任架构启动；红蓝对抗。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Q1：完成全行安全产品已购功能与实际启用率全面梳理，形成《安全产品功能激活路线图》；完成数据安全双规合规差距分析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Q2：按路线图分批推进未启用功能落地；深化PAM全链路管控（共享账号清零，特权账号行为100%可审计）；强化安全基线自动化检测（核心系统≥95%）；完成核心数据库加密整改计划；零信任核心组件POC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Q3：零信任覆盖核心业务系统；开展红蓝对抗实战演练（无预告）；加强安全事件响应自动化，P1级30分钟响应达标率提升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Q4：各主要安全产品核心功能启用率验收（≥采购承诺水平80%）；零信任扩展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：安全产品核心功能启用率≥80%；共享账号清零；特权账号行为可审计率100%；安全基线自动化检测覆盖率≥95%；红蓝对抗无未修复高危漏洞；P1级事件响应达标率≥90%。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战役六（重点突破候选）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（详见第五章战役六）：场景化重大故障应急演练首次落地（≥3个独立场景）；BIA完成；备份数据可恢复性验证。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Q1：联合业务部门开展BIA，确定各系统RTO/RPO目标并经高管层审批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Q2：根据BIA完成《灾备能力差距分析报告》；设计独立场景应急方案（数据库单点、网络分区、核心中间件崩溃）；启动场景演练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Q3：执行≥3个独立故障场景演练；验证备份数据完整性与可恢复性；审计部现场见证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Q4：与外部系统（支付清算、央行等）联合应急演练≥1次；修订《业务连续性总体预案》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：BIA覆盖率100%；场景化演练≥3个独立场景；核心系统RTO/RPO演练验证通过；备份数据可恢复性验证通过；审计鉴证认可演练有效性；联合演练≥1次。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战役八（待确认强度）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本年执行重点</w:t>
      </w:r>
      <w:r>
        <w:rPr>
          <w:rFonts w:ascii="FangSong" w:cs="FangSong" w:eastAsia="FangSong" w:hAnsi="FangSong"/>
          <w:sz w:val="30"/>
          <w:szCs w:val="30"/>
        </w:rPr>
        <w:t xml:space="preserve">（详见第五章战役八）：确认数据治理基础缺口；数据资产目录落地或质量提升；数据分类分级双规对齐；测试数据清零。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本年关键行动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Q1：评估数据治理现状（确认缺口范围）；制定数据分类分级标准（以双规为准）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Q2：数据资产目录落地或质量提升（≥95%覆盖）；完成数据分类分级标注；数据风险指标纳入KRI体系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Q3：建立数据血缘追踪系统；完成个人信息保护合规差距分析；测试数据脱敏自动化（清零目标）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Q4：审计部穿透式检查数据资产目录质量与分类分级准确性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本年验收标准</w:t>
      </w:r>
      <w:r>
        <w:rPr>
          <w:rFonts w:ascii="FangSong" w:cs="FangSong" w:eastAsia="FangSong" w:hAnsi="FangSong"/>
          <w:sz w:val="30"/>
          <w:szCs w:val="30"/>
        </w:rPr>
        <w:t xml:space="preserve">：数据资产目录覆盖率≥95%；数据分类分级对齐双规要求≥95%；测试环境真实客户数据清零。</w:t>
      </w: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底线保障战役年度要点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以下6个战役2026年以底线保障为目标，完整战役框架见第五章相应章节。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5"/>
        <w:gridCol w:w="2055"/>
        <w:gridCol w:w="2055"/>
        <w:gridCol w:w="2055"/>
      </w:tblGrid>
      <w:tr>
        <w:trPr>
          <w:tblHeader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2026年目标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关键红线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关键交付物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基础治理达标，以迎检通过为目标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CIO履职记录完整；开发测试人员零生产权限；IT战略规划经董事会审批；委员会≥4次/年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《岗位分离矩阵》、IT委员会纪要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安全基线质量标尺提升，检测规则超越默认配置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SAST/DAST扫描闭环整改率≥90%；核心系统上线前安全测试100%；测试数据清零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《安全基线检测规则定制化报告》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ITMIS六子方向全面提升，事件台账积累≥6个月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P1/P2 RCA完成率100%（5工作日内）；CMDB准确率≥95%；批处理监控覆盖率100%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事件工单台账（月度积累）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供应链依赖清单首建；外包基础管理例行达标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离场权限48小时内回收率100%；代码安全审查100%；第三方依赖清单完成初版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《第三方依赖清单》、外包管理台账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新技术风险评估基础框架发布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新技术风险框架经高管层审批；AI模型上线前100%评估；无新技术引发重大事件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《新技术风险评估框架》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人员占比达标；全员培训完成率≥95%；关键岗位能力评估完成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信息科技人员占比满足监管要求；全员培训完成率≥95%；钓鱼演练点击率逐次下降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《年度培训完成率报告》、《培训记录》</w:t>
            </w:r>
          </w:p>
        </w:tc>
      </w:tr>
    </w:tbl>
    <w:p>
      <w:pPr>
        <w:spacing w:after="120" w:before="60" w:line="420" w:lineRule="atLeast"/>
      </w:pP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（三）年度实施路线图（Q1—Q4）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Q1（机制启动·基础先行）</w:t>
      </w:r>
      <w:r>
        <w:rPr>
          <w:rFonts w:ascii="FangSong" w:cs="FangSong" w:eastAsia="FangSong" w:hAnsi="FangSong"/>
          <w:sz w:val="30"/>
          <w:szCs w:val="30"/>
        </w:rPr>
        <w:t xml:space="preserve">：依托现有科委会授权，发布三大协作机制及审计独立性保障机制（详见第十一章）；搭建整改销号平台；各部门开展监管评级模拟自测，完成差距分析；优先启动战役二（KRI体系优化启动）、战役三（安全产品清单梳理）、战役四（安全基线检测规则梳理）、战役五（事件管理机制强化并积累台账）、战役八（数据治理现状评估）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Q2-Q3（全力攻坚·成果积累）</w:t>
      </w:r>
      <w:r>
        <w:rPr>
          <w:rFonts w:ascii="FangSong" w:cs="FangSong" w:eastAsia="FangSong" w:hAnsi="FangSong"/>
          <w:sz w:val="30"/>
          <w:szCs w:val="30"/>
        </w:rPr>
        <w:t xml:space="preserve">：按战役组建"专项工作组"，实行"周通报、月调度"；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Q2核心</w:t>
      </w:r>
      <w:r>
        <w:rPr>
          <w:rFonts w:ascii="FangSong" w:cs="FangSong" w:eastAsia="FangSong" w:hAnsi="FangSong"/>
          <w:sz w:val="30"/>
          <w:szCs w:val="30"/>
        </w:rPr>
        <w:t xml:space="preserve">：战役二（KRI完善、全行风险评估）、战役三（安全产品激活推进、PAM深化、安全基线）、战役六（BIA完成、场景演练设计）、战役八（数据资产目录落地或质量提升）；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Q3核心</w:t>
      </w:r>
      <w:r>
        <w:rPr>
          <w:rFonts w:ascii="FangSong" w:cs="FangSong" w:eastAsia="FangSong" w:hAnsi="FangSong"/>
          <w:sz w:val="30"/>
          <w:szCs w:val="30"/>
        </w:rPr>
        <w:t xml:space="preserve">：战役三（红蓝对抗、数据库加密）、战役六（场景化演练执行≥3个场景）、战役八（数据血缘追踪、个人信息保护差距分析）；审计部同步开展Q2、Q3过程审计。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Q4（固化迎检·证据冲刺）</w:t>
      </w:r>
      <w:r>
        <w:rPr>
          <w:rFonts w:ascii="FangSong" w:cs="FangSong" w:eastAsia="FangSong" w:hAnsi="FangSong"/>
          <w:sz w:val="30"/>
          <w:szCs w:val="30"/>
        </w:rPr>
        <w:t xml:space="preserve">：完成所有战役任务，整理证据链档案；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重点核查</w:t>
      </w:r>
      <w:r>
        <w:rPr>
          <w:rFonts w:ascii="FangSong" w:cs="FangSong" w:eastAsia="FangSong" w:hAnsi="FangSong"/>
          <w:sz w:val="30"/>
          <w:szCs w:val="30"/>
        </w:rPr>
        <w:t xml:space="preserve">：战役四（安全基线闭环整改台账）和战役五（事件工单台账）须连续完整≥6个月；审计部开展"整改回头看"全面审计；聘请外部审计机构对高风险领域独立复核；模拟监管进场访谈；向董事会汇报全年成效。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第七章 2027年作战计划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本章规定2027年各战役的年度执行计划；各战役框架见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：深化体系，工具成熟，重点成果成型。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：战役四（DevSecOps安全左移成效可量化）——DevSecOps覆盖主要项目≥60%，上线后缺陷逃逸率较2026基准下降≥30%。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2027年重点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IT管理委员会运作规范化；三道防线履职质量提升（见第五章战役一）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年度履职有效性评估达标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KRI自动采集率达≥80%；风险量化方法论引入（见第五章战役二）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KRI自动采集率≥80%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零信任覆盖核心系统；漏洞修复周期≤15天（见第五章战役三）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漏洞修复周期≤15天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DevSecOps覆盖≥60%（重点突破）；SCA引入；密评适配改造（见第五章战役四）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DevSecOps覆盖率≥60%（重点突破）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CMDB实时同步准确率≥98%；问题管理机制成熟化（见第五章战役五）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CMDB准确率≥98%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场景演练制度化，新增场景（应用层/存储层）；RTO/RPO达标率≥90%（见第五章战役六）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演练≥4个场景/年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供应链风险评估机制建立；关键依赖可替代性分析；高风险组件替换计划启动（见第五章战役七）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供应链风险评估覆盖关键依赖100%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数据资产目录持续维护；数据分类分级精细度提升（见第五章战役八）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数据质量检核通过率≥95%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AI风险框架落地深化；算法审计标准探索（见第五章战役九）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AI上线评估覆盖率100%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双向挂职落实（≥2人）；钓鱼演练点击率≤8%；培训后行为改变可测量（见第五章战役十）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钓鱼演练点击率≤8%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第八章 2028年作战计划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本章规定2028年各战役的年度执行计划；各战役框架见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：体系全面成熟，争创优良评级。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：无重大缺口。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：战役二（内部模拟检查里程碑）——内部监管模拟检查机制建立并完成首次全面运作，整改完成率≥95%，以可核验的数据支撑争创优良。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2028年重点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信息科技管理体系3年综合评估；AI治理专章纳入框架（见第五章战役一）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治理成熟度评估达标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内部模拟检查机制建立运作（重点突破）；科技风险全景地图（见第五章战役二）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模拟检查整改完成率≥95%（重点突破）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AI模型安全管控框架完善；攻防演练常态化≥2次（见第五章战役三）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攻防演练≥2次/年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DevSecOps覆盖率≥80%（成果巩固）；密评覆盖核心系统；推进CMMi Level 4评估（见第五章战役四）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DevSecOps覆盖率≥80%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巡检自动化≥90%；MTTR较基准降低30%（见第五章战役五）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MTTR较基准降低30%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全年演练≥6个场景；RTO/RPO 100%达标（见第五章战役六）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RTO/RPO达标率100%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软件供应链风险管控体系成熟（含SBOM）；供应商安全评级机制建立（见第五章战役七）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SBOM覆盖核心系统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数据血缘追踪完善；数据质量管控实质化（见第五章战役八）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数据质量检核通过率≥99%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AI治理合规性专项评估；新技术风险管控成熟度提升（见第五章战役九）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AI治理合规评估完成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安全事件重复发生率≤10%（文化成效可量化）（见第五章战役十）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重复安全事件率≤10%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第九章 2029年作战计划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本章规定2029年各战役的年度执行计划；各战役框架见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：数字赋能，智能管控，监管接口打通。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：战役二（监管数据实时自动采集接口上线）——实现从人工报送到系统直连监管机构的跨越，力争在政策性银行同业中形成领先；并为2030年量化预测模型建设打好数据基础。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2029年重点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AI治理专章纳入IT治理框架；应对监管指引可能修订（见第五章战役一）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治理架构适应新监管要求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监管数据自动化实时接口上线（重点突破）；量化预测模型建设启动（见第五章战役二）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实时采集接口上线（重点突破）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SOC关联规则场景大幅扩展；UEBA引入；威胁响应时效较基准-50%（见第五章战役三）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威胁响应时效较基准-50%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AI辅助测试引入；安全左移效果持续优化（见第五章战役四）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AI辅助测试覆盖率≥30%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AIOps探索；MTTR较基准降低40%（见第五章战役五）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MTTR较基准降低40%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场景全面扩展；联合演练常态化≥2次/年（见第五章战役六）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联合演练≥2次/年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服务供应链依赖深度管控；核心功能外部依赖最小化专项评估（见第五章战役七）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核心功能外部依赖最小化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监管数据实时对接接口（数据侧，与战役二互补）（见第五章战役八）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数据侧实时接口上线验证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科技风险量化评估模型建设推进（与战役二协同）（见第五章战役九）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量化模型初版完成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数据安全治理文化成熟度评估（见第五章战役十）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全员数据安全意识测评达标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第十章 2030年作战计划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本章规定2030年各战役的年度执行计划；各战役框架见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第五章</w:t>
      </w:r>
      <w:r>
        <w:rPr>
          <w:rFonts w:ascii="FangSong" w:cs="FangSong" w:eastAsia="FangSong" w:hAnsi="FangSong"/>
          <w:sz w:val="30"/>
          <w:szCs w:val="30"/>
        </w:rPr>
        <w:t xml:space="preserve">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（一）年度目标与定位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年度主题</w:t>
      </w:r>
      <w:r>
        <w:rPr>
          <w:rFonts w:ascii="FangSong" w:cs="FangSong" w:eastAsia="FangSong" w:hAnsi="FangSong"/>
          <w:sz w:val="30"/>
          <w:szCs w:val="30"/>
        </w:rPr>
        <w:t xml:space="preserve">：持续优化，长效治理，量化成果验证。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年度基础补建</w:t>
      </w:r>
      <w:r>
        <w:rPr>
          <w:rFonts w:ascii="FangSong" w:cs="FangSong" w:eastAsia="FangSong" w:hAnsi="FangSong"/>
          <w:sz w:val="30"/>
          <w:szCs w:val="30"/>
        </w:rPr>
        <w:t xml:space="preserve">：无。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年度重点突破方向</w:t>
      </w:r>
      <w:r>
        <w:rPr>
          <w:rFonts w:ascii="FangSong" w:cs="FangSong" w:eastAsia="FangSong" w:hAnsi="FangSong"/>
          <w:sz w:val="30"/>
          <w:szCs w:val="30"/>
        </w:rPr>
        <w:t xml:space="preserve">：战役二（科技风险量化预测模型成熟验证）——基于2026年起建立的高质量KRI数据和事件历史，四年数据积累形成可训练的量化模型；从"描述已发生的风险"跨越到"预测将要发生的风险"；形成五年"播种—积累—收获"的完整闭环叙事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信创说明</w:t>
      </w:r>
      <w:r>
        <w:rPr>
          <w:rFonts w:ascii="FangSong" w:cs="FangSong" w:eastAsia="FangSong" w:hAnsi="FangSong"/>
          <w:sz w:val="30"/>
          <w:szCs w:val="30"/>
        </w:rPr>
        <w:t xml:space="preserve">：信创作为合规必做项，按计划持续推进，不作为本年重点突破定位。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（二）各战役年度重点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2030年重点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关键目标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治理成熟度综合评估；治理架构长效机制固化（见第五章战役一）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治理成熟度达行业先进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量化预测模型成熟验证（重点突破）；最佳实践文档化（见第五章战役二）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量化预测模型可验证（重点突破）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AI伦理审查机制建立；安全事件重复率≤5%（见第五章战役三）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重复安全事件率≤5%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缺陷逃逸率≤0.5%；AI辅助测试规模化（见第五章战役四）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缺陷逃逸率≤0.5%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核心系统可用率≥99.99%；运维自动化成熟（见第五章战役五）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核心系统可用率≥99.99%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场景化演练覆盖完整故障谱；BCM长效运转（见第五章战役六）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演练故障谱覆盖完整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供应链安全治理体系成熟；自主可控能力持续提升（见第五章战役七）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供应链安全治理达行业先进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数据治理成熟度成政策性银行行业参考（见第五章战役八）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数据质量长期稳定优良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参与行业标准制定；AI治理框架输出行业参考（见第五章战役九）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AI治理成果行业交流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科技风险文化与人才体系达行业先进（见第五章战役十）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人才与文化体系达行业先进</w:t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第十一章 分工协作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（一）参与部门分工</w:t>
      </w:r>
    </w:p>
    <w:p>
      <w:pPr>
        <w:pStyle w:val="Heading3"/>
        <w:numPr>
          <w:ilvl w:val="1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信息科技部内部专业板块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信息科技部下设六个专业板块，各板块主责战役分工如下。板块名称全称加"信息科技部·"前缀，以区别于全行同名职能部门。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专业板块（全称）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核心职责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主责战役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信息科技部·系统运行（含基础设施）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数据中心运营、网络主机、生产调度、变更管理、容量、灾备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战役五、战役六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信息科技部·应用支持（业务层及需求）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业务需求受理、应用运维支持、用户权限管理、外包应用监督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战役四（运维侧）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信息科技部·开发测试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软件开发规范、测试质量管控、DevSecOps体系、代码安全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战役四（开发侧）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信息科技部·网络安全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网络安全体系、数据安全、访问控制、漏洞管理、安全运营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信息科技部·风险管理-制度处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科技风险识别评估、KRI监测、监管报送合规、自评估管理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战役一、战役二、战役九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信息科技部·规划/科技资源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IT规划管理、科技资源统筹、供应商与外包管理、科技预算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</w:tr>
    </w:tbl>
    <w:p>
      <w:pPr>
        <w:spacing w:after="120" w:before="60" w:line="420" w:lineRule="atLeast"/>
      </w:pP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外部协同部门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以下部门作为外部协同方，在各战役中承担监督、指导或专业职能：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外部协同部门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在本计划中的角色定位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主要参与战役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风险管理部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第二道防线，制定科技风险政策、独立监督、跨条线协调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战役一、二、六、七、九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审计部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第三道防线，独立鉴证整改成效，不参与战役执行决策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贯穿全部战役（独立验证）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数据管理部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数据Owner体系建设、数据标准与资产目录、数据安全合规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战役八、战役三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人力资源部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科技人才引进计划、双向挂职安排、绩效考核机制落地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各业务条线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业务影响分析（BIA）、数据Owner确认、关键业务场景演练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战役六、战役八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三道防线说明</w:t>
      </w:r>
      <w:r>
        <w:rPr>
          <w:rFonts w:ascii="FangSong" w:cs="FangSong" w:eastAsia="FangSong" w:hAnsi="FangSong"/>
          <w:sz w:val="30"/>
          <w:szCs w:val="30"/>
        </w:rPr>
        <w:t xml:space="preserve">：信息科技部·风险管理-制度处承担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第一道防线</w:t>
      </w:r>
      <w:r>
        <w:rPr>
          <w:rFonts w:ascii="FangSong" w:cs="FangSong" w:eastAsia="FangSong" w:hAnsi="FangSong"/>
          <w:sz w:val="30"/>
          <w:szCs w:val="30"/>
        </w:rPr>
        <w:t xml:space="preserve">职责；风险管理部承担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第二道防线</w:t>
      </w:r>
      <w:r>
        <w:rPr>
          <w:rFonts w:ascii="FangSong" w:cs="FangSong" w:eastAsia="FangSong" w:hAnsi="FangSong"/>
          <w:sz w:val="30"/>
          <w:szCs w:val="30"/>
        </w:rPr>
        <w:t xml:space="preserve">职责；审计部承担</w:t>
      </w:r>
      <w:r>
        <w:rPr>
          <w:rFonts w:ascii="FangSong" w:cs="FangSong" w:eastAsia="FangSong" w:hAnsi="FangSong"/>
          <w:b/>
          <w:bCs/>
          <w:sz w:val="30"/>
          <w:szCs w:val="30"/>
        </w:rPr>
        <w:t xml:space="preserve">第三道防线</w:t>
      </w:r>
      <w:r>
        <w:rPr>
          <w:rFonts w:ascii="FangSong" w:cs="FangSong" w:eastAsia="FangSong" w:hAnsi="FangSong"/>
          <w:sz w:val="30"/>
          <w:szCs w:val="30"/>
        </w:rPr>
        <w:t xml:space="preserve">职责。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（二）"风险—科技—数据"三角联席工作制（核心执行机制）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定位</w:t>
      </w:r>
      <w:r>
        <w:rPr>
          <w:rFonts w:ascii="FangSong" w:cs="FangSong" w:eastAsia="FangSong" w:hAnsi="FangSong"/>
          <w:sz w:val="30"/>
          <w:szCs w:val="30"/>
        </w:rPr>
        <w:t xml:space="preserve">：本计划的核心日常执行机制。三方分工明确——风险管理部定标准、信息科技部落执行、数据管理部保质量；通过标准化的事前会签、事中监控、事后评价，将科技风险管控嵌入具体业务场景，解决"事前谁定标、事中谁监控、事后谁评价"的落地难题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适用场景</w:t>
      </w:r>
      <w:r>
        <w:rPr>
          <w:rFonts w:ascii="FangSong" w:cs="FangSong" w:eastAsia="FangSong" w:hAnsi="FangSong"/>
          <w:sz w:val="30"/>
          <w:szCs w:val="30"/>
        </w:rPr>
        <w:t xml:space="preserve">：重大系统上线、新业务投产、监管新规落地、新技术（AI/云）应用、核心数据变更、年度风险评估等所有关键场景。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运作模式（三方会签制）</w:t>
      </w:r>
      <w:r>
        <w:rPr>
          <w:rFonts w:ascii="FangSong" w:cs="FangSong" w:eastAsia="FangSong" w:hAnsi="FangSong"/>
          <w:sz w:val="30"/>
          <w:szCs w:val="30"/>
        </w:rPr>
        <w:t xml:space="preserve">：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事前——数据管理部定义数据标准，信息科技部制定技术与安全设计，风险管理部审核合规性，三方会签方可立项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事中——信息科技部·系统运行保稳定，网络安全负责威胁监测，风险管理部实时监测KRI预警</w:t>
      </w:r>
    </w:p>
    <w:p>
      <w:pPr>
        <w:pStyle w:val="ListParagraph"/>
        <w:numPr>
          <w:ilvl w:val="1"/>
          <w:numId w:val="3"/>
        </w:numPr>
        <w:spacing w:after="120" w:before="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事后——审计部独立后评价，结论反馈至下一轮三方会签改进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常设工作节奏</w:t>
      </w:r>
      <w:r>
        <w:rPr>
          <w:rFonts w:ascii="FangSong" w:cs="FangSong" w:eastAsia="FangSong" w:hAnsi="FangSong"/>
          <w:sz w:val="30"/>
          <w:szCs w:val="30"/>
        </w:rPr>
        <w:t xml:space="preserve">：双周例会（三方碰头，通报进展、消解摩擦）；月度联合风险报告（三方共同输出，上报科委会备案）。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（三）科委会（高层治理背书）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定位</w:t>
      </w:r>
      <w:r>
        <w:rPr>
          <w:rFonts w:ascii="FangSong" w:cs="FangSong" w:eastAsia="FangSong" w:hAnsi="FangSong"/>
          <w:sz w:val="30"/>
          <w:szCs w:val="30"/>
        </w:rPr>
        <w:t xml:space="preserve">：依托全行现有科技委员会（科委会）作为高层治理背书机制，无需新设机构；职能限定于：批准年度资源方案、裁决跨部门重大争议、审议应急调整；日常执行由三角联席工作制承载，科委会不介入日常运营。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运作</w:t>
      </w:r>
      <w:r>
        <w:rPr>
          <w:rFonts w:ascii="FangSong" w:cs="FangSong" w:eastAsia="FangSong" w:hAnsi="FangSong"/>
          <w:sz w:val="30"/>
          <w:szCs w:val="30"/>
        </w:rPr>
        <w:t xml:space="preserve">：在科委会现有议事机制下，将本计划重大事项纳入科委会议程；常设办公室设在信息科技部·风险管理-制度处，负责日常督办与议题准备；紧急事项24小时内提请科委会审议。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（四）"问题整改销号"闭环机制（监督与问责层）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管理工具</w:t>
      </w:r>
      <w:r>
        <w:rPr>
          <w:rFonts w:ascii="FangSong" w:cs="FangSong" w:eastAsia="FangSong" w:hAnsi="FangSong"/>
          <w:sz w:val="30"/>
          <w:szCs w:val="30"/>
        </w:rPr>
        <w:t xml:space="preserve">：统一的"监管评级提升任务管理平台"（数字化看板），实现任务认领、进度跟踪、验证销号全线上化。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强制流程</w:t>
      </w:r>
      <w:r>
        <w:rPr>
          <w:rFonts w:ascii="FangSong" w:cs="FangSong" w:eastAsia="FangSong" w:hAnsi="FangSong"/>
          <w:sz w:val="30"/>
          <w:szCs w:val="30"/>
        </w:rPr>
        <w:t xml:space="preserve">：发起（信息科技部·风险管理-制度处生成《问题整改清单》）→ 认领（3个工作日内，制定整改措施和SLA）→ 验证（审计部非现场+现场穿透测试）→ 销号（仅审计部出具"验证通过"意见后方可销号）。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红线原则</w:t>
      </w:r>
      <w:r>
        <w:rPr>
          <w:rFonts w:ascii="FangSong" w:cs="FangSong" w:eastAsia="FangSong" w:hAnsi="FangSong"/>
          <w:sz w:val="30"/>
          <w:szCs w:val="30"/>
        </w:rPr>
        <w:t xml:space="preserve">：未通过审计验证严禁销号；逾期未完成自动升级至科委会督办，与绩效考核挂钩。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（五）IT审计独立性保障机制（对应D8评级维度）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审计部不参与科委会决策表决；不参与三角联席的事前会签和事中监控；不参与整改标准制定；有权对任何战役整改成效提出独立质疑。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审计工作体系</w:t>
      </w:r>
      <w:r>
        <w:rPr>
          <w:rFonts w:ascii="FangSong" w:cs="FangSong" w:eastAsia="FangSong" w:hAnsi="FangSong"/>
          <w:sz w:val="30"/>
          <w:szCs w:val="30"/>
        </w:rPr>
        <w:t xml:space="preserve">：每年Q1制定年度审计计划；三年滚动IT审计计划；全年≥3次专项审计（Q2/Q3过程审计，Q4"整改回头看"）；高风险领域聘请外部审计机构独立复核。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第十二章 保障机制</w:t>
      </w:r>
    </w:p>
    <w:p>
      <w:pPr>
        <w:pStyle w:val="Heading2"/>
        <w:numPr>
          <w:ilvl w:val="0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（一）组织保障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以"风险—科技—数据"三角联席工作制（详见第十一章）为主要执行抓手，常设办公室（信息科技部·风险管理-制度处）负责日常督办、每周汇总各专业板块进展；各战役"专项工作组"明确牵头人，确保执行到位。科委会作为高层资源保障与争议裁决机制，按季度频率运转。各业务部门指定固定联络人参与BIA、数据Owner确认等协同工作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（二）资源保障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专项整改预算优先保障，重点用于安全能力提升工具、CMDB/ITMIS平台升级、SAST/DAST工具采购、第三方审计/测试等；人力资源部优先落实关键岗位招聘和双向挂职计划；跨部门人力借调由科委会统一审批。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五年预算规划原则：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刚性优先保障：灾备建设、安全运营、监管合规相关投入不得以预算压缩为由延期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年度滚动预算：依据当年评估结论动态调整投入重点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四类投入：工具平台采购与建设、系统改造升级、外部咨询与审计、人员培训与能力建设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（三）考核与激励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双向打分制</w:t>
      </w:r>
      <w:r>
        <w:rPr>
          <w:rFonts w:ascii="FangSong" w:cs="FangSong" w:eastAsia="FangSong" w:hAnsi="FangSong"/>
          <w:sz w:val="30"/>
          <w:szCs w:val="30"/>
        </w:rPr>
        <w:t xml:space="preserve">：信息科技部（含各专业板块）绩效，30%由风险管理部打分；风险管理部绩效，20%由信息科技部打分；审计部绩效由审计委员会独立评价，不纳入双向打分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红线问责</w:t>
      </w:r>
      <w:r>
        <w:rPr>
          <w:rFonts w:ascii="FangSong" w:cs="FangSong" w:eastAsia="FangSong" w:hAnsi="FangSong"/>
          <w:sz w:val="30"/>
          <w:szCs w:val="30"/>
        </w:rPr>
        <w:t xml:space="preserve">：因部门推诿导致评级下降或发生重大风险事件的，部门负责人年度绩效一票否决；审计验证发现"虚假整改"的，直接移交纪检监察部门处理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激励机制</w:t>
      </w:r>
      <w:r>
        <w:rPr>
          <w:rFonts w:ascii="FangSong" w:cs="FangSong" w:eastAsia="FangSong" w:hAnsi="FangSong"/>
          <w:sz w:val="30"/>
          <w:szCs w:val="30"/>
        </w:rPr>
        <w:t xml:space="preserve">：对战役攻坚成效显著、按时完成任务的板块和个人，给予绩效加分和评优表彰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（四）沟通联动保障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主动对接监管机构，及时了解最新监管评级要求，主动汇报工作进展；发生重大科技事件须按监管要求时限完成事件报告；加强政策性银行同业交流，借鉴先进经验为后续年度计划提供参考。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（五）应急调整机制</w:t>
      </w:r>
    </w:p>
    <w:p>
      <w:pPr>
        <w:pStyle w:val="Heading3"/>
        <w:numPr>
          <w:ilvl w:val="1"/>
          <w:numId w:val="2"/>
        </w:numPr>
        <w:spacing w:after="120" w:before="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计划降级预案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</w:tblGrid>
      <w:tr>
        <w:trPr>
          <w:tblHeader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触发场景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应急响应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资源调整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重大信息安全事件（数据泄露/勒索）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24小时内召开紧急会议，暂停非核心战役，资源集中处置与根因整改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战役九、十降级为维持性任务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监管专项检查/突击检查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48小时内成立专项应对小组，对检查涉及维度优先完善证据链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根据检查范围动态调整战役优先级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关键供应商重大事故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启动外包退出应急预案，评估对灾备和运行的影响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战役七升级为最高优先级</w:t>
            </w:r>
          </w:p>
        </w:tc>
      </w:tr>
      <w:tr>
        <w:trPr>
          <w:tblHeader w:val="false"/>
        </w:trPr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监管评级标准重大调整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一周内完成新标准与十大战役映射分析，调整覆盖方案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视影响范围新增或调整战役内容</w:t>
            </w:r>
          </w:p>
        </w:tc>
      </w:tr>
    </w:tbl>
    <w:p>
      <w:pPr>
        <w:spacing w:after="120" w:before="60" w:line="420" w:lineRule="atLeast"/>
      </w:pPr>
    </w:p>
    <w:p>
      <w:pPr>
        <w:pStyle w:val="Heading3"/>
        <w:numPr>
          <w:ilvl w:val="1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优先级保底原则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无论发生何种冲击，以下"保底四战役"的执行不得中断：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战役三（信息安全）——一级关注领域，直接决定评级底线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战役四（开发测试）——证据链不可中断，一旦断裂无法补救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战役五（运行管理）——证据链不可中断，一旦断裂无法补救</w:t>
      </w:r>
    </w:p>
    <w:p>
      <w:pPr>
        <w:pStyle w:val="ListParagraph"/>
        <w:numPr>
          <w:ilvl w:val="0"/>
          <w:numId w:val="3"/>
        </w:numPr>
        <w:spacing w:after="120" w:before="360" w:line="420" w:lineRule="atLeast"/>
      </w:pPr>
      <w:r>
        <w:rPr>
          <w:rFonts w:ascii="FangSong" w:cs="FangSong" w:eastAsia="FangSong" w:hAnsi="FangSong"/>
          <w:sz w:val="30"/>
          <w:szCs w:val="30"/>
        </w:rPr>
        <w:t xml:space="preserve">战役六（业务连续性）——一级关注领域，直接决定评级底线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第十三章 附则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本计划自发布之日起实施，由科委会负责解释。各部门及专业板块需根据本计划制定具体实施细则，确保任务落地到岗、责任到人。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本计划每年12月由科委会组织年度复盘，结合监管政策变化和战役推进情况，适时调整优化五年路线图和年度重点工作。</w:t>
      </w: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附录一：扣分全景台账（模板）</w:t>
      </w:r>
    </w:p>
    <w:p>
      <w:pPr>
        <w:spacing w:after="120" w:before="360" w:line="420" w:lineRule="atLeast"/>
        <w:ind w:firstLine="567"/>
      </w:pPr>
      <w:r>
        <w:rPr>
          <w:rFonts w:ascii="FangSong" w:cs="FangSong" w:eastAsia="FangSong" w:hAnsi="FangSong"/>
          <w:sz w:val="30"/>
          <w:szCs w:val="30"/>
        </w:rPr>
        <w:t xml:space="preserve">本台账应在Q1模拟自测后填入实际数据，作为十大战役精准整改的依据。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>
        <w:trPr>
          <w:tblHeader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序号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评级维度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具体扣分项描述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扣分分值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主责战役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整改措施编号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责任板块/部门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计划完成时限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当前状态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D1 治理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D2 风险管理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D3 信息安全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D4 开发测试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D5 运行管理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D6 业务连续性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D7 外包管理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8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D8 审计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审计保障机制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9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数据治理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[待填]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...</w:t>
            </w:r>
          </w:p>
        </w:tc>
      </w:tr>
      <w:tr>
        <w:trPr>
          <w:tblHeader w:val="false"/>
        </w:trPr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**合计**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**[总扣分]**</w:t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9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/>
            </w:r>
          </w:p>
        </w:tc>
      </w:tr>
    </w:tbl>
    <w:p>
      <w:pPr>
        <w:spacing w:after="120" w:before="60" w:line="420" w:lineRule="atLeast"/>
      </w:pPr>
    </w:p>
    <w:p>
      <w:pPr>
        <w:pStyle w:val="Heading1"/>
        <w:spacing w:after="120" w:before="360" w:line="420" w:lineRule="atLeast"/>
        <w:jc w:val="center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附录二：战役与监管条文映射表</w:t>
      </w:r>
    </w:p>
    <w:tbl>
      <w:tblPr>
        <w:tblW w:type="dxa" w:w="8222"/>
        <w:tblInd w:type="dxa" w:w="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5"/>
        <w:gridCol w:w="2055"/>
        <w:gridCol w:w="2055"/>
        <w:gridCol w:w="2055"/>
      </w:tblGrid>
      <w:tr>
        <w:trPr>
          <w:tblHeader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战役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监管文件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关键条款/章节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第二章（信息科技治理）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三道防线、CIO设置、IT管理委员会、岗位分离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战役一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银监发〔2016〕44号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第三章（治理架构）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科技风险纳入全面风险管理框架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第三章（信息科技风险管理）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风险识别、评估、监测、报告的系统要求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战役二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银监发〔2016〕44号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第四章（风险偏好）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风险偏好声明与容忍度设定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第四章（信息安全）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访问控制、网络安全、应急响应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金规〔2024〕24号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全文（数据安全管理）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数据分类分级强制化、全生命周期管控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人民银行令〔2025〕第3号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全文（央行业务领域数据安全）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支付清算等业务数据的安全保护要求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GB/T 22239—2019（等保2.0）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安全通用要求各级别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二级及以上系统等保测评要求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GB/T 39786—2021（密评）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安全要求各环节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核心系统商用密码应用安全性评估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第五章（信息系统开发、测试和维护）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SDLC管理、测试充分性、变更审批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战役四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银保监办发〔2022〕2号（数字化转型）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第三章（技术能力建设）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DevSecOps、安全开发、自动化测试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战役五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第六章（信息科技运行）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事件管理、问题管理、容量管理、配置管理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第七章（业务连续性管理）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BCM体系、应急预案、演练要求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战役六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GB/T 20988—2007（灾难恢复规范）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灾难恢复能力等级划分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RTO/RPO目标设定参考标准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战役七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银保监办发〔2021〕141号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全文（信息科技外包风险监管办法）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准入、集中度（≤50%）、持续监督、退出机制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银保监发〔2018〕22号（数据治理指引）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数据质量、数据管控、数据价值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金规〔2024〕24号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数据分类分级、数据处理活动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分类分级强制落地、问责机制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战役八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JR/T 0197—2020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数据安全分级指南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金融数据分类分级方法论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银保监办发〔2022〕2号（数字化转型）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第四章（数据能力建设）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新技术风险管控、AI应用治理前瞻要求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战役九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2025年AI算法风险监管趋势（见第三章）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大模型备案管理、算法审计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预期出台监管文件，作为前瞻性合规依据</w:t>
            </w:r>
          </w:p>
        </w:tc>
      </w:tr>
      <w:tr>
        <w:trPr>
          <w:tblHeader w:val="false"/>
        </w:trPr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战役十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银监发〔2009〕19号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第二章（信息科技治理—人才要求）</w:t>
            </w:r>
          </w:p>
        </w:tc>
        <w:tc>
          <w:tcPr>
            <w:tcW w:type="dxa" w:w="20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科技人员占比、专业能力要求</w:t>
            </w:r>
          </w:p>
        </w:tc>
      </w:tr>
    </w:tbl>
    <w:p>
      <w:pPr>
        <w:spacing w:after="120" w:before="60" w:line="420" w:lineRule="atLeast"/>
      </w:pPr>
    </w:p>
    <w:p>
      <w:pPr>
        <w:spacing w:after="120" w:before="60" w:line="420" w:lineRule="atLeast"/>
        <w:ind w:left="567"/>
      </w:pPr>
      <w:r>
        <w:rPr>
          <w:rFonts w:ascii="FangSong" w:cs="FangSong" w:eastAsia="FangSong" w:hAnsi="FangSong"/>
          <w:sz w:val="30"/>
          <w:szCs w:val="30"/>
        </w:rPr>
        <w:t xml:space="preserve">说明：本表以公开监管文件为依据，具体合规要求以监管机构正式发文为准；2025—2026年预期出台的监管文件落地后，应及时更新本表并调整对应战役任务。</w:t>
      </w:r>
    </w:p>
    <w:p>
      <w:pPr>
        <w:pStyle w:val="Heading2"/>
        <w:numPr>
          <w:ilvl w:val="0"/>
          <w:numId w:val="2"/>
        </w:numPr>
        <w:spacing w:after="120" w:before="360" w:line="420" w:lineRule="atLeast"/>
      </w:pPr>
      <w:r>
        <w:rPr>
          <w:rFonts w:ascii="FangSong" w:cs="FangSong" w:eastAsia="FangSong" w:hAnsi="FangSong"/>
          <w:b/>
          <w:bCs/>
          <w:sz w:val="30"/>
          <w:szCs w:val="30"/>
        </w:rPr>
        <w:t xml:space="preserve">修订记录</w:t>
      </w:r>
    </w:p>
    <w:tbl>
      <w:tblPr>
        <w:tblW w:type="dxa" w:w="8789"/>
        <w:tblInd w:type="dxa" w:w="1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97"/>
        <w:gridCol w:w="2197"/>
        <w:gridCol w:w="2197"/>
      </w:tblGrid>
      <w:tr>
        <w:trPr>
          <w:tblHeader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版本号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日期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修订内容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/>
                <w:bCs/>
                <w:sz w:val="30"/>
                <w:szCs w:val="30"/>
              </w:rPr>
              <w:t xml:space="preserve">修订人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合并 R.01—R.17：初稿→五年计划扩展→整体重构→评审修订→一致性对齐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结构：五年演进框架/KPI矩阵；第五章十大战役框架（单一来源）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内容：现状基础/核心问题诊断/战役定位改写/组织保障重构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对齐：牵头部门统一；科委会替换联防联控委员会；评审意见全量修订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全文结构重组：总则→综述；现状诊断/分工协作独立成章；应急并入保障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新增摘要；第二章核心问题诊断精简；第四章导入句调整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v0.04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2026-03-07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核心定焦：质量标尺偏低为唯一核心问题；删除EAST/变更管理独立展开；战役四→安全基线提升；战役八→待确认强度；KPI/原则/年度计划同步调整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R.01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2026-03-09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第四章（二）：重构为4列诊断表（事项/现状/改进/战役），共65行逐项列示D8+3监管要求，保留映射总表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R.02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2026-03-09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第四章（二）：按指引章节结构（第二—十章）逐条重写，各条目括注原文条款；移除无依据量化指标；标注超出指引范围的条目来源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R.03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2026-03-09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第四章（二）：已有/现状列全量修订——移除"缺失/不完整"及具体批评细节，统一用"面上有，实质待深化"逻辑描述现状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R.04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2026-03-09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第五章：十大战役各增加"具体工作内容"节，将核心工作机制展开为可执行任务描述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R.05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2026-03-09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全文：改进项/建议列"建立→完善/深化"；具体工作内容改写为"从X向Y推进"方向性描述，删除"建立机制""闭环"等空泛表述；数据治理章节除外</w:t>
            </w:r>
          </w:p>
        </w:tc>
        <w:tc>
          <w:tcPr>
            <w:tcW w:type="dxa" w:w="219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0"/>
              <w:left w:type="dxa" w:w="113"/>
              <w:bottom w:type="dxa" w:w="57"/>
              <w:right w:type="dxa" w:w="113"/>
            </w:tcMar>
          </w:tcPr>
          <w:p>
            <w:pPr>
              <w:spacing w:after="120" w:before="60" w:line="420" w:lineRule="atLeast"/>
              <w:jc w:val="left"/>
            </w:pPr>
            <w:r>
              <w:rPr>
                <w:rFonts w:ascii="FangSong" w:cs="FangSong" w:eastAsia="FangSong" w:hAnsi="FangSong"/>
                <w:b w:val="false"/>
                <w:bCs w:val="false"/>
                <w:sz w:val="30"/>
                <w:szCs w:val="30"/>
              </w:rPr>
              <w:t xml:space="preserve">AI</w:t>
            </w:r>
          </w:p>
        </w:tc>
      </w:tr>
    </w:tbl>
    <w:p>
      <w:pPr>
        <w:spacing w:after="120" w:before="60" w:line="420" w:lineRule="atLeast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420" w:lineRule="atLeast"/>
      <w:jc w:val="center"/>
    </w:pPr>
    <w:r>
      <w:rPr>
        <w:rFonts w:ascii="FangSong" w:cs="FangSong" w:eastAsia="FangSong" w:hAnsi="FangSong"/>
        <w:sz w:val="30"/>
        <w:szCs w:val="30"/>
      </w:rPr>
      <w:t xml:space="preserve">- </w:t>
    </w:r>
    <w:r>
      <w:rPr>
        <w:rFonts w:ascii="FangSong" w:cs="FangSong" w:eastAsia="FangSong" w:hAnsi="FangSong"/>
        <w:sz w:val="30"/>
        <w:szCs w:val="30"/>
      </w:rPr>
      <w:fldChar w:fldCharType="begin"/>
      <w:instrText xml:space="preserve">PAGE</w:instrText>
      <w:fldChar w:fldCharType="separate"/>
      <w:fldChar w:fldCharType="end"/>
    </w:r>
    <w:r>
      <w:rPr>
        <w:rFonts w:ascii="FangSong" w:cs="FangSong" w:eastAsia="FangSong" w:hAnsi="FangSong"/>
        <w:sz w:val="30"/>
        <w:szCs w:val="3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420" w:lineRule="atLeast"/>
      <w:jc w:val="right"/>
    </w:pPr>
    <w:r>
      <w:rPr>
        <w:rFonts w:ascii="FangSong" w:cs="FangSong" w:eastAsia="FangSong" w:hAnsi="FangSong"/>
        <w:color w:val="99999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120" w:before="60" w:line="420" w:lineRule="atLeast"/>
        <w:ind w:left="567" w:hanging="567"/>
      </w:pPr>
      <w:rPr>
        <w:rFonts w:ascii="FangSong" w:cs="FangSong" w:eastAsia="FangSong" w:hAnsi="FangSong"/>
        <w:sz w:val="30"/>
        <w:szCs w:val="30"/>
      </w:rPr>
    </w:lvl>
    <w:lvl w:ilvl="1" w15:tentative="1">
      <w:start w:val="1"/>
      <w:numFmt w:val="bullet"/>
      <w:lvlText w:val="-"/>
      <w:lvlJc w:val="left"/>
      <w:pPr>
        <w:spacing w:after="120" w:before="60" w:line="420" w:lineRule="atLeast"/>
        <w:ind w:left="1134" w:hanging="567"/>
      </w:pPr>
      <w:rPr>
        <w:rFonts w:ascii="FangSong" w:cs="FangSong" w:eastAsia="FangSong" w:hAnsi="FangSong"/>
        <w:sz w:val="30"/>
        <w:szCs w:val="30"/>
      </w:rPr>
    </w:lvl>
    <w:lvl w:ilvl="2" w15:tentative="1">
      <w:start w:val="1"/>
      <w:numFmt w:val="bullet"/>
      <w:lvlText w:val="-"/>
      <w:lvlJc w:val="left"/>
      <w:pPr>
        <w:spacing w:after="120" w:before="60" w:line="420" w:lineRule="atLeast"/>
        <w:ind w:left="1701" w:hanging="567"/>
      </w:pPr>
      <w:rPr>
        <w:rFonts w:ascii="FangSong" w:cs="FangSong" w:eastAsia="FangSong" w:hAnsi="FangSong"/>
        <w:sz w:val="30"/>
        <w:szCs w:val="30"/>
      </w:rPr>
    </w:lvl>
    <w:lvl w:ilvl="3" w15:tentative="1">
      <w:start w:val="1"/>
      <w:numFmt w:val="bullet"/>
      <w:lvlText w:val="-"/>
      <w:lvlJc w:val="left"/>
      <w:pPr>
        <w:spacing w:after="120" w:before="60" w:line="420" w:lineRule="atLeast"/>
        <w:ind w:left="2268" w:hanging="567"/>
      </w:pPr>
      <w:rPr>
        <w:rFonts w:ascii="FangSong" w:cs="FangSong" w:eastAsia="FangSong" w:hAnsi="FangSong"/>
        <w:sz w:val="30"/>
        <w:szCs w:val="30"/>
      </w:rPr>
    </w:lvl>
    <w:lvl w:ilvl="4" w15:tentative="1">
      <w:start w:val="1"/>
      <w:numFmt w:val="bullet"/>
      <w:lvlText w:val="-"/>
      <w:lvlJc w:val="left"/>
      <w:pPr>
        <w:spacing w:after="120" w:before="60" w:line="420" w:lineRule="atLeast"/>
        <w:ind w:left="2835" w:hanging="567"/>
      </w:pPr>
      <w:rPr>
        <w:rFonts w:ascii="FangSong" w:cs="FangSong" w:eastAsia="FangSong" w:hAnsi="FangSong"/>
        <w:sz w:val="30"/>
        <w:szCs w:val="30"/>
      </w:rPr>
    </w:lvl>
    <w:lvl w:ilvl="5" w15:tentative="1">
      <w:start w:val="1"/>
      <w:numFmt w:val="bullet"/>
      <w:lvlText w:val="-"/>
      <w:lvlJc w:val="left"/>
      <w:pPr>
        <w:spacing w:after="120" w:before="60" w:line="420" w:lineRule="atLeast"/>
        <w:ind w:left="3402" w:hanging="567"/>
      </w:pPr>
      <w:rPr>
        <w:rFonts w:ascii="FangSong" w:cs="FangSong" w:eastAsia="FangSong" w:hAnsi="FangSong"/>
        <w:sz w:val="30"/>
        <w:szCs w:val="30"/>
      </w:rPr>
    </w:lvl>
    <w:lvl w:ilvl="6" w15:tentative="1">
      <w:start w:val="1"/>
      <w:numFmt w:val="bullet"/>
      <w:lvlText w:val="-"/>
      <w:lvlJc w:val="left"/>
      <w:pPr>
        <w:spacing w:after="120" w:before="60" w:line="420" w:lineRule="atLeast"/>
        <w:ind w:left="3969" w:hanging="567"/>
      </w:pPr>
      <w:rPr>
        <w:rFonts w:ascii="FangSong" w:cs="FangSong" w:eastAsia="FangSong" w:hAnsi="FangSong"/>
        <w:sz w:val="30"/>
        <w:szCs w:val="30"/>
      </w:rPr>
    </w:lvl>
    <w:lvl w:ilvl="7" w15:tentative="1">
      <w:start w:val="1"/>
      <w:numFmt w:val="bullet"/>
      <w:lvlText w:val="-"/>
      <w:lvlJc w:val="left"/>
      <w:pPr>
        <w:spacing w:after="120" w:before="60" w:line="420" w:lineRule="atLeast"/>
        <w:ind w:left="4536" w:hanging="567"/>
      </w:pPr>
      <w:rPr>
        <w:rFonts w:ascii="FangSong" w:cs="FangSong" w:eastAsia="FangSong" w:hAnsi="FangSong"/>
        <w:sz w:val="30"/>
        <w:szCs w:val="30"/>
      </w:rPr>
    </w:lvl>
    <w:lvl w:ilvl="8" w15:tentative="1">
      <w:start w:val="1"/>
      <w:numFmt w:val="bullet"/>
      <w:lvlText w:val="-"/>
      <w:lvlJc w:val="left"/>
      <w:pPr>
        <w:spacing w:after="120" w:before="60" w:line="420" w:lineRule="atLeast"/>
        <w:ind w:left="5103" w:hanging="567"/>
      </w:pPr>
      <w:rPr>
        <w:rFonts w:ascii="FangSong" w:cs="FangSong" w:eastAsia="FangSong" w:hAnsi="FangSong"/>
        <w:sz w:val="30"/>
        <w:szCs w:val="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1" w15:tentative="1">
      <w:start w:val="1"/>
      <w:numFmt w:val="decimal"/>
      <w:lvlText w:val="%1.%2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2" w15:tentative="1">
      <w:start w:val="1"/>
      <w:numFmt w:val="decimal"/>
      <w:lvlText w:val="%1.%2.%3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3" w15:tentative="1">
      <w:start w:val="1"/>
      <w:numFmt w:val="decimal"/>
      <w:lvlText w:val="%1.%2.%3.%4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4" w15:tentative="1">
      <w:start w:val="1"/>
      <w:numFmt w:val="decimal"/>
      <w:lvlText w:val="%1.%2.%3.%4.%5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  <w:lvl w:ilvl="5" w15:tentative="1">
      <w:start w:val="1"/>
      <w:numFmt w:val="decimal"/>
      <w:lvlText w:val="%1.%2.%3.%4.%5.%6 "/>
      <w:lvlJc w:val="left"/>
      <w:pPr>
        <w:spacing w:after="120" w:before="60" w:line="420" w:lineRule="atLeast"/>
      </w:pPr>
      <w:rPr>
        <w:rFonts w:ascii="FangSong" w:cs="FangSong" w:eastAsia="FangSong" w:hAnsi="FangSong"/>
        <w:b/>
        <w:bCs/>
        <w:sz w:val="30"/>
        <w:szCs w:val="3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30"/>
        <w:szCs w:val="30"/>
      </w:rPr>
    </w:rPrDefault>
    <w:pPrDefault>
      <w:pPr>
        <w:spacing w:after="120" w:before="60" w:line="42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60" w:line="420" w:lineRule="atLeast"/>
      <w:jc w:val="center"/>
    </w:pPr>
    <w:rPr>
      <w:rFonts w:ascii="FangSong" w:cs="FangSong" w:eastAsia="FangSong" w:hAnsi="FangSong"/>
      <w:b/>
      <w:bCs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60" w:line="420" w:lineRule="atLeast"/>
      <w:outlineLvl w:val="0"/>
    </w:pPr>
    <w:rPr>
      <w:rFonts w:ascii="FangSong" w:cs="FangSong" w:eastAsia="FangSong" w:hAnsi="FangSong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60" w:line="420" w:lineRule="atLeast"/>
      <w:outlineLvl w:val="1"/>
    </w:pPr>
    <w:rPr>
      <w:rFonts w:ascii="FangSong" w:cs="FangSong" w:eastAsia="FangSong" w:hAnsi="FangSong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60" w:line="420" w:lineRule="atLeast"/>
      <w:outlineLvl w:val="2"/>
    </w:pPr>
    <w:rPr>
      <w:rFonts w:ascii="FangSong" w:cs="FangSong" w:eastAsia="FangSong" w:hAnsi="FangSong"/>
      <w:b/>
      <w:bCs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120" w:before="60" w:line="420" w:lineRule="atLeast"/>
      <w:outlineLvl w:val="3"/>
    </w:pPr>
    <w:rPr>
      <w:rFonts w:ascii="FangSong" w:cs="FangSong" w:eastAsia="FangSong" w:hAnsi="FangSong"/>
      <w:b/>
      <w:bCs/>
      <w:sz w:val="30"/>
      <w:szCs w:val="30"/>
    </w:rPr>
  </w:style>
  <w:style w:type="paragraph" w:styleId="Heading5">
    <w:name w:val="Heading 5"/>
    <w:basedOn w:val="Normal"/>
    <w:next w:val="Normal"/>
    <w:qFormat/>
    <w:pPr>
      <w:spacing w:after="120" w:before="60" w:line="420" w:lineRule="atLeast"/>
      <w:outlineLvl w:val="4"/>
    </w:pPr>
    <w:rPr>
      <w:rFonts w:ascii="FangSong" w:cs="FangSong" w:eastAsia="FangSong" w:hAnsi="FangSong"/>
      <w:b/>
      <w:bCs/>
      <w:sz w:val="30"/>
      <w:szCs w:val="30"/>
    </w:rPr>
  </w:style>
  <w:style w:type="paragraph" w:styleId="Heading6">
    <w:name w:val="Heading 6"/>
    <w:basedOn w:val="Normal"/>
    <w:next w:val="Normal"/>
    <w:qFormat/>
    <w:pPr>
      <w:spacing w:after="120" w:before="60" w:line="420" w:lineRule="atLeast"/>
      <w:outlineLvl w:val="5"/>
    </w:pPr>
    <w:rPr>
      <w:rFonts w:ascii="FangSong" w:cs="FangSong" w:eastAsia="FangSong" w:hAnsi="FangSong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f15d105c461bcc1d216eb3d917704384e382d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2026-03-09T07:53:16.765Z</dcterms:created>
  <dcterms:modified xsi:type="dcterms:W3CDTF">2026-03-09T07:53:16.765Z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