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360" w:line="420" w:lineRule="atLeast"/>
        <w:jc w:val="center"/>
      </w:pPr>
      <w:r>
        <w:rPr>
          <w:rFonts w:ascii="FangSong" w:cs="FangSong" w:eastAsia="FangSong" w:hAnsi="FangSong"/>
          <w:b/>
          <w:bCs/>
          <w:sz w:val="30"/>
          <w:szCs w:val="30"/>
        </w:rPr>
        <w:t xml:space="preserve">总则</w:t>
      </w:r>
    </w:p>
    <w:p>
      <w:pPr>
        <w:spacing w:after="120" w:before="360" w:line="420" w:lineRule="atLeast"/>
        <w:ind w:firstLine="567"/>
      </w:pPr>
      <w:r>
        <w:rPr>
          <w:rFonts w:ascii="FangSong" w:cs="FangSong" w:eastAsia="FangSong" w:hAnsi="FangSong"/>
          <w:b/>
          <w:bCs/>
          <w:sz w:val="30"/>
          <w:szCs w:val="30"/>
        </w:rPr>
        <w:t xml:space="preserve">文档编号</w:t>
      </w:r>
      <w:r>
        <w:rPr>
          <w:rFonts w:ascii="FangSong" w:cs="FangSong" w:eastAsia="FangSong" w:hAnsi="FangSong"/>
          <w:sz w:val="30"/>
          <w:szCs w:val="30"/>
        </w:rPr>
        <w:t xml:space="preserve">：开行科技风险-REF-001</w:t>
      </w:r>
    </w:p>
    <w:p>
      <w:pPr>
        <w:spacing w:after="120" w:before="360" w:line="420" w:lineRule="atLeast"/>
        <w:ind w:firstLine="567"/>
      </w:pPr>
      <w:r>
        <w:rPr>
          <w:rFonts w:ascii="FangSong" w:cs="FangSong" w:eastAsia="FangSong" w:hAnsi="FangSong"/>
          <w:b/>
          <w:bCs/>
          <w:sz w:val="30"/>
          <w:szCs w:val="30"/>
        </w:rPr>
        <w:t xml:space="preserve">文档名称</w:t>
      </w:r>
      <w:r>
        <w:rPr>
          <w:rFonts w:ascii="FangSong" w:cs="FangSong" w:eastAsia="FangSong" w:hAnsi="FangSong"/>
          <w:sz w:val="30"/>
          <w:szCs w:val="30"/>
        </w:rPr>
        <w:t xml:space="preserve">：风险、合规、制度、内控关系梳理</w:t>
      </w:r>
    </w:p>
    <w:p>
      <w:pPr>
        <w:spacing w:after="120" w:before="360" w:line="420" w:lineRule="atLeast"/>
        <w:ind w:firstLine="567"/>
      </w:pPr>
      <w:r>
        <w:rPr>
          <w:rFonts w:ascii="FangSong" w:cs="FangSong" w:eastAsia="FangSong" w:hAnsi="FangSong"/>
          <w:b/>
          <w:bCs/>
          <w:sz w:val="30"/>
          <w:szCs w:val="30"/>
        </w:rPr>
        <w:t xml:space="preserve">文档密级</w:t>
      </w:r>
      <w:r>
        <w:rPr>
          <w:rFonts w:ascii="FangSong" w:cs="FangSong" w:eastAsia="FangSong" w:hAnsi="FangSong"/>
          <w:sz w:val="30"/>
          <w:szCs w:val="30"/>
        </w:rPr>
        <w:t xml:space="preserve">：内部资料</w:t>
      </w:r>
    </w:p>
    <w:p>
      <w:pPr>
        <w:spacing w:after="120" w:before="360" w:line="420" w:lineRule="atLeast"/>
        <w:ind w:firstLine="567"/>
      </w:pPr>
      <w:r>
        <w:rPr>
          <w:rFonts w:ascii="FangSong" w:cs="FangSong" w:eastAsia="FangSong" w:hAnsi="FangSong"/>
          <w:b/>
          <w:bCs/>
          <w:sz w:val="30"/>
          <w:szCs w:val="30"/>
        </w:rPr>
        <w:t xml:space="preserve">编写目的</w:t>
      </w:r>
      <w:r>
        <w:rPr>
          <w:rFonts w:ascii="FangSong" w:cs="FangSong" w:eastAsia="FangSong" w:hAnsi="FangSong"/>
          <w:sz w:val="30"/>
          <w:szCs w:val="30"/>
        </w:rPr>
        <w:t xml:space="preserve">：厘清风险管理、合规管理、内部控制三个核心管理职能的定义边界与协同关系，以及制度建设作为书面规则载体的定位，为开行科技风险管理体系的设计与运营提供概念基础。</w:t>
      </w:r>
    </w:p>
    <w:p>
      <w:pPr>
        <w:spacing w:after="120" w:before="360" w:line="420" w:lineRule="atLeast"/>
        <w:ind w:firstLine="567"/>
      </w:pPr>
      <w:r>
        <w:rPr>
          <w:rFonts w:ascii="FangSong" w:cs="FangSong" w:eastAsia="FangSong" w:hAnsi="FangSong"/>
          <w:b/>
          <w:bCs/>
          <w:sz w:val="30"/>
          <w:szCs w:val="30"/>
        </w:rPr>
        <w:t xml:space="preserve">适用范围</w:t>
      </w:r>
      <w:r>
        <w:rPr>
          <w:rFonts w:ascii="FangSong" w:cs="FangSong" w:eastAsia="FangSong" w:hAnsi="FangSong"/>
          <w:sz w:val="30"/>
          <w:szCs w:val="30"/>
        </w:rPr>
        <w:t xml:space="preserve">：适用于信息科技部风险管理相关工作人员。</w:t>
      </w:r>
    </w:p>
    <w:p>
      <w:pPr>
        <w:pStyle w:val="Heading1"/>
        <w:spacing w:after="120" w:before="360" w:line="420" w:lineRule="atLeast"/>
        <w:jc w:val="center"/>
      </w:pPr>
      <w:r>
        <w:rPr>
          <w:rFonts w:ascii="FangSong" w:cs="FangSong" w:eastAsia="FangSong" w:hAnsi="FangSong"/>
          <w:b/>
          <w:bCs/>
          <w:sz w:val="30"/>
          <w:szCs w:val="30"/>
        </w:rPr>
        <w:t xml:space="preserve">概念定义</w:t>
      </w:r>
    </w:p>
    <w:p>
      <w:pPr>
        <w:pStyle w:val="Heading2"/>
        <w:numPr>
          <w:ilvl w:val="0"/>
          <w:numId w:val="2"/>
        </w:numPr>
        <w:spacing w:after="120" w:before="60" w:line="420" w:lineRule="atLeast"/>
      </w:pPr>
      <w:r>
        <w:rPr>
          <w:rFonts w:ascii="FangSong" w:cs="FangSong" w:eastAsia="FangSong" w:hAnsi="FangSong"/>
          <w:b/>
          <w:bCs/>
          <w:sz w:val="30"/>
          <w:szCs w:val="30"/>
        </w:rPr>
        <w:t xml:space="preserve">三个核心管理职能</w:t>
      </w:r>
    </w:p>
    <w:p>
      <w:pPr>
        <w:spacing w:after="120" w:before="360" w:line="420" w:lineRule="atLeast"/>
        <w:ind w:firstLine="567"/>
      </w:pPr>
      <w:r>
        <w:rPr>
          <w:rFonts w:ascii="FangSong" w:cs="FangSong" w:eastAsia="FangSong" w:hAnsi="FangSong"/>
          <w:sz w:val="30"/>
          <w:szCs w:val="30"/>
        </w:rPr>
        <w:t xml:space="preserve">风险管理、内控、合规是三个独立的管理职能，各自拥有完整的生命周期，从不同视角服务于同一个终极目标——</w:t>
      </w:r>
      <w:r>
        <w:rPr>
          <w:rFonts w:ascii="FangSong" w:cs="FangSong" w:eastAsia="FangSong" w:hAnsi="FangSong"/>
          <w:b/>
          <w:bCs/>
          <w:sz w:val="30"/>
          <w:szCs w:val="30"/>
        </w:rPr>
        <w:t xml:space="preserve">保障组织目标的实现</w:t>
      </w:r>
      <w:r>
        <w:rPr>
          <w:rFonts w:ascii="FangSong" w:cs="FangSong" w:eastAsia="FangSong" w:hAnsi="FangSong"/>
          <w:sz w:val="30"/>
          <w:szCs w:val="30"/>
        </w:rPr>
        <w:t xml:space="preserve">。</w:t>
      </w:r>
    </w:p>
    <w:p>
      <w:pPr>
        <w:spacing w:after="120" w:before="360" w:line="420" w:lineRule="atLeast"/>
        <w:ind w:firstLine="567"/>
      </w:pPr>
      <w:r>
        <w:rPr>
          <w:rFonts w:ascii="FangSong" w:cs="FangSong" w:eastAsia="FangSong" w:hAnsi="FangSong"/>
          <w:b/>
          <w:bCs/>
          <w:sz w:val="30"/>
          <w:szCs w:val="30"/>
        </w:rPr>
        <w:t xml:space="preserve">风险管理</w:t>
      </w:r>
      <w:r>
        <w:rPr>
          <w:rFonts w:ascii="FangSong" w:cs="FangSong" w:eastAsia="FangSong" w:hAnsi="FangSong"/>
          <w:sz w:val="30"/>
          <w:szCs w:val="30"/>
        </w:rPr>
        <w:t xml:space="preserve">（文档标题及高层摘要中简称"风险"）：</w:t>
      </w:r>
      <w:r>
        <w:rPr>
          <w:rFonts w:ascii="FangSong" w:cs="FangSong" w:eastAsia="FangSong" w:hAnsi="FangSong"/>
          <w:b/>
          <w:bCs/>
          <w:sz w:val="30"/>
          <w:szCs w:val="30"/>
        </w:rPr>
        <w:t xml:space="preserve">风险</w:t>
      </w:r>
      <w:r>
        <w:rPr>
          <w:rFonts w:ascii="FangSong" w:cs="FangSong" w:eastAsia="FangSong" w:hAnsi="FangSong"/>
          <w:sz w:val="30"/>
          <w:szCs w:val="30"/>
        </w:rPr>
        <w:t xml:space="preserve">是某一事件在特定时间窗口内发生并对目标造成负面影响的可能性及其潜在后果；</w:t>
      </w:r>
      <w:r>
        <w:rPr>
          <w:rFonts w:ascii="FangSong" w:cs="FangSong" w:eastAsia="FangSong" w:hAnsi="FangSong"/>
          <w:b/>
          <w:bCs/>
          <w:sz w:val="30"/>
          <w:szCs w:val="30"/>
        </w:rPr>
        <w:t xml:space="preserve">风险管理</w:t>
      </w:r>
      <w:r>
        <w:rPr>
          <w:rFonts w:ascii="FangSong" w:cs="FangSong" w:eastAsia="FangSong" w:hAnsi="FangSong"/>
          <w:sz w:val="30"/>
          <w:szCs w:val="30"/>
        </w:rPr>
        <w:t xml:space="preserve">是对风险进行识别、评估、应对和监控的系统性过程。风险管理从"不确定性"视角保障组织目标，其生命周期为：风险识别 → 风险评估 → 风险应对 → 风险监控 → 风险重评估。</w:t>
      </w:r>
    </w:p>
    <w:p>
      <w:pPr>
        <w:spacing w:after="120" w:before="360" w:line="420" w:lineRule="atLeast"/>
        <w:ind w:firstLine="567"/>
      </w:pPr>
      <w:r>
        <w:rPr>
          <w:rFonts w:ascii="FangSong" w:cs="FangSong" w:eastAsia="FangSong" w:hAnsi="FangSong"/>
          <w:b/>
          <w:bCs/>
          <w:sz w:val="30"/>
          <w:szCs w:val="30"/>
        </w:rPr>
        <w:t xml:space="preserve">内部控制（内控）</w:t>
      </w:r>
      <w:r>
        <w:rPr>
          <w:rFonts w:ascii="FangSong" w:cs="FangSong" w:eastAsia="FangSong" w:hAnsi="FangSong"/>
          <w:sz w:val="30"/>
          <w:szCs w:val="30"/>
        </w:rPr>
        <w:t xml:space="preserve">：为保障组织目标实现而设计和执行的控制活动集合，包括流程控制、权限控制、系统控制、审批控制等。按照 COSO 框架的经典定义，内控服务于三个层次的目标：经营的效率和效果、报告的可靠性、法律法规的遵循。内控从"控制有效性"视角保障组织目标，其生命周期为：内控设计 → 内控实施 → 内控运行 → 内控评价 → 内控优化。内控回答"控制措施有没有到位、有没有生效"。内控本身也是明确的监管要求——《商业银行内部控制指引》《企业内部控制基本规范》等法规对内控体系的建设、运行和评价提出了直接的强制性要求。本文档取内控的狭义口径，聚焦于 COSO 内部控制框架五要素中的"控制活动"要素。COSO 框架的完整五要素（控制环境、风险评估、控制活动、信息与沟通、监督活动）涵盖范围更广，其中"风险评估"和"监督活动"与本文档所述的风险管理、合规验证存在职能交叉——这正是三个职能相互协同的体现，而非定义冲突。</w:t>
      </w:r>
    </w:p>
    <w:p>
      <w:pPr>
        <w:spacing w:after="120" w:before="360" w:line="420" w:lineRule="atLeast"/>
        <w:ind w:firstLine="567"/>
      </w:pPr>
      <w:r>
        <w:rPr>
          <w:rFonts w:ascii="FangSong" w:cs="FangSong" w:eastAsia="FangSong" w:hAnsi="FangSong"/>
          <w:b/>
          <w:bCs/>
          <w:sz w:val="30"/>
          <w:szCs w:val="30"/>
        </w:rPr>
        <w:t xml:space="preserve">合规管理</w:t>
      </w:r>
      <w:r>
        <w:rPr>
          <w:rFonts w:ascii="FangSong" w:cs="FangSong" w:eastAsia="FangSong" w:hAnsi="FangSong"/>
          <w:sz w:val="30"/>
          <w:szCs w:val="30"/>
        </w:rPr>
        <w:t xml:space="preserve">：对外部法规和监管要求的符合状态，以及维持该状态所开展的管理职能。合规的参照系严格限定为外部规则（法律法规、监管指引、行业标准等），不包括对内部制度的符合性检验——内部制度的执行属于内控的职责范畴。合规从"外部规则符合性"视角保障组织目标，其生命周期为：监管要求识别 → 合规审查 → 合规监测 → 合规验证 → 整改闭环。合规验证两件事：①各项业务和管理活动是否符合外部监管要求；②内控体系的建设与评价机制是否满足监管对内控的专项要求。</w:t>
      </w:r>
    </w:p>
    <w:p>
      <w:pPr>
        <w:pStyle w:val="Heading2"/>
        <w:numPr>
          <w:ilvl w:val="0"/>
          <w:numId w:val="2"/>
        </w:numPr>
        <w:spacing w:after="120" w:before="360" w:line="420" w:lineRule="atLeast"/>
      </w:pPr>
      <w:r>
        <w:rPr>
          <w:rFonts w:ascii="FangSong" w:cs="FangSong" w:eastAsia="FangSong" w:hAnsi="FangSong"/>
          <w:b/>
          <w:bCs/>
          <w:sz w:val="30"/>
          <w:szCs w:val="30"/>
        </w:rPr>
        <w:t xml:space="preserve">制度——书面规则的载体</w:t>
      </w:r>
    </w:p>
    <w:p>
      <w:pPr>
        <w:spacing w:after="120" w:before="360" w:line="420" w:lineRule="atLeast"/>
        <w:ind w:firstLine="567"/>
      </w:pPr>
      <w:r>
        <w:rPr>
          <w:rFonts w:ascii="FangSong" w:cs="FangSong" w:eastAsia="FangSong" w:hAnsi="FangSong"/>
          <w:b/>
          <w:bCs/>
          <w:sz w:val="30"/>
          <w:szCs w:val="30"/>
        </w:rPr>
        <w:t xml:space="preserve">制度</w:t>
      </w:r>
      <w:r>
        <w:rPr>
          <w:rFonts w:ascii="FangSong" w:cs="FangSong" w:eastAsia="FangSong" w:hAnsi="FangSong"/>
          <w:sz w:val="30"/>
          <w:szCs w:val="30"/>
        </w:rPr>
        <w:t xml:space="preserve">是将管理要求固化为可执行书面规则的载体。制度本身不是独立的管理职能，而是服务于三个职能的公共表达层——风险管理、内控、合规都需要通过制度将各自的管理要求书面化。</w:t>
      </w:r>
    </w:p>
    <w:p>
      <w:pPr>
        <w:spacing w:after="120" w:before="360" w:line="420" w:lineRule="atLeast"/>
        <w:ind w:firstLine="567"/>
      </w:pPr>
      <w:r>
        <w:rPr>
          <w:rFonts w:ascii="FangSong" w:cs="FangSong" w:eastAsia="FangSong" w:hAnsi="FangSong"/>
          <w:sz w:val="30"/>
          <w:szCs w:val="30"/>
        </w:rPr>
        <w:t xml:space="preserve">制度本身不创造管理要求，只承载和固化管理要求。</w:t>
      </w:r>
    </w:p>
    <w:p>
      <w:pPr>
        <w:spacing w:after="120" w:before="360" w:line="420" w:lineRule="atLeast"/>
        <w:ind w:firstLine="567"/>
      </w:pPr>
      <w:r>
        <w:rPr>
          <w:rFonts w:ascii="FangSong" w:cs="FangSong" w:eastAsia="FangSong" w:hAnsi="FangSong"/>
          <w:sz w:val="30"/>
          <w:szCs w:val="30"/>
        </w:rPr>
        <w:t xml:space="preserve">制度的内容依据来源多元，三个职能均可直接驱动制度建设：</w:t>
      </w:r>
    </w:p>
    <w:p>
      <w:pPr>
        <w:pStyle w:val="ListParagraph"/>
        <w:numPr>
          <w:ilvl w:val="1"/>
          <w:numId w:val="3"/>
        </w:numPr>
        <w:spacing w:after="120" w:before="60" w:line="420" w:lineRule="atLeast"/>
      </w:pPr>
      <w:r>
        <w:rPr>
          <w:rFonts w:ascii="FangSong" w:cs="FangSong" w:eastAsia="FangSong" w:hAnsi="FangSong"/>
          <w:b/>
          <w:bCs/>
          <w:sz w:val="30"/>
          <w:szCs w:val="30"/>
        </w:rPr>
        <w:t xml:space="preserve">合规驱动制度</w:t>
      </w:r>
      <w:r>
        <w:rPr>
          <w:rFonts w:ascii="FangSong" w:cs="FangSong" w:eastAsia="FangSong" w:hAnsi="FangSong"/>
          <w:sz w:val="30"/>
          <w:szCs w:val="30"/>
        </w:rPr>
        <w:t xml:space="preserve">：将外部监管法规的要求直接转化为内部规则（如将《商业银行信息科技风险管理指引》的变更管理要求转化为《变更管理办法》）。</w:t>
      </w:r>
    </w:p>
    <w:p>
      <w:pPr>
        <w:pStyle w:val="ListParagraph"/>
        <w:numPr>
          <w:ilvl w:val="1"/>
          <w:numId w:val="3"/>
        </w:numPr>
        <w:spacing w:after="120" w:before="60" w:line="420" w:lineRule="atLeast"/>
      </w:pPr>
      <w:r>
        <w:rPr>
          <w:rFonts w:ascii="FangSong" w:cs="FangSong" w:eastAsia="FangSong" w:hAnsi="FangSong"/>
          <w:b/>
          <w:bCs/>
          <w:sz w:val="30"/>
          <w:szCs w:val="30"/>
        </w:rPr>
        <w:t xml:space="preserve">风险驱动制度</w:t>
      </w:r>
      <w:r>
        <w:rPr>
          <w:rFonts w:ascii="FangSong" w:cs="FangSong" w:eastAsia="FangSong" w:hAnsi="FangSong"/>
          <w:sz w:val="30"/>
          <w:szCs w:val="30"/>
        </w:rPr>
        <w:t xml:space="preserve">：将风险应对措施固化为规则（如针对高频变更故障风险，制定变更双人审核规程）。</w:t>
      </w:r>
    </w:p>
    <w:p>
      <w:pPr>
        <w:pStyle w:val="ListParagraph"/>
        <w:numPr>
          <w:ilvl w:val="1"/>
          <w:numId w:val="3"/>
        </w:numPr>
        <w:spacing w:after="120" w:before="60" w:line="420" w:lineRule="atLeast"/>
      </w:pPr>
      <w:r>
        <w:rPr>
          <w:rFonts w:ascii="FangSong" w:cs="FangSong" w:eastAsia="FangSong" w:hAnsi="FangSong"/>
          <w:b/>
          <w:bCs/>
          <w:sz w:val="30"/>
          <w:szCs w:val="30"/>
        </w:rPr>
        <w:t xml:space="preserve">内控驱动制度</w:t>
      </w:r>
      <w:r>
        <w:rPr>
          <w:rFonts w:ascii="FangSong" w:cs="FangSong" w:eastAsia="FangSong" w:hAnsi="FangSong"/>
          <w:sz w:val="30"/>
          <w:szCs w:val="30"/>
        </w:rPr>
        <w:t xml:space="preserve">：将控制活动的设计要求和操作规范固化为书面文本（如内控评价、报告等内控体系运行的管理要求）。</w:t>
      </w:r>
    </w:p>
    <w:p>
      <w:pPr>
        <w:spacing w:after="120" w:before="360" w:line="420" w:lineRule="atLeast"/>
        <w:ind w:firstLine="567"/>
      </w:pPr>
      <w:r>
        <w:rPr>
          <w:rFonts w:ascii="FangSong" w:cs="FangSong" w:eastAsia="FangSong" w:hAnsi="FangSong"/>
          <w:sz w:val="30"/>
          <w:szCs w:val="30"/>
        </w:rPr>
        <w:t xml:space="preserve">制度体系通常分为三个层级：管理办法（政策层，规定"管什么、谁来管"）、实施细则（标准层，规定"管到什么程度"）、操作规程（流程层，规定"具体怎么操作"）。</w:t>
      </w:r>
    </w:p>
    <w:p>
      <w:pPr>
        <w:spacing w:after="120" w:before="360" w:line="420" w:lineRule="atLeast"/>
        <w:ind w:firstLine="567"/>
      </w:pPr>
      <w:r>
        <w:rPr>
          <w:rFonts w:ascii="FangSong" w:cs="FangSong" w:eastAsia="FangSong" w:hAnsi="FangSong"/>
          <w:sz w:val="30"/>
          <w:szCs w:val="30"/>
        </w:rPr>
        <w:t xml:space="preserve">需要强调的是，制度并非管理要求落地的唯一形式。特别是在科技风险领域，内控要求同样可以通过系统配置（如权限矩阵）、自动化规则（如自动告警）、技术架构（如网络隔离）等非制度形式落地。这些技术性措施的"载体"是系统配置和技术架构本身，制度仅需规定其管理原则和变更审批要求。</w:t>
      </w:r>
    </w:p>
    <w:p>
      <w:pPr>
        <w:pStyle w:val="Heading2"/>
        <w:numPr>
          <w:ilvl w:val="0"/>
          <w:numId w:val="2"/>
        </w:numPr>
        <w:spacing w:after="120" w:before="360" w:line="420" w:lineRule="atLeast"/>
      </w:pPr>
      <w:r>
        <w:rPr>
          <w:rFonts w:ascii="FangSong" w:cs="FangSong" w:eastAsia="FangSong" w:hAnsi="FangSong"/>
          <w:b/>
          <w:bCs/>
          <w:sz w:val="30"/>
          <w:szCs w:val="30"/>
        </w:rPr>
        <w:t xml:space="preserve">三个职能的边界与协同</w:t>
      </w:r>
    </w:p>
    <w:p>
      <w:pPr>
        <w:spacing w:after="120" w:before="360" w:line="420" w:lineRule="atLeast"/>
        <w:ind w:firstLine="567"/>
      </w:pPr>
      <w:r>
        <w:rPr>
          <w:rFonts w:ascii="FangSong" w:cs="FangSong" w:eastAsia="FangSong" w:hAnsi="FangSong"/>
          <w:b/>
          <w:bCs/>
          <w:sz w:val="30"/>
          <w:szCs w:val="30"/>
        </w:rPr>
        <w:t xml:space="preserve">风险与合规的边界</w:t>
      </w:r>
      <w:r>
        <w:rPr>
          <w:rFonts w:ascii="FangSong" w:cs="FangSong" w:eastAsia="FangSong" w:hAnsi="FangSong"/>
          <w:sz w:val="30"/>
          <w:szCs w:val="30"/>
        </w:rPr>
        <w:t xml:space="preserve">：风险管理前瞻性地应对不确定性；合规管理对标性地验证对外部监管要求的符合程度。两者均属第二道防线（详见第 3.3 节三道防线说明），但视角不同——风险管理以"损失"为核心，合规管理以"外部监管要求"为核心。两者的协同点在于：合规检验的结果可反馈为新的风险输入，驱动风险重评估。</w:t>
      </w:r>
    </w:p>
    <w:p>
      <w:pPr>
        <w:spacing w:after="120" w:before="360" w:line="420" w:lineRule="atLeast"/>
        <w:ind w:firstLine="567"/>
      </w:pPr>
      <w:r>
        <w:rPr>
          <w:rFonts w:ascii="FangSong" w:cs="FangSong" w:eastAsia="FangSong" w:hAnsi="FangSong"/>
          <w:b/>
          <w:bCs/>
          <w:sz w:val="30"/>
          <w:szCs w:val="30"/>
        </w:rPr>
        <w:t xml:space="preserve">合规与内控的边界</w:t>
      </w:r>
      <w:r>
        <w:rPr>
          <w:rFonts w:ascii="FangSong" w:cs="FangSong" w:eastAsia="FangSong" w:hAnsi="FangSong"/>
          <w:sz w:val="30"/>
          <w:szCs w:val="30"/>
        </w:rPr>
        <w:t xml:space="preserve">：合规对外——其参照系是外部法规和监管要求，回答"有没有满足监管的要求"；内控对内——关注控制措施的设计和执行有效性，回答"控制措施有没有到位、有没有生效"。两者的协同点在于：监管对内控体系本身有专项要求（如《商业银行内部控制指引》），因此合规需验证内控体系是否满足这些外部要求，但合规不介入判断具体内控措施的内部执行质量——后者是内控自身的管理范畴。</w:t>
      </w:r>
    </w:p>
    <w:p>
      <w:pPr>
        <w:spacing w:after="120" w:before="360" w:line="420" w:lineRule="atLeast"/>
        <w:ind w:firstLine="567"/>
      </w:pPr>
      <w:r>
        <w:rPr>
          <w:rFonts w:ascii="FangSong" w:cs="FangSong" w:eastAsia="FangSong" w:hAnsi="FangSong"/>
          <w:b/>
          <w:bCs/>
          <w:sz w:val="30"/>
          <w:szCs w:val="30"/>
        </w:rPr>
        <w:t xml:space="preserve">风险与内控的边界</w:t>
      </w:r>
      <w:r>
        <w:rPr>
          <w:rFonts w:ascii="FangSong" w:cs="FangSong" w:eastAsia="FangSong" w:hAnsi="FangSong"/>
          <w:sz w:val="30"/>
          <w:szCs w:val="30"/>
        </w:rPr>
        <w:t xml:space="preserve">：风险识别"需要防什么"，内控落实"怎么防"。两者的协同点在于：风险评估的结果是内控措施设计的重要输入，内控失效的信息又反馈到风险评估中驱动重评估。</w:t>
      </w:r>
    </w:p>
    <w:p>
      <w:pPr>
        <w:spacing w:after="120" w:before="360" w:line="420" w:lineRule="atLeast"/>
        <w:ind w:firstLine="567"/>
      </w:pPr>
      <w:r>
        <w:rPr>
          <w:rFonts w:ascii="FangSong" w:cs="FangSong" w:eastAsia="FangSong" w:hAnsi="FangSong"/>
          <w:b/>
          <w:bCs/>
          <w:sz w:val="30"/>
          <w:szCs w:val="30"/>
        </w:rPr>
        <w:t xml:space="preserve">制度与三个职能的关系</w:t>
      </w:r>
      <w:r>
        <w:rPr>
          <w:rFonts w:ascii="FangSong" w:cs="FangSong" w:eastAsia="FangSong" w:hAnsi="FangSong"/>
          <w:sz w:val="30"/>
          <w:szCs w:val="30"/>
        </w:rPr>
        <w:t xml:space="preserve">：制度作为书面规则的载体，同时服务于三个职能。合规可以直接驱动制度建设（将监管要求转化为内部规则），风险可以直接驱动制度建设（将风险应对策略固化为规则），内控也可以直接驱动制度建设（将控制要求固化为操作规程）。三条路径平行存在，不存在谁必须经过谁的依赖关系。</w:t>
      </w:r>
    </w:p>
    <w:p>
      <w:pPr>
        <w:pStyle w:val="Heading2"/>
        <w:numPr>
          <w:ilvl w:val="0"/>
          <w:numId w:val="2"/>
        </w:numPr>
        <w:spacing w:after="120" w:before="360" w:line="420" w:lineRule="atLeast"/>
      </w:pPr>
      <w:r>
        <w:rPr>
          <w:rFonts w:ascii="FangSong" w:cs="FangSong" w:eastAsia="FangSong" w:hAnsi="FangSong"/>
          <w:b/>
          <w:bCs/>
          <w:sz w:val="30"/>
          <w:szCs w:val="30"/>
        </w:rPr>
        <w:t xml:space="preserve">目标差异与历史基因</w:t>
      </w:r>
    </w:p>
    <w:p>
      <w:pPr>
        <w:spacing w:after="120" w:before="360" w:line="420" w:lineRule="atLeast"/>
        <w:ind w:firstLine="567"/>
      </w:pPr>
      <w:r>
        <w:rPr>
          <w:rFonts w:ascii="FangSong" w:cs="FangSong" w:eastAsia="FangSong" w:hAnsi="FangSong"/>
          <w:sz w:val="30"/>
          <w:szCs w:val="30"/>
        </w:rPr>
        <w:t xml:space="preserve">三个管理职能虽然协同运作，但各自的核心目标和视角存在本质差异：</w:t>
      </w:r>
    </w:p>
    <w:tbl>
      <w:tblPr>
        <w:tblW w:type="dxa" w:w="8222"/>
        <w:tblInd w:type="dxa" w:w="680"/>
        <w:tblBorders>
          <w:top w:val="single" w:color="auto" w:sz="4"/>
          <w:left w:val="single" w:color="auto" w:sz="4"/>
          <w:bottom w:val="single" w:color="auto" w:sz="4"/>
          <w:right w:val="single" w:color="auto" w:sz="4"/>
          <w:insideH w:val="single" w:color="auto" w:sz="4"/>
          <w:insideV w:val="single" w:color="auto" w:sz="4"/>
        </w:tblBorders>
      </w:tblPr>
      <w:tblGrid>
        <w:gridCol w:w="2055"/>
        <w:gridCol w:w="2055"/>
        <w:gridCol w:w="2055"/>
        <w:gridCol w:w="2055"/>
      </w:tblGrid>
      <w:tr>
        <w:trPr>
          <w:tblHeader/>
        </w:trPr>
        <w:tc>
          <w:tcPr>
            <w:tcW w:type="dxa" w:w="2055"/>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职能</w:t>
            </w:r>
          </w:p>
        </w:tc>
        <w:tc>
          <w:tcPr>
            <w:tcW w:type="dxa" w:w="2055"/>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核心视角</w:t>
            </w:r>
          </w:p>
        </w:tc>
        <w:tc>
          <w:tcPr>
            <w:tcW w:type="dxa" w:w="2055"/>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核心目标</w:t>
            </w:r>
          </w:p>
        </w:tc>
        <w:tc>
          <w:tcPr>
            <w:tcW w:type="dxa" w:w="2055"/>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历史基因与演化</w:t>
            </w:r>
          </w:p>
        </w:tc>
      </w:tr>
      <w:tr>
        <w:trPr>
          <w:tblHeader w:val="false"/>
        </w:trPr>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风险管理</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不确定性</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将不确定性对目标的负面影响控制在可接受范围内</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源于保险和金融风险量化，后扩展至操作风险、科技风险等全域</w:t>
            </w:r>
          </w:p>
        </w:tc>
      </w:tr>
      <w:tr>
        <w:trPr>
          <w:tblHeader w:val="false"/>
        </w:trPr>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内控</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控制有效性</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确保控制措施有效运行，防止目标偏离</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源于财务可靠性（COSO 框架最初为解决财务报告错报、资产流失、舞弊问题而设计），后扩展至运营安全、数据完整性、系统连续性等多维目标</w:t>
            </w:r>
          </w:p>
        </w:tc>
      </w:tr>
      <w:tr>
        <w:trPr>
          <w:tblHeader w:val="false"/>
        </w:trPr>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合规</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外部规则符合性</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确认各项活动符合外部法规和监管要求</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源于金融监管对标，始终以外部规则为参照系</w:t>
            </w:r>
          </w:p>
        </w:tc>
      </w:tr>
    </w:tbl>
    <w:p>
      <w:pPr>
        <w:spacing w:after="120" w:before="60" w:line="420" w:lineRule="atLeast"/>
      </w:pPr>
    </w:p>
    <w:p>
      <w:pPr>
        <w:spacing w:after="120" w:before="360" w:line="420" w:lineRule="atLeast"/>
        <w:ind w:firstLine="567"/>
      </w:pPr>
      <w:r>
        <w:rPr>
          <w:rFonts w:ascii="FangSong" w:cs="FangSong" w:eastAsia="FangSong" w:hAnsi="FangSong"/>
          <w:sz w:val="30"/>
          <w:szCs w:val="30"/>
        </w:rPr>
        <w:t xml:space="preserve">特别说明：内控的历史基因偏财务，经典目标是"防止财务数据错报、资产流失、舞弊"。但在科技风险语境下，内控的目标已显著泛化——变更双人审核、权限最小化、灾备演练等内控措施的直接目标是保障系统稳定运行和数据完整性，已远超财务控制的范畴。合规的目标则始终聚焦于"确认符合外部要求"，不直接承担"防止风险发生"的职责——防止风险发生是风险管理的目标，合规关心的是"有没有按监管要求做"。</w:t>
      </w:r>
    </w:p>
    <w:p>
      <w:pPr>
        <w:pStyle w:val="Heading1"/>
        <w:spacing w:after="120" w:before="360" w:line="420" w:lineRule="atLeast"/>
        <w:jc w:val="center"/>
      </w:pPr>
      <w:r>
        <w:rPr>
          <w:rFonts w:ascii="FangSong" w:cs="FangSong" w:eastAsia="FangSong" w:hAnsi="FangSong"/>
          <w:b/>
          <w:bCs/>
          <w:sz w:val="30"/>
          <w:szCs w:val="30"/>
        </w:rPr>
        <w:t xml:space="preserve">参考框架</w:t>
      </w:r>
    </w:p>
    <w:p>
      <w:pPr>
        <w:pStyle w:val="Heading2"/>
        <w:numPr>
          <w:ilvl w:val="0"/>
          <w:numId w:val="2"/>
        </w:numPr>
        <w:spacing w:after="120" w:before="60" w:line="420" w:lineRule="atLeast"/>
      </w:pPr>
      <w:r>
        <w:rPr>
          <w:rFonts w:ascii="FangSong" w:cs="FangSong" w:eastAsia="FangSong" w:hAnsi="FangSong"/>
          <w:b/>
          <w:bCs/>
          <w:sz w:val="30"/>
          <w:szCs w:val="30"/>
        </w:rPr>
        <w:t xml:space="preserve">与 COSO 内部控制框架的关系</w:t>
      </w:r>
    </w:p>
    <w:p>
      <w:pPr>
        <w:spacing w:after="120" w:before="360" w:line="420" w:lineRule="atLeast"/>
        <w:ind w:firstLine="567"/>
      </w:pPr>
      <w:r>
        <w:rPr>
          <w:rFonts w:ascii="FangSong" w:cs="FangSong" w:eastAsia="FangSong" w:hAnsi="FangSong"/>
          <w:sz w:val="30"/>
          <w:szCs w:val="30"/>
        </w:rPr>
        <w:t xml:space="preserve">COSO 内部控制框架包含五个要素：控制环境、风险评估、控制活动、信息与沟通、监督活动。本文框架对五个要素的处理如下：</w:t>
      </w:r>
    </w:p>
    <w:p>
      <w:pPr>
        <w:pStyle w:val="ListParagraph"/>
        <w:numPr>
          <w:ilvl w:val="1"/>
          <w:numId w:val="3"/>
        </w:numPr>
        <w:spacing w:after="120" w:before="60" w:line="420" w:lineRule="atLeast"/>
      </w:pPr>
      <w:r>
        <w:rPr>
          <w:rFonts w:ascii="FangSong" w:cs="FangSong" w:eastAsia="FangSong" w:hAnsi="FangSong"/>
          <w:b/>
          <w:bCs/>
          <w:sz w:val="30"/>
          <w:szCs w:val="30"/>
        </w:rPr>
        <w:t xml:space="preserve">风险评估</w:t>
      </w:r>
      <w:r>
        <w:rPr>
          <w:rFonts w:ascii="FangSong" w:cs="FangSong" w:eastAsia="FangSong" w:hAnsi="FangSong"/>
          <w:sz w:val="30"/>
          <w:szCs w:val="30"/>
        </w:rPr>
        <w:t xml:space="preserve">：COSO 将风险评估纳入内控体系；本文框架将其独立为风险管理职能。在本文框架中，内控在设计控制活动时调用风险管理职能的评估结果作为输入——即"委托"而非"内含"。两种处理方式的差异源于视角不同：COSO 以内控为中心统摄风险评估，本文以管理职能分工为中心将二者并列。</w:t>
      </w:r>
    </w:p>
    <w:p>
      <w:pPr>
        <w:pStyle w:val="ListParagraph"/>
        <w:numPr>
          <w:ilvl w:val="1"/>
          <w:numId w:val="3"/>
        </w:numPr>
        <w:spacing w:after="120" w:before="60" w:line="420" w:lineRule="atLeast"/>
      </w:pPr>
      <w:r>
        <w:rPr>
          <w:rFonts w:ascii="FangSong" w:cs="FangSong" w:eastAsia="FangSong" w:hAnsi="FangSong"/>
          <w:b/>
          <w:bCs/>
          <w:sz w:val="30"/>
          <w:szCs w:val="30"/>
        </w:rPr>
        <w:t xml:space="preserve">控制环境</w:t>
      </w:r>
      <w:r>
        <w:rPr>
          <w:rFonts w:ascii="FangSong" w:cs="FangSong" w:eastAsia="FangSong" w:hAnsi="FangSong"/>
          <w:sz w:val="30"/>
          <w:szCs w:val="30"/>
        </w:rPr>
        <w:t xml:space="preserve">：三个职能运作的前提条件，而非独立职能。控制环境包含两类内容：规则性内容（治理结构、职责划分、道德准则等）由制度承载；文化性内容（领导层基调、组织伦理氛围）构成三个职能有效运作的组织土壤——它解释了为什么同样的内控设计在不同组织中执行质量差异显著。</w:t>
      </w:r>
    </w:p>
    <w:p>
      <w:pPr>
        <w:pStyle w:val="ListParagraph"/>
        <w:numPr>
          <w:ilvl w:val="1"/>
          <w:numId w:val="3"/>
        </w:numPr>
        <w:spacing w:after="120" w:before="60" w:line="420" w:lineRule="atLeast"/>
      </w:pPr>
      <w:r>
        <w:rPr>
          <w:rFonts w:ascii="FangSong" w:cs="FangSong" w:eastAsia="FangSong" w:hAnsi="FangSong"/>
          <w:b/>
          <w:bCs/>
          <w:sz w:val="30"/>
          <w:szCs w:val="30"/>
        </w:rPr>
        <w:t xml:space="preserve">控制活动</w:t>
      </w:r>
      <w:r>
        <w:rPr>
          <w:rFonts w:ascii="FangSong" w:cs="FangSong" w:eastAsia="FangSong" w:hAnsi="FangSong"/>
          <w:sz w:val="30"/>
          <w:szCs w:val="30"/>
        </w:rPr>
        <w:t xml:space="preserve">：本文内控的核心对应要素（狭义口径）。本文聚焦于此要素，即控制措施的设计与执行。</w:t>
      </w:r>
    </w:p>
    <w:p>
      <w:pPr>
        <w:pStyle w:val="ListParagraph"/>
        <w:numPr>
          <w:ilvl w:val="1"/>
          <w:numId w:val="3"/>
        </w:numPr>
        <w:spacing w:after="120" w:before="60" w:line="420" w:lineRule="atLeast"/>
      </w:pPr>
      <w:r>
        <w:rPr>
          <w:rFonts w:ascii="FangSong" w:cs="FangSong" w:eastAsia="FangSong" w:hAnsi="FangSong"/>
          <w:b/>
          <w:bCs/>
          <w:sz w:val="30"/>
          <w:szCs w:val="30"/>
        </w:rPr>
        <w:t xml:space="preserve">信息与沟通</w:t>
      </w:r>
      <w:r>
        <w:rPr>
          <w:rFonts w:ascii="FangSong" w:cs="FangSong" w:eastAsia="FangSong" w:hAnsi="FangSong"/>
          <w:sz w:val="30"/>
          <w:szCs w:val="30"/>
        </w:rPr>
        <w:t xml:space="preserve">：贯穿三个职能的基础设施，不对应任何单一职能。本文关系结构图中三职能之间的"信息交互与反馈闭环"即对应此要素——没有有效的信息与沟通机制，三职能的协同无从实现。</w:t>
      </w:r>
    </w:p>
    <w:p>
      <w:pPr>
        <w:pStyle w:val="ListParagraph"/>
        <w:numPr>
          <w:ilvl w:val="1"/>
          <w:numId w:val="3"/>
        </w:numPr>
        <w:spacing w:after="120" w:before="60" w:line="420" w:lineRule="atLeast"/>
      </w:pPr>
      <w:r>
        <w:rPr>
          <w:rFonts w:ascii="FangSong" w:cs="FangSong" w:eastAsia="FangSong" w:hAnsi="FangSong"/>
          <w:b/>
          <w:bCs/>
          <w:sz w:val="30"/>
          <w:szCs w:val="30"/>
        </w:rPr>
        <w:t xml:space="preserve">监督活动</w:t>
      </w:r>
      <w:r>
        <w:rPr>
          <w:rFonts w:ascii="FangSong" w:cs="FangSong" w:eastAsia="FangSong" w:hAnsi="FangSong"/>
          <w:sz w:val="30"/>
          <w:szCs w:val="30"/>
        </w:rPr>
        <w:t xml:space="preserve">：在本文框架中分两个层次处理。宏观层面对应三道防线中的第三道（内部审计）和合规管理的验证职能，负责对整体管理效果的独立评价；微观层面嵌入控制活动本身，是内控运行周期中"内控评价"环节的组成部分，即每项控制措施执行后持续跟踪其有效性。</w:t>
      </w:r>
    </w:p>
    <w:p>
      <w:pPr>
        <w:pStyle w:val="Heading2"/>
        <w:numPr>
          <w:ilvl w:val="0"/>
          <w:numId w:val="2"/>
        </w:numPr>
        <w:spacing w:after="120" w:before="360" w:line="420" w:lineRule="atLeast"/>
      </w:pPr>
      <w:r>
        <w:rPr>
          <w:rFonts w:ascii="FangSong" w:cs="FangSong" w:eastAsia="FangSong" w:hAnsi="FangSong"/>
          <w:b/>
          <w:bCs/>
          <w:sz w:val="30"/>
          <w:szCs w:val="30"/>
        </w:rPr>
        <w:t xml:space="preserve">与 ISO 31000 风险管理框架的关系</w:t>
      </w:r>
    </w:p>
    <w:p>
      <w:pPr>
        <w:spacing w:after="120" w:before="360" w:line="420" w:lineRule="atLeast"/>
        <w:ind w:firstLine="567"/>
      </w:pPr>
      <w:r>
        <w:rPr>
          <w:rFonts w:ascii="FangSong" w:cs="FangSong" w:eastAsia="FangSong" w:hAnsi="FangSong"/>
          <w:sz w:val="30"/>
          <w:szCs w:val="30"/>
        </w:rPr>
        <w:t xml:space="preserve">ISO 31000 提供了通用的风险管理过程框架：建立环境 → 风险识别 → 风险分析 → 风险评价 → 风险应对 → 监控与评审。本文的四个概念可映射为：风险识别与评估对应"风险识别 → 风险评价"阶段；制度建设不局限于单一阶段，可在"建立环境"阶段（将监管要求纳入组织规则体系）和"风险应对"阶段（将应对策略与控制要求书面化）等多个阶段触发，与制度服务于三职能的定位一致；内控执行对应"风险应对"阶段的措施落地；合规验证对应"监控与评审"阶段。</w:t>
      </w:r>
    </w:p>
    <w:p>
      <w:pPr>
        <w:pStyle w:val="Heading2"/>
        <w:numPr>
          <w:ilvl w:val="0"/>
          <w:numId w:val="2"/>
        </w:numPr>
        <w:spacing w:after="120" w:before="360" w:line="420" w:lineRule="atLeast"/>
      </w:pPr>
      <w:r>
        <w:rPr>
          <w:rFonts w:ascii="FangSong" w:cs="FangSong" w:eastAsia="FangSong" w:hAnsi="FangSong"/>
          <w:b/>
          <w:bCs/>
          <w:sz w:val="30"/>
          <w:szCs w:val="30"/>
        </w:rPr>
        <w:t xml:space="preserve">三道防线模型</w:t>
      </w:r>
    </w:p>
    <w:p>
      <w:pPr>
        <w:spacing w:after="120" w:before="360" w:line="420" w:lineRule="atLeast"/>
        <w:ind w:firstLine="567"/>
      </w:pPr>
      <w:r>
        <w:rPr>
          <w:rFonts w:ascii="FangSong" w:cs="FangSong" w:eastAsia="FangSong" w:hAnsi="FangSong"/>
          <w:sz w:val="30"/>
          <w:szCs w:val="30"/>
        </w:rPr>
        <w:t xml:space="preserve">三道防线是银行业风险治理的基本架构。三个核心职能在三道防线中的角色分布如下：</w:t>
      </w:r>
    </w:p>
    <w:tbl>
      <w:tblPr>
        <w:tblW w:type="dxa" w:w="8222"/>
        <w:tblInd w:type="dxa" w:w="680"/>
        <w:tblBorders>
          <w:top w:val="single" w:color="auto" w:sz="4"/>
          <w:left w:val="single" w:color="auto" w:sz="4"/>
          <w:bottom w:val="single" w:color="auto" w:sz="4"/>
          <w:right w:val="single" w:color="auto" w:sz="4"/>
          <w:insideH w:val="single" w:color="auto" w:sz="4"/>
          <w:insideV w:val="single" w:color="auto" w:sz="4"/>
        </w:tblBorders>
      </w:tblPr>
      <w:tblGrid>
        <w:gridCol w:w="2740"/>
        <w:gridCol w:w="2740"/>
        <w:gridCol w:w="2740"/>
      </w:tblGrid>
      <w:tr>
        <w:trPr>
          <w:tblHeader/>
        </w:trPr>
        <w:tc>
          <w:tcPr>
            <w:tcW w:type="dxa" w:w="2740"/>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防线</w:t>
            </w:r>
          </w:p>
        </w:tc>
        <w:tc>
          <w:tcPr>
            <w:tcW w:type="dxa" w:w="2740"/>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角色定位</w:t>
            </w:r>
          </w:p>
        </w:tc>
        <w:tc>
          <w:tcPr>
            <w:tcW w:type="dxa" w:w="2740"/>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与三个职能的关系</w:t>
            </w:r>
          </w:p>
        </w:tc>
      </w:tr>
      <w:tr>
        <w:trPr>
          <w:tblHeader w:val="false"/>
        </w:trPr>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第一道</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业务与 IT 部门</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负责内控措施的一线落地和制度的日常执行，是风险的直接承担者</w:t>
            </w:r>
          </w:p>
        </w:tc>
      </w:tr>
      <w:tr>
        <w:trPr>
          <w:tblHeader w:val="false"/>
        </w:trPr>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第二道</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风险管理与合规部门</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负责风险识别与评估方法论的建立，以及合规状态的独立监督</w:t>
            </w:r>
          </w:p>
        </w:tc>
      </w:tr>
      <w:tr>
        <w:trPr>
          <w:tblHeader w:val="false"/>
        </w:trPr>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第三道</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内部审计部门</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对风险管理、内控执行、合规管理的整体有效性进行独立评价，不直接参与前两道防线工作</w:t>
            </w:r>
          </w:p>
        </w:tc>
      </w:tr>
    </w:tbl>
    <w:p>
      <w:pPr>
        <w:spacing w:after="120" w:before="60" w:line="420" w:lineRule="atLeast"/>
      </w:pPr>
    </w:p>
    <w:p>
      <w:pPr>
        <w:spacing w:after="120" w:before="360" w:line="420" w:lineRule="atLeast"/>
        <w:ind w:firstLine="567"/>
      </w:pPr>
      <w:r>
        <w:rPr>
          <w:rFonts w:ascii="FangSong" w:cs="FangSong" w:eastAsia="FangSong" w:hAnsi="FangSong"/>
          <w:sz w:val="30"/>
          <w:szCs w:val="30"/>
        </w:rPr>
        <w:t xml:space="preserve">三道防线的核心原则是职责分离：执行风险应对措施的部门不能自我评价其有效性，合规监督部门不能替代业务部门承担执行责任。</w:t>
      </w:r>
    </w:p>
    <w:p>
      <w:pPr>
        <w:pStyle w:val="Heading1"/>
        <w:spacing w:after="120" w:before="360" w:line="420" w:lineRule="atLeast"/>
        <w:jc w:val="center"/>
      </w:pPr>
      <w:r>
        <w:rPr>
          <w:rFonts w:ascii="FangSong" w:cs="FangSong" w:eastAsia="FangSong" w:hAnsi="FangSong"/>
          <w:b/>
          <w:bCs/>
          <w:sz w:val="30"/>
          <w:szCs w:val="30"/>
        </w:rPr>
        <w:t xml:space="preserve">逻辑关系</w:t>
      </w:r>
    </w:p>
    <w:p>
      <w:pPr>
        <w:pStyle w:val="Heading2"/>
        <w:numPr>
          <w:ilvl w:val="0"/>
          <w:numId w:val="2"/>
        </w:numPr>
        <w:spacing w:after="120" w:before="60" w:line="420" w:lineRule="atLeast"/>
      </w:pPr>
      <w:r>
        <w:rPr>
          <w:rFonts w:ascii="FangSong" w:cs="FangSong" w:eastAsia="FangSong" w:hAnsi="FangSong"/>
          <w:b/>
          <w:bCs/>
          <w:sz w:val="30"/>
          <w:szCs w:val="30"/>
        </w:rPr>
        <w:t xml:space="preserve">核心模型：三职能平行协同</w:t>
      </w:r>
    </w:p>
    <w:p>
      <w:pPr>
        <w:spacing w:after="120" w:before="360" w:line="420" w:lineRule="atLeast"/>
        <w:ind w:firstLine="567"/>
      </w:pPr>
      <w:r>
        <w:rPr>
          <w:rFonts w:ascii="FangSong" w:cs="FangSong" w:eastAsia="FangSong" w:hAnsi="FangSong"/>
          <w:sz w:val="30"/>
          <w:szCs w:val="30"/>
        </w:rPr>
        <w:t xml:space="preserve">风险管理、内控、合规是三个平行的管理职能，各自拥有独立的生命周期，从不同视角保障组织目标的实现。三者之间不是"谁驱动谁"的线性关系，而是各自独立运转、通过信息交互实现协同的并行关系。</w:t>
      </w:r>
    </w:p>
    <w:p>
      <w:pPr>
        <w:spacing w:after="120" w:before="360" w:line="420" w:lineRule="atLeast"/>
        <w:ind w:firstLine="567"/>
      </w:pPr>
      <w:r>
        <w:rPr>
          <w:rFonts w:ascii="FangSong" w:cs="FangSong" w:eastAsia="FangSong" w:hAnsi="FangSong"/>
          <w:sz w:val="30"/>
          <w:szCs w:val="30"/>
        </w:rPr>
        <w:t xml:space="preserve">下图展示三职能的平行关系与制度的定位：</w:t>
      </w:r>
    </w:p>
    <w:p>
      <w:pPr>
        <w:spacing w:after="120" w:before="60" w:line="420" w:lineRule="atLeast"/>
        <w:jc w:val="center"/>
      </w:pPr>
      <w:r>
        <w:drawing>
          <wp:inline distT="0" distB="0" distL="0" distR="0">
            <wp:extent cx="5400675"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00675" cy="4114800"/>
                    </a:xfrm>
                    <a:prstGeom prst="rect">
                      <a:avLst/>
                    </a:prstGeom>
                  </pic:spPr>
                </pic:pic>
              </a:graphicData>
            </a:graphic>
          </wp:inline>
        </w:drawing>
      </w:r>
    </w:p>
    <w:p>
      <w:pPr>
        <w:pStyle w:val="Heading2"/>
        <w:numPr>
          <w:ilvl w:val="0"/>
          <w:numId w:val="2"/>
        </w:numPr>
        <w:spacing w:after="120" w:before="360" w:line="420" w:lineRule="atLeast"/>
      </w:pPr>
      <w:r>
        <w:rPr>
          <w:rFonts w:ascii="FangSong" w:cs="FangSong" w:eastAsia="FangSong" w:hAnsi="FangSong"/>
          <w:b/>
          <w:bCs/>
          <w:sz w:val="30"/>
          <w:szCs w:val="30"/>
        </w:rPr>
        <w:t xml:space="preserve">三职能间的协同关系</w:t>
      </w:r>
    </w:p>
    <w:p>
      <w:pPr>
        <w:spacing w:after="120" w:before="360" w:line="420" w:lineRule="atLeast"/>
        <w:ind w:firstLine="567"/>
      </w:pPr>
      <w:r>
        <w:rPr>
          <w:rFonts w:ascii="FangSong" w:cs="FangSong" w:eastAsia="FangSong" w:hAnsi="FangSong"/>
          <w:sz w:val="30"/>
          <w:szCs w:val="30"/>
        </w:rPr>
        <w:t xml:space="preserve">三职能各边界的定义见第 2.3 节；本节归纳核心协同路径，作为第 5 章信息交互分析的逻辑基础。</w:t>
      </w:r>
    </w:p>
    <w:p>
      <w:pPr>
        <w:spacing w:after="120" w:before="360" w:line="420" w:lineRule="atLeast"/>
        <w:ind w:firstLine="567"/>
      </w:pPr>
      <w:r>
        <w:rPr>
          <w:rFonts w:ascii="FangSong" w:cs="FangSong" w:eastAsia="FangSong" w:hAnsi="FangSong"/>
          <w:b/>
          <w:bCs/>
          <w:sz w:val="30"/>
          <w:szCs w:val="30"/>
        </w:rPr>
        <w:t xml:space="preserve">风险与内控的协同</w:t>
      </w:r>
      <w:r>
        <w:rPr>
          <w:rFonts w:ascii="FangSong" w:cs="FangSong" w:eastAsia="FangSong" w:hAnsi="FangSong"/>
          <w:sz w:val="30"/>
          <w:szCs w:val="30"/>
        </w:rPr>
        <w:t xml:space="preserve">：风险评估的结果是内控措施设计的重要输入——风险评估决定"需要控什么、控到什么程度"。反向地，内控失效的信息反馈到风险评估中，驱动风险重评估。</w:t>
      </w:r>
    </w:p>
    <w:p>
      <w:pPr>
        <w:spacing w:after="120" w:before="360" w:line="420" w:lineRule="atLeast"/>
        <w:ind w:firstLine="567"/>
      </w:pPr>
      <w:r>
        <w:rPr>
          <w:rFonts w:ascii="FangSong" w:cs="FangSong" w:eastAsia="FangSong" w:hAnsi="FangSong"/>
          <w:b/>
          <w:bCs/>
          <w:sz w:val="30"/>
          <w:szCs w:val="30"/>
        </w:rPr>
        <w:t xml:space="preserve">合规与内控的协同</w:t>
      </w:r>
      <w:r>
        <w:rPr>
          <w:rFonts w:ascii="FangSong" w:cs="FangSong" w:eastAsia="FangSong" w:hAnsi="FangSong"/>
          <w:sz w:val="30"/>
          <w:szCs w:val="30"/>
        </w:rPr>
        <w:t xml:space="preserve">：合规要求（外部监管法规）是内控体系建设的重要输入——监管不仅对具体业务领域提出控制要求，还对内控体系本身的建设标准、评价机制有直接规定。反向地，内控运行的证据和效果是合规验证的核心检查对象。</w:t>
      </w:r>
    </w:p>
    <w:p>
      <w:pPr>
        <w:spacing w:after="120" w:before="360" w:line="420" w:lineRule="atLeast"/>
        <w:ind w:firstLine="567"/>
      </w:pPr>
      <w:r>
        <w:rPr>
          <w:rFonts w:ascii="FangSong" w:cs="FangSong" w:eastAsia="FangSong" w:hAnsi="FangSong"/>
          <w:b/>
          <w:bCs/>
          <w:sz w:val="30"/>
          <w:szCs w:val="30"/>
        </w:rPr>
        <w:t xml:space="preserve">风险与合规的协同</w:t>
      </w:r>
      <w:r>
        <w:rPr>
          <w:rFonts w:ascii="FangSong" w:cs="FangSong" w:eastAsia="FangSong" w:hAnsi="FangSong"/>
          <w:sz w:val="30"/>
          <w:szCs w:val="30"/>
        </w:rPr>
        <w:t xml:space="preserve">：合规检验发现的缺口反馈为新的风险输入，驱动风险重评估与应对策略调整。同时，监管关注的风险领域也是风险识别的重要参考来源。</w:t>
      </w:r>
    </w:p>
    <w:p>
      <w:pPr>
        <w:pStyle w:val="Heading2"/>
        <w:numPr>
          <w:ilvl w:val="0"/>
          <w:numId w:val="2"/>
        </w:numPr>
        <w:spacing w:after="120" w:before="360" w:line="420" w:lineRule="atLeast"/>
      </w:pPr>
      <w:r>
        <w:rPr>
          <w:rFonts w:ascii="FangSong" w:cs="FangSong" w:eastAsia="FangSong" w:hAnsi="FangSong"/>
          <w:b/>
          <w:bCs/>
          <w:sz w:val="30"/>
          <w:szCs w:val="30"/>
        </w:rPr>
        <w:t xml:space="preserve">制度建设与三职能的关系</w:t>
      </w:r>
    </w:p>
    <w:p>
      <w:pPr>
        <w:spacing w:after="120" w:before="360" w:line="420" w:lineRule="atLeast"/>
        <w:ind w:firstLine="567"/>
      </w:pPr>
      <w:r>
        <w:rPr>
          <w:rFonts w:ascii="FangSong" w:cs="FangSong" w:eastAsia="FangSong" w:hAnsi="FangSong"/>
          <w:sz w:val="30"/>
          <w:szCs w:val="30"/>
        </w:rPr>
        <w:t xml:space="preserve">制度作为书面规则的公共载体，三个职能均可直接驱动制度建设，不存在必须经过某一职能中转的依赖关系：</w:t>
      </w:r>
    </w:p>
    <w:p>
      <w:pPr>
        <w:pStyle w:val="ListParagraph"/>
        <w:numPr>
          <w:ilvl w:val="1"/>
          <w:numId w:val="3"/>
        </w:numPr>
        <w:spacing w:after="120" w:before="60" w:line="420" w:lineRule="atLeast"/>
      </w:pPr>
      <w:r>
        <w:rPr>
          <w:rFonts w:ascii="FangSong" w:cs="FangSong" w:eastAsia="FangSong" w:hAnsi="FangSong"/>
          <w:b/>
          <w:bCs/>
          <w:sz w:val="30"/>
          <w:szCs w:val="30"/>
        </w:rPr>
        <w:t xml:space="preserve">合规 → 制度</w:t>
      </w:r>
      <w:r>
        <w:rPr>
          <w:rFonts w:ascii="FangSong" w:cs="FangSong" w:eastAsia="FangSong" w:hAnsi="FangSong"/>
          <w:sz w:val="30"/>
          <w:szCs w:val="30"/>
        </w:rPr>
        <w:t xml:space="preserve">：将外部监管法规的要求直接转化为内部规则（如将《商业银行信息科技风险管理指引》的变更管理要求转化为《变更管理办法》）。</w:t>
      </w:r>
    </w:p>
    <w:p>
      <w:pPr>
        <w:pStyle w:val="ListParagraph"/>
        <w:numPr>
          <w:ilvl w:val="1"/>
          <w:numId w:val="3"/>
        </w:numPr>
        <w:spacing w:after="120" w:before="60" w:line="420" w:lineRule="atLeast"/>
      </w:pPr>
      <w:r>
        <w:rPr>
          <w:rFonts w:ascii="FangSong" w:cs="FangSong" w:eastAsia="FangSong" w:hAnsi="FangSong"/>
          <w:b/>
          <w:bCs/>
          <w:sz w:val="30"/>
          <w:szCs w:val="30"/>
        </w:rPr>
        <w:t xml:space="preserve">风险 → 制度</w:t>
      </w:r>
      <w:r>
        <w:rPr>
          <w:rFonts w:ascii="FangSong" w:cs="FangSong" w:eastAsia="FangSong" w:hAnsi="FangSong"/>
          <w:sz w:val="30"/>
          <w:szCs w:val="30"/>
        </w:rPr>
        <w:t xml:space="preserve">：将风险应对措施固化为规则（如针对高频变更故障风险，制定变更双人审核规程）。</w:t>
      </w:r>
    </w:p>
    <w:p>
      <w:pPr>
        <w:pStyle w:val="ListParagraph"/>
        <w:numPr>
          <w:ilvl w:val="1"/>
          <w:numId w:val="3"/>
        </w:numPr>
        <w:spacing w:after="120" w:before="60" w:line="420" w:lineRule="atLeast"/>
      </w:pPr>
      <w:r>
        <w:rPr>
          <w:rFonts w:ascii="FangSong" w:cs="FangSong" w:eastAsia="FangSong" w:hAnsi="FangSong"/>
          <w:b/>
          <w:bCs/>
          <w:sz w:val="30"/>
          <w:szCs w:val="30"/>
        </w:rPr>
        <w:t xml:space="preserve">内控 → 制度</w:t>
      </w:r>
      <w:r>
        <w:rPr>
          <w:rFonts w:ascii="FangSong" w:cs="FangSong" w:eastAsia="FangSong" w:hAnsi="FangSong"/>
          <w:sz w:val="30"/>
          <w:szCs w:val="30"/>
        </w:rPr>
        <w:t xml:space="preserve">：将控制活动的设计要求和操作规范固化为书面文本（如内控评价流程、控制活动操作手册）。</w:t>
      </w:r>
    </w:p>
    <w:p>
      <w:pPr>
        <w:spacing w:after="120" w:before="360" w:line="420" w:lineRule="atLeast"/>
        <w:ind w:firstLine="567"/>
      </w:pPr>
      <w:r>
        <w:rPr>
          <w:rFonts w:ascii="FangSong" w:cs="FangSong" w:eastAsia="FangSong" w:hAnsi="FangSong"/>
          <w:sz w:val="30"/>
          <w:szCs w:val="30"/>
        </w:rPr>
        <w:t xml:space="preserve">一项制度的内容往往同时承载多个职能的要求。例如《变更管理办法》既承载了合规要求（监管对变更管理的强制性规定）、又承载了风险应对要求（针对变更故障风险的控制措施）、也承载了内控要求（变更审批流程和权限设计）。</w:t>
      </w:r>
    </w:p>
    <w:p>
      <w:pPr>
        <w:spacing w:after="120" w:before="360" w:line="420" w:lineRule="atLeast"/>
        <w:ind w:firstLine="567"/>
      </w:pPr>
      <w:r>
        <w:rPr>
          <w:rFonts w:ascii="FangSong" w:cs="FangSong" w:eastAsia="FangSong" w:hAnsi="FangSong"/>
          <w:sz w:val="30"/>
          <w:szCs w:val="30"/>
        </w:rPr>
        <w:t xml:space="preserve">制度并非管理要求落地的唯一形式。内控要求同样可以通过系统配置、自动化规则、技术架构等非制度形式落地。在紧急风险场景下，控制措施可以先于制度落地（措施先行、制度后补）。</w:t>
      </w:r>
    </w:p>
    <w:p>
      <w:pPr>
        <w:pStyle w:val="Heading1"/>
        <w:spacing w:after="120" w:before="360" w:line="420" w:lineRule="atLeast"/>
        <w:jc w:val="center"/>
      </w:pPr>
      <w:r>
        <w:rPr>
          <w:rFonts w:ascii="FangSong" w:cs="FangSong" w:eastAsia="FangSong" w:hAnsi="FangSong"/>
          <w:b/>
          <w:bCs/>
          <w:sz w:val="30"/>
          <w:szCs w:val="30"/>
        </w:rPr>
        <w:t xml:space="preserve">依存关系分析</w:t>
      </w:r>
    </w:p>
    <w:p>
      <w:pPr>
        <w:pStyle w:val="Heading2"/>
        <w:numPr>
          <w:ilvl w:val="0"/>
          <w:numId w:val="2"/>
        </w:numPr>
        <w:spacing w:after="120" w:before="60" w:line="420" w:lineRule="atLeast"/>
      </w:pPr>
      <w:r>
        <w:rPr>
          <w:rFonts w:ascii="FangSong" w:cs="FangSong" w:eastAsia="FangSong" w:hAnsi="FangSong"/>
          <w:b/>
          <w:bCs/>
          <w:sz w:val="30"/>
          <w:szCs w:val="30"/>
        </w:rPr>
        <w:t xml:space="preserve">三职能的信息交互</w:t>
      </w:r>
    </w:p>
    <w:p>
      <w:pPr>
        <w:spacing w:after="120" w:before="360" w:line="420" w:lineRule="atLeast"/>
        <w:ind w:firstLine="567"/>
      </w:pPr>
      <w:r>
        <w:rPr>
          <w:rFonts w:ascii="FangSong" w:cs="FangSong" w:eastAsia="FangSong" w:hAnsi="FangSong"/>
          <w:sz w:val="30"/>
          <w:szCs w:val="30"/>
        </w:rPr>
        <w:t xml:space="preserve">三个职能通过信息交互实现协同，主要交互路径如下：</w:t>
      </w:r>
    </w:p>
    <w:tbl>
      <w:tblPr>
        <w:tblW w:type="dxa" w:w="8222"/>
        <w:tblInd w:type="dxa" w:w="680"/>
        <w:tblBorders>
          <w:top w:val="single" w:color="auto" w:sz="4"/>
          <w:left w:val="single" w:color="auto" w:sz="4"/>
          <w:bottom w:val="single" w:color="auto" w:sz="4"/>
          <w:right w:val="single" w:color="auto" w:sz="4"/>
          <w:insideH w:val="single" w:color="auto" w:sz="4"/>
          <w:insideV w:val="single" w:color="auto" w:sz="4"/>
        </w:tblBorders>
      </w:tblPr>
      <w:tblGrid>
        <w:gridCol w:w="2055"/>
        <w:gridCol w:w="2055"/>
        <w:gridCol w:w="2055"/>
        <w:gridCol w:w="2055"/>
      </w:tblGrid>
      <w:tr>
        <w:trPr>
          <w:tblHeader/>
        </w:trPr>
        <w:tc>
          <w:tcPr>
            <w:tcW w:type="dxa" w:w="2055"/>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信息发出方</w:t>
            </w:r>
          </w:p>
        </w:tc>
        <w:tc>
          <w:tcPr>
            <w:tcW w:type="dxa" w:w="2055"/>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信息接收方</w:t>
            </w:r>
          </w:p>
        </w:tc>
        <w:tc>
          <w:tcPr>
            <w:tcW w:type="dxa" w:w="2055"/>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交互内容</w:t>
            </w:r>
          </w:p>
        </w:tc>
        <w:tc>
          <w:tcPr>
            <w:tcW w:type="dxa" w:w="2055"/>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作用</w:t>
            </w:r>
          </w:p>
        </w:tc>
      </w:tr>
      <w:tr>
        <w:trPr>
          <w:tblHeader w:val="false"/>
        </w:trPr>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风险管理</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内控</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风险评估结果、风险应对策略</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内控措施设计的输入</w:t>
            </w:r>
          </w:p>
        </w:tc>
      </w:tr>
      <w:tr>
        <w:trPr>
          <w:tblHeader w:val="false"/>
        </w:trPr>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合规管理</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内控</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外部监管要求、合规检查发现</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内控体系建设的依据</w:t>
            </w:r>
          </w:p>
        </w:tc>
      </w:tr>
      <w:tr>
        <w:trPr>
          <w:tblHeader w:val="false"/>
        </w:trPr>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内控</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合规管理</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内控运行证据、内控评价报告</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合规验证的核心检查材料</w:t>
            </w:r>
          </w:p>
        </w:tc>
      </w:tr>
      <w:tr>
        <w:trPr>
          <w:tblHeader w:val="false"/>
        </w:trPr>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合规管理</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风险管理</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合规检验缺口、监管动态</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风险重评估的输入</w:t>
            </w:r>
          </w:p>
        </w:tc>
      </w:tr>
      <w:tr>
        <w:trPr>
          <w:tblHeader w:val="false"/>
        </w:trPr>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内控</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风险管理</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内控失效信息、控制偏差数据</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风险重评估的输入</w:t>
            </w:r>
          </w:p>
        </w:tc>
      </w:tr>
      <w:tr>
        <w:trPr>
          <w:tblHeader w:val="false"/>
        </w:trPr>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风险管理</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合规管理</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新识别的风险领域</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合规监测范围的参考</w:t>
            </w:r>
          </w:p>
        </w:tc>
      </w:tr>
    </w:tbl>
    <w:p>
      <w:pPr>
        <w:spacing w:after="120" w:before="60" w:line="420" w:lineRule="atLeast"/>
      </w:pPr>
    </w:p>
    <w:p>
      <w:pPr>
        <w:pStyle w:val="Heading2"/>
        <w:numPr>
          <w:ilvl w:val="0"/>
          <w:numId w:val="2"/>
        </w:numPr>
        <w:spacing w:after="120" w:before="360" w:line="420" w:lineRule="atLeast"/>
      </w:pPr>
      <w:r>
        <w:rPr>
          <w:rFonts w:ascii="FangSong" w:cs="FangSong" w:eastAsia="FangSong" w:hAnsi="FangSong"/>
          <w:b/>
          <w:bCs/>
          <w:sz w:val="30"/>
          <w:szCs w:val="30"/>
        </w:rPr>
        <w:t xml:space="preserve">反向传导与持续改进</w:t>
      </w:r>
    </w:p>
    <w:p>
      <w:pPr>
        <w:spacing w:after="120" w:before="360" w:line="420" w:lineRule="atLeast"/>
        <w:ind w:firstLine="567"/>
      </w:pPr>
      <w:r>
        <w:rPr>
          <w:rFonts w:ascii="FangSong" w:cs="FangSong" w:eastAsia="FangSong" w:hAnsi="FangSong"/>
          <w:sz w:val="30"/>
          <w:szCs w:val="30"/>
        </w:rPr>
        <w:t xml:space="preserve">三职能的协同形成持续改进闭环：</w:t>
      </w:r>
    </w:p>
    <w:p>
      <w:pPr>
        <w:pStyle w:val="ListParagraph"/>
        <w:numPr>
          <w:ilvl w:val="1"/>
          <w:numId w:val="3"/>
        </w:numPr>
        <w:spacing w:after="120" w:before="60" w:line="420" w:lineRule="atLeast"/>
      </w:pPr>
      <w:r>
        <w:rPr>
          <w:rFonts w:ascii="FangSong" w:cs="FangSong" w:eastAsia="FangSong" w:hAnsi="FangSong"/>
          <w:sz w:val="30"/>
          <w:szCs w:val="30"/>
        </w:rPr>
        <w:t xml:space="preserve">合规检验发现缺口 → 反馈至风险管理（风险重评估）和内控（内控优化）</w:t>
      </w:r>
    </w:p>
    <w:p>
      <w:pPr>
        <w:pStyle w:val="ListParagraph"/>
        <w:numPr>
          <w:ilvl w:val="1"/>
          <w:numId w:val="3"/>
        </w:numPr>
        <w:spacing w:after="120" w:before="60" w:line="420" w:lineRule="atLeast"/>
      </w:pPr>
      <w:r>
        <w:rPr>
          <w:rFonts w:ascii="FangSong" w:cs="FangSong" w:eastAsia="FangSong" w:hAnsi="FangSong"/>
          <w:sz w:val="30"/>
          <w:szCs w:val="30"/>
        </w:rPr>
        <w:t xml:space="preserve">内控失效 → 反馈至风险管理（暴露风险识别遗漏）→ 制度载体相应修订</w:t>
      </w:r>
    </w:p>
    <w:p>
      <w:pPr>
        <w:pStyle w:val="ListParagraph"/>
        <w:numPr>
          <w:ilvl w:val="1"/>
          <w:numId w:val="3"/>
        </w:numPr>
        <w:spacing w:after="120" w:before="60" w:line="420" w:lineRule="atLeast"/>
      </w:pPr>
      <w:r>
        <w:rPr>
          <w:rFonts w:ascii="FangSong" w:cs="FangSong" w:eastAsia="FangSong" w:hAnsi="FangSong"/>
          <w:sz w:val="30"/>
          <w:szCs w:val="30"/>
        </w:rPr>
        <w:t xml:space="preserve">风险重评估 → 输出新的内控设计要求 → 内控优化 → 制度载体更新</w:t>
      </w:r>
    </w:p>
    <w:p>
      <w:pPr>
        <w:pStyle w:val="Heading2"/>
        <w:numPr>
          <w:ilvl w:val="0"/>
          <w:numId w:val="2"/>
        </w:numPr>
        <w:spacing w:after="120" w:before="360" w:line="420" w:lineRule="atLeast"/>
      </w:pPr>
      <w:r>
        <w:rPr>
          <w:rFonts w:ascii="FangSong" w:cs="FangSong" w:eastAsia="FangSong" w:hAnsi="FangSong"/>
          <w:b/>
          <w:bCs/>
          <w:sz w:val="30"/>
          <w:szCs w:val="30"/>
        </w:rPr>
        <w:t xml:space="preserve">常见失效模式</w:t>
      </w:r>
    </w:p>
    <w:p>
      <w:pPr>
        <w:spacing w:after="120" w:before="360" w:line="420" w:lineRule="atLeast"/>
        <w:ind w:firstLine="567"/>
      </w:pPr>
      <w:r>
        <w:rPr>
          <w:rFonts w:ascii="FangSong" w:cs="FangSong" w:eastAsia="FangSong" w:hAnsi="FangSong"/>
          <w:sz w:val="30"/>
          <w:szCs w:val="30"/>
        </w:rPr>
        <w:t xml:space="preserve">下表列出六类典型失效模式及根因定位：</w:t>
      </w:r>
    </w:p>
    <w:tbl>
      <w:tblPr>
        <w:tblW w:type="dxa" w:w="8222"/>
        <w:tblInd w:type="dxa" w:w="680"/>
        <w:tblBorders>
          <w:top w:val="single" w:color="auto" w:sz="4"/>
          <w:left w:val="single" w:color="auto" w:sz="4"/>
          <w:bottom w:val="single" w:color="auto" w:sz="4"/>
          <w:right w:val="single" w:color="auto" w:sz="4"/>
          <w:insideH w:val="single" w:color="auto" w:sz="4"/>
          <w:insideV w:val="single" w:color="auto" w:sz="4"/>
        </w:tblBorders>
      </w:tblPr>
      <w:tblGrid>
        <w:gridCol w:w="2740"/>
        <w:gridCol w:w="2740"/>
        <w:gridCol w:w="2740"/>
      </w:tblGrid>
      <w:tr>
        <w:trPr>
          <w:tblHeader/>
        </w:trPr>
        <w:tc>
          <w:tcPr>
            <w:tcW w:type="dxa" w:w="2740"/>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失效现象</w:t>
            </w:r>
          </w:p>
        </w:tc>
        <w:tc>
          <w:tcPr>
            <w:tcW w:type="dxa" w:w="2740"/>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根因定位</w:t>
            </w:r>
          </w:p>
        </w:tc>
        <w:tc>
          <w:tcPr>
            <w:tcW w:type="dxa" w:w="2740"/>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修复路径</w:t>
            </w:r>
          </w:p>
        </w:tc>
      </w:tr>
      <w:tr>
        <w:trPr>
          <w:tblHeader w:val="false"/>
        </w:trPr>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有制度，执行不到位</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内控设计不足</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补充控制点，增加执行检查机制</w:t>
            </w:r>
          </w:p>
        </w:tc>
      </w:tr>
      <w:tr>
        <w:trPr>
          <w:tblHeader w:val="false"/>
        </w:trPr>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监管检查发现制度空白</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风险识别遗漏</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重新开展风险评估，补建制度</w:t>
            </w:r>
          </w:p>
        </w:tc>
      </w:tr>
      <w:tr>
        <w:trPr>
          <w:tblHeader w:val="false"/>
        </w:trPr>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合规检验通过，但事故仍发生</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合规标准低于实际风险水位</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提升内控严格程度，超合规管理</w:t>
            </w:r>
          </w:p>
        </w:tc>
      </w:tr>
      <w:tr>
        <w:trPr>
          <w:tblHeader w:val="false"/>
        </w:trPr>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内控繁琐导致业务绕过</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制度设计脱离业务实际</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风险与效率平衡，优化内控设计</w:t>
            </w:r>
          </w:p>
        </w:tc>
      </w:tr>
      <w:tr>
        <w:trPr>
          <w:tblHeader w:val="false"/>
        </w:trPr>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制度更新滞后于技术演进</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制度修订机制缺乏与技术架构变更的联动</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建立技术变更驱动的制度评审触发机制</w:t>
            </w:r>
          </w:p>
        </w:tc>
      </w:tr>
      <w:tr>
        <w:trPr>
          <w:tblHeader w:val="false"/>
        </w:trPr>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内控执行了但合规检验无法确认有效性</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内控证据链断裂（控制留痕不足）</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强化控制活动的证据留存要求，建立证据完整性检查机制</w:t>
            </w:r>
          </w:p>
        </w:tc>
      </w:tr>
    </w:tbl>
    <w:p>
      <w:pPr>
        <w:spacing w:after="120" w:before="60" w:line="420" w:lineRule="atLeast"/>
      </w:pPr>
    </w:p>
    <w:p>
      <w:pPr>
        <w:pStyle w:val="Heading1"/>
        <w:spacing w:after="120" w:before="360" w:line="420" w:lineRule="atLeast"/>
        <w:jc w:val="center"/>
      </w:pPr>
      <w:r>
        <w:rPr>
          <w:rFonts w:ascii="FangSong" w:cs="FangSong" w:eastAsia="FangSong" w:hAnsi="FangSong"/>
          <w:b/>
          <w:bCs/>
          <w:sz w:val="30"/>
          <w:szCs w:val="30"/>
        </w:rPr>
        <w:t xml:space="preserve">科技风险语境下的应用</w:t>
      </w:r>
    </w:p>
    <w:p>
      <w:pPr>
        <w:pStyle w:val="Heading2"/>
        <w:numPr>
          <w:ilvl w:val="0"/>
          <w:numId w:val="2"/>
        </w:numPr>
        <w:spacing w:after="120" w:before="60" w:line="420" w:lineRule="atLeast"/>
      </w:pPr>
      <w:r>
        <w:rPr>
          <w:rFonts w:ascii="FangSong" w:cs="FangSong" w:eastAsia="FangSong" w:hAnsi="FangSong"/>
          <w:b/>
          <w:bCs/>
          <w:sz w:val="30"/>
          <w:szCs w:val="30"/>
        </w:rPr>
        <w:t xml:space="preserve">概念在科技风险场景中的映射</w:t>
      </w:r>
    </w:p>
    <w:p>
      <w:pPr>
        <w:spacing w:after="120" w:before="360" w:line="420" w:lineRule="atLeast"/>
        <w:ind w:firstLine="567"/>
      </w:pPr>
      <w:r>
        <w:rPr>
          <w:rFonts w:ascii="FangSong" w:cs="FangSong" w:eastAsia="FangSong" w:hAnsi="FangSong"/>
          <w:sz w:val="30"/>
          <w:szCs w:val="30"/>
        </w:rPr>
        <w:t xml:space="preserve">下表以信息科技部常见场景为例，展示四个概念的具体对应：</w:t>
      </w:r>
    </w:p>
    <w:tbl>
      <w:tblPr>
        <w:tblW w:type="dxa" w:w="8222"/>
        <w:tblInd w:type="dxa" w:w="680"/>
        <w:tblBorders>
          <w:top w:val="single" w:color="auto" w:sz="4"/>
          <w:left w:val="single" w:color="auto" w:sz="4"/>
          <w:bottom w:val="single" w:color="auto" w:sz="4"/>
          <w:right w:val="single" w:color="auto" w:sz="4"/>
          <w:insideH w:val="single" w:color="auto" w:sz="4"/>
          <w:insideV w:val="single" w:color="auto" w:sz="4"/>
        </w:tblBorders>
      </w:tblPr>
      <w:tblGrid>
        <w:gridCol w:w="4111"/>
        <w:gridCol w:w="4111"/>
      </w:tblGrid>
      <w:tr>
        <w:trPr>
          <w:tblHeader/>
        </w:trPr>
        <w:tc>
          <w:tcPr>
            <w:tcW w:type="dxa" w:w="4111"/>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概念</w:t>
            </w:r>
          </w:p>
        </w:tc>
        <w:tc>
          <w:tcPr>
            <w:tcW w:type="dxa" w:w="4111"/>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科技风险场景示例</w:t>
            </w:r>
          </w:p>
        </w:tc>
      </w:tr>
      <w:tr>
        <w:trPr>
          <w:tblHeader w:val="false"/>
        </w:trPr>
        <w:tc>
          <w:tcPr>
            <w:tcW w:type="dxa" w:w="4111"/>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风险</w:t>
            </w:r>
          </w:p>
        </w:tc>
        <w:tc>
          <w:tcPr>
            <w:tcW w:type="dxa" w:w="4111"/>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核心系统宕机、数据泄露、IT 外包集中度过高、变更引发故障</w:t>
            </w:r>
          </w:p>
        </w:tc>
      </w:tr>
      <w:tr>
        <w:trPr>
          <w:tblHeader w:val="false"/>
        </w:trPr>
        <w:tc>
          <w:tcPr>
            <w:tcW w:type="dxa" w:w="4111"/>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制度</w:t>
            </w:r>
          </w:p>
        </w:tc>
        <w:tc>
          <w:tcPr>
            <w:tcW w:type="dxa" w:w="4111"/>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变更管理办法、数据安全管理规定、业务连续性管理制度</w:t>
            </w:r>
          </w:p>
        </w:tc>
      </w:tr>
      <w:tr>
        <w:trPr>
          <w:tblHeader w:val="false"/>
        </w:trPr>
        <w:tc>
          <w:tcPr>
            <w:tcW w:type="dxa" w:w="4111"/>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内控</w:t>
            </w:r>
          </w:p>
        </w:tc>
        <w:tc>
          <w:tcPr>
            <w:tcW w:type="dxa" w:w="4111"/>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变更双人审核、生产权限最小化、定期灾备演练、日志审计</w:t>
            </w:r>
          </w:p>
        </w:tc>
      </w:tr>
      <w:tr>
        <w:trPr>
          <w:tblHeader w:val="false"/>
        </w:trPr>
        <w:tc>
          <w:tcPr>
            <w:tcW w:type="dxa" w:w="4111"/>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合规</w:t>
            </w:r>
          </w:p>
        </w:tc>
        <w:tc>
          <w:tcPr>
            <w:tcW w:type="dxa" w:w="4111"/>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对标《商业银行信息科技风险管理指引》《网络安全法》等要求</w:t>
            </w:r>
          </w:p>
        </w:tc>
      </w:tr>
    </w:tbl>
    <w:p>
      <w:pPr>
        <w:spacing w:after="120" w:before="60" w:line="420" w:lineRule="atLeast"/>
      </w:pPr>
    </w:p>
    <w:p>
      <w:pPr>
        <w:pStyle w:val="Heading2"/>
        <w:numPr>
          <w:ilvl w:val="0"/>
          <w:numId w:val="2"/>
        </w:numPr>
        <w:spacing w:after="120" w:before="360" w:line="420" w:lineRule="atLeast"/>
      </w:pPr>
      <w:r>
        <w:rPr>
          <w:rFonts w:ascii="FangSong" w:cs="FangSong" w:eastAsia="FangSong" w:hAnsi="FangSong"/>
          <w:b/>
          <w:bCs/>
          <w:sz w:val="30"/>
          <w:szCs w:val="30"/>
        </w:rPr>
        <w:t xml:space="preserve">端到端场景贯穿示例</w:t>
      </w:r>
    </w:p>
    <w:p>
      <w:pPr>
        <w:spacing w:after="120" w:before="360" w:line="420" w:lineRule="atLeast"/>
        <w:ind w:firstLine="567"/>
      </w:pPr>
      <w:r>
        <w:rPr>
          <w:rFonts w:ascii="FangSong" w:cs="FangSong" w:eastAsia="FangSong" w:hAnsi="FangSong"/>
          <w:sz w:val="30"/>
          <w:szCs w:val="30"/>
        </w:rPr>
        <w:t xml:space="preserve">以"变更管理"为主线，展示三个职能和制度在同一场景下如何平行协同：</w:t>
      </w:r>
    </w:p>
    <w:tbl>
      <w:tblPr>
        <w:tblW w:type="dxa" w:w="8222"/>
        <w:tblInd w:type="dxa" w:w="680"/>
        <w:tblBorders>
          <w:top w:val="single" w:color="auto" w:sz="4"/>
          <w:left w:val="single" w:color="auto" w:sz="4"/>
          <w:bottom w:val="single" w:color="auto" w:sz="4"/>
          <w:right w:val="single" w:color="auto" w:sz="4"/>
          <w:insideH w:val="single" w:color="auto" w:sz="4"/>
          <w:insideV w:val="single" w:color="auto" w:sz="4"/>
        </w:tblBorders>
      </w:tblPr>
      <w:tblGrid>
        <w:gridCol w:w="2740"/>
        <w:gridCol w:w="2740"/>
        <w:gridCol w:w="2740"/>
      </w:tblGrid>
      <w:tr>
        <w:trPr>
          <w:tblHeader/>
        </w:trPr>
        <w:tc>
          <w:tcPr>
            <w:tcW w:type="dxa" w:w="2740"/>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阶段</w:t>
            </w:r>
          </w:p>
        </w:tc>
        <w:tc>
          <w:tcPr>
            <w:tcW w:type="dxa" w:w="2740"/>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职能/环节</w:t>
            </w:r>
          </w:p>
        </w:tc>
        <w:tc>
          <w:tcPr>
            <w:tcW w:type="dxa" w:w="2740"/>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场景内容</w:t>
            </w:r>
          </w:p>
        </w:tc>
      </w:tr>
      <w:tr>
        <w:trPr>
          <w:tblHeader w:val="false"/>
        </w:trPr>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风险管理生命周期</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风险管理</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识别到"生产变更引发系统故障"是高频高影响风险场景，评估风险等级为"高"，输出风险应对策略</w:t>
            </w:r>
          </w:p>
        </w:tc>
      </w:tr>
      <w:tr>
        <w:trPr>
          <w:tblHeader w:val="false"/>
        </w:trPr>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合规管理生命周期</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合规管理</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识别到《商业银行信息科技风险管理指引》对变更管理有明确控制要求，输出合规要求清单</w:t>
            </w:r>
          </w:p>
        </w:tc>
      </w:tr>
      <w:tr>
        <w:trPr>
          <w:tblHeader w:val="false"/>
        </w:trPr>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内控设计与实施</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内控</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综合风险评估结果和合规要求，设计控制措施：变更双人审核 → 高风险变更回退方案预审 → 变更窗口外操作须总经理级审批 → 变更实施全程录屏留痕</w:t>
            </w:r>
          </w:p>
        </w:tc>
      </w:tr>
      <w:tr>
        <w:trPr>
          <w:tblHeader w:val="false"/>
        </w:trPr>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制度建设（公共载体）</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制度</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将上述各职能要求固化为书面载体：《变更管理办法》（政策层）→《变更分类与审批细则》（标准层）→《变更操作手册》（流程层），同时承载合规要求、风险应对要求和内控要求</w:t>
            </w:r>
          </w:p>
        </w:tc>
      </w:tr>
      <w:tr>
        <w:trPr>
          <w:tblHeader w:val="false"/>
        </w:trPr>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合规验证</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合规管理</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按监管要求逐项检查内控落地情况 → 抽查变更记录与审批流程 → 输出合规检查报告</w:t>
            </w:r>
          </w:p>
        </w:tc>
      </w:tr>
      <w:tr>
        <w:trPr>
          <w:tblHeader w:val="false"/>
        </w:trPr>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协同闭环</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三职能</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合规检查发现"紧急变更补审批率不足"→ 反馈至风险管理（风险重评估）和内控（优化控制措施）→ 更新制度载体</w:t>
            </w:r>
          </w:p>
        </w:tc>
      </w:tr>
    </w:tbl>
    <w:p>
      <w:pPr>
        <w:spacing w:after="120" w:before="60" w:line="420" w:lineRule="atLeast"/>
      </w:pPr>
    </w:p>
    <w:p>
      <w:pPr>
        <w:pStyle w:val="Heading2"/>
        <w:numPr>
          <w:ilvl w:val="0"/>
          <w:numId w:val="2"/>
        </w:numPr>
        <w:spacing w:after="120" w:before="360" w:line="420" w:lineRule="atLeast"/>
      </w:pPr>
      <w:r>
        <w:rPr>
          <w:rFonts w:ascii="FangSong" w:cs="FangSong" w:eastAsia="FangSong" w:hAnsi="FangSong"/>
          <w:b/>
          <w:bCs/>
          <w:sz w:val="30"/>
          <w:szCs w:val="30"/>
        </w:rPr>
        <w:t xml:space="preserve">监管评级视角</w:t>
      </w:r>
    </w:p>
    <w:p>
      <w:pPr>
        <w:spacing w:after="120" w:before="360" w:line="420" w:lineRule="atLeast"/>
        <w:ind w:firstLine="567"/>
      </w:pPr>
      <w:r>
        <w:rPr>
          <w:rFonts w:ascii="FangSong" w:cs="FangSong" w:eastAsia="FangSong" w:hAnsi="FangSong"/>
          <w:sz w:val="30"/>
          <w:szCs w:val="30"/>
        </w:rPr>
        <w:t xml:space="preserve">银行监管科技风险评级（如 ITRS，Information Technology Risk Supervision，信息科技风险监管评级）对四个维度均有考察：</w:t>
      </w:r>
    </w:p>
    <w:p>
      <w:pPr>
        <w:pStyle w:val="ListParagraph"/>
        <w:numPr>
          <w:ilvl w:val="1"/>
          <w:numId w:val="3"/>
        </w:numPr>
        <w:spacing w:after="120" w:before="60" w:line="420" w:lineRule="atLeast"/>
      </w:pPr>
      <w:r>
        <w:rPr>
          <w:rFonts w:ascii="FangSong" w:cs="FangSong" w:eastAsia="FangSong" w:hAnsi="FangSong"/>
          <w:b/>
          <w:bCs/>
          <w:sz w:val="30"/>
          <w:szCs w:val="30"/>
        </w:rPr>
        <w:t xml:space="preserve">风险识别能力</w:t>
      </w:r>
      <w:r>
        <w:rPr>
          <w:rFonts w:ascii="FangSong" w:cs="FangSong" w:eastAsia="FangSong" w:hAnsi="FangSong"/>
          <w:sz w:val="30"/>
          <w:szCs w:val="30"/>
        </w:rPr>
        <w:t xml:space="preserve">：是否建立完整的科技风险识别和评估机制。</w:t>
      </w:r>
    </w:p>
    <w:p>
      <w:pPr>
        <w:pStyle w:val="ListParagraph"/>
        <w:numPr>
          <w:ilvl w:val="1"/>
          <w:numId w:val="3"/>
        </w:numPr>
        <w:spacing w:after="120" w:before="60" w:line="420" w:lineRule="atLeast"/>
      </w:pPr>
      <w:r>
        <w:rPr>
          <w:rFonts w:ascii="FangSong" w:cs="FangSong" w:eastAsia="FangSong" w:hAnsi="FangSong"/>
          <w:b/>
          <w:bCs/>
          <w:sz w:val="30"/>
          <w:szCs w:val="30"/>
        </w:rPr>
        <w:t xml:space="preserve">制度完备性</w:t>
      </w:r>
      <w:r>
        <w:rPr>
          <w:rFonts w:ascii="FangSong" w:cs="FangSong" w:eastAsia="FangSong" w:hAnsi="FangSong"/>
          <w:sz w:val="30"/>
          <w:szCs w:val="30"/>
        </w:rPr>
        <w:t xml:space="preserve">：制度覆盖面是否对应监管要求的各控制域。</w:t>
      </w:r>
    </w:p>
    <w:p>
      <w:pPr>
        <w:pStyle w:val="ListParagraph"/>
        <w:numPr>
          <w:ilvl w:val="1"/>
          <w:numId w:val="3"/>
        </w:numPr>
        <w:spacing w:after="120" w:before="60" w:line="420" w:lineRule="atLeast"/>
      </w:pPr>
      <w:r>
        <w:rPr>
          <w:rFonts w:ascii="FangSong" w:cs="FangSong" w:eastAsia="FangSong" w:hAnsi="FangSong"/>
          <w:b/>
          <w:bCs/>
          <w:sz w:val="30"/>
          <w:szCs w:val="30"/>
        </w:rPr>
        <w:t xml:space="preserve">内控有效性</w:t>
      </w:r>
      <w:r>
        <w:rPr>
          <w:rFonts w:ascii="FangSong" w:cs="FangSong" w:eastAsia="FangSong" w:hAnsi="FangSong"/>
          <w:sz w:val="30"/>
          <w:szCs w:val="30"/>
        </w:rPr>
        <w:t xml:space="preserve">：制度是否真正执行，控制活动是否留有记录和证据。</w:t>
      </w:r>
    </w:p>
    <w:p>
      <w:pPr>
        <w:pStyle w:val="ListParagraph"/>
        <w:numPr>
          <w:ilvl w:val="1"/>
          <w:numId w:val="3"/>
        </w:numPr>
        <w:spacing w:after="120" w:before="60" w:line="420" w:lineRule="atLeast"/>
      </w:pPr>
      <w:r>
        <w:rPr>
          <w:rFonts w:ascii="FangSong" w:cs="FangSong" w:eastAsia="FangSong" w:hAnsi="FangSong"/>
          <w:b/>
          <w:bCs/>
          <w:sz w:val="30"/>
          <w:szCs w:val="30"/>
        </w:rPr>
        <w:t xml:space="preserve">合规闭环</w:t>
      </w:r>
      <w:r>
        <w:rPr>
          <w:rFonts w:ascii="FangSong" w:cs="FangSong" w:eastAsia="FangSong" w:hAnsi="FangSong"/>
          <w:sz w:val="30"/>
          <w:szCs w:val="30"/>
        </w:rPr>
        <w:t xml:space="preserve">：问题发现后是否有整改追踪机制，合规缺口是否闭环。</w:t>
      </w:r>
    </w:p>
    <w:p>
      <w:pPr>
        <w:spacing w:after="120" w:before="360" w:line="420" w:lineRule="atLeast"/>
        <w:ind w:firstLine="567"/>
      </w:pPr>
      <w:r>
        <w:rPr>
          <w:rFonts w:ascii="FangSong" w:cs="FangSong" w:eastAsia="FangSong" w:hAnsi="FangSong"/>
          <w:sz w:val="30"/>
          <w:szCs w:val="30"/>
        </w:rPr>
        <w:t xml:space="preserve">四个维度中，监管关注的重点通常是</w:t>
      </w:r>
      <w:r>
        <w:rPr>
          <w:rFonts w:ascii="FangSong" w:cs="FangSong" w:eastAsia="FangSong" w:hAnsi="FangSong"/>
          <w:b/>
          <w:bCs/>
          <w:sz w:val="30"/>
          <w:szCs w:val="30"/>
        </w:rPr>
        <w:t xml:space="preserve">内控有效性</w:t>
      </w:r>
      <w:r>
        <w:rPr>
          <w:rFonts w:ascii="FangSong" w:cs="FangSong" w:eastAsia="FangSong" w:hAnsi="FangSong"/>
          <w:sz w:val="30"/>
          <w:szCs w:val="30"/>
        </w:rPr>
        <w:t xml:space="preserve">——制度文件容易准备，但执行证据难以伪造，是评级区分度最高的维度。这也是本文档在失效模式中特别列出"内控证据链断裂"的原因。</w:t>
      </w:r>
    </w:p>
    <w:p>
      <w:pPr>
        <w:pStyle w:val="Heading2"/>
        <w:numPr>
          <w:ilvl w:val="0"/>
          <w:numId w:val="2"/>
        </w:numPr>
        <w:spacing w:after="120" w:before="360" w:line="420" w:lineRule="atLeast"/>
      </w:pPr>
      <w:r>
        <w:rPr>
          <w:rFonts w:ascii="FangSong" w:cs="FangSong" w:eastAsia="FangSong" w:hAnsi="FangSong"/>
          <w:b/>
          <w:bCs/>
          <w:sz w:val="30"/>
          <w:szCs w:val="30"/>
        </w:rPr>
        <w:t xml:space="preserve">三道防线在科技风险中的落地</w:t>
      </w:r>
    </w:p>
    <w:p>
      <w:pPr>
        <w:spacing w:after="120" w:before="360" w:line="420" w:lineRule="atLeast"/>
        <w:ind w:firstLine="567"/>
      </w:pPr>
      <w:r>
        <w:rPr>
          <w:rFonts w:ascii="FangSong" w:cs="FangSong" w:eastAsia="FangSong" w:hAnsi="FangSong"/>
          <w:sz w:val="30"/>
          <w:szCs w:val="30"/>
        </w:rPr>
        <w:t xml:space="preserve">科技风险管理中，三道防线的具体职责分工如下：</w:t>
      </w:r>
    </w:p>
    <w:tbl>
      <w:tblPr>
        <w:tblW w:type="dxa" w:w="8222"/>
        <w:tblInd w:type="dxa" w:w="680"/>
        <w:tblBorders>
          <w:top w:val="single" w:color="auto" w:sz="4"/>
          <w:left w:val="single" w:color="auto" w:sz="4"/>
          <w:bottom w:val="single" w:color="auto" w:sz="4"/>
          <w:right w:val="single" w:color="auto" w:sz="4"/>
          <w:insideH w:val="single" w:color="auto" w:sz="4"/>
          <w:insideV w:val="single" w:color="auto" w:sz="4"/>
        </w:tblBorders>
      </w:tblPr>
      <w:tblGrid>
        <w:gridCol w:w="2740"/>
        <w:gridCol w:w="2740"/>
        <w:gridCol w:w="2740"/>
      </w:tblGrid>
      <w:tr>
        <w:trPr>
          <w:tblHeader/>
        </w:trPr>
        <w:tc>
          <w:tcPr>
            <w:tcW w:type="dxa" w:w="2740"/>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防线</w:t>
            </w:r>
          </w:p>
        </w:tc>
        <w:tc>
          <w:tcPr>
            <w:tcW w:type="dxa" w:w="2740"/>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承担部门示例</w:t>
            </w:r>
          </w:p>
        </w:tc>
        <w:tc>
          <w:tcPr>
            <w:tcW w:type="dxa" w:w="2740"/>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科技风险场景下的职责</w:t>
            </w:r>
          </w:p>
        </w:tc>
      </w:tr>
      <w:tr>
        <w:trPr>
          <w:tblHeader w:val="false"/>
        </w:trPr>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第一道</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开发团队、运维团队</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执行变更审批流程、落实最小权限、实施灾备演练、按操作规程执行日常运维</w:t>
            </w:r>
          </w:p>
        </w:tc>
      </w:tr>
      <w:tr>
        <w:trPr>
          <w:tblHeader w:val="false"/>
        </w:trPr>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第二道</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科技风险管理团队</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建立科技风险评估方法论、审查制度覆盖完整性、监控关键风险指标（KRI）、开展合规检查</w:t>
            </w:r>
          </w:p>
        </w:tc>
      </w:tr>
      <w:tr>
        <w:trPr>
          <w:tblHeader w:val="false"/>
        </w:trPr>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第三道</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内部审计部门</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对科技风险管理体系整体有效性进行独立审计，评价一二道防线的履职情况，出具审计报告并跟踪整改</w:t>
            </w:r>
          </w:p>
        </w:tc>
      </w:tr>
    </w:tbl>
    <w:p>
      <w:pPr>
        <w:spacing w:after="120" w:before="60" w:line="420" w:lineRule="atLeast"/>
      </w:pPr>
    </w:p>
    <w:p>
      <w:pPr>
        <w:pStyle w:val="Heading1"/>
        <w:spacing w:after="120" w:before="360" w:line="420" w:lineRule="atLeast"/>
        <w:jc w:val="center"/>
      </w:pPr>
      <w:r>
        <w:rPr>
          <w:rFonts w:ascii="FangSong" w:cs="FangSong" w:eastAsia="FangSong" w:hAnsi="FangSong"/>
          <w:b/>
          <w:bCs/>
          <w:sz w:val="30"/>
          <w:szCs w:val="30"/>
        </w:rPr>
        <w:t xml:space="preserve">四类评估矩阵及其关系</w:t>
      </w:r>
    </w:p>
    <w:p>
      <w:pPr>
        <w:pStyle w:val="Heading2"/>
        <w:numPr>
          <w:ilvl w:val="0"/>
          <w:numId w:val="2"/>
        </w:numPr>
        <w:spacing w:after="120" w:before="60" w:line="420" w:lineRule="atLeast"/>
      </w:pPr>
      <w:r>
        <w:rPr>
          <w:rFonts w:ascii="FangSong" w:cs="FangSong" w:eastAsia="FangSong" w:hAnsi="FangSong"/>
          <w:b/>
          <w:bCs/>
          <w:sz w:val="30"/>
          <w:szCs w:val="30"/>
        </w:rPr>
        <w:t xml:space="preserve">矩阵定位</w:t>
      </w:r>
    </w:p>
    <w:p>
      <w:pPr>
        <w:spacing w:after="120" w:before="360" w:line="420" w:lineRule="atLeast"/>
        <w:ind w:firstLine="567"/>
      </w:pPr>
      <w:r>
        <w:rPr>
          <w:rFonts w:ascii="FangSong" w:cs="FangSong" w:eastAsia="FangSong" w:hAnsi="FangSong"/>
          <w:sz w:val="30"/>
          <w:szCs w:val="30"/>
        </w:rPr>
        <w:t xml:space="preserve">风险评估矩阵、合规评估矩阵、内控检查矩阵、制度执行检查矩阵，是三个管理职能及制度管理各自的结构化评估工具，在各自生命周期的评估环节中使用：</w:t>
      </w:r>
    </w:p>
    <w:tbl>
      <w:tblPr>
        <w:tblW w:type="dxa" w:w="8222"/>
        <w:tblInd w:type="dxa" w:w="680"/>
        <w:tblBorders>
          <w:top w:val="single" w:color="auto" w:sz="4"/>
          <w:left w:val="single" w:color="auto" w:sz="4"/>
          <w:bottom w:val="single" w:color="auto" w:sz="4"/>
          <w:right w:val="single" w:color="auto" w:sz="4"/>
          <w:insideH w:val="single" w:color="auto" w:sz="4"/>
          <w:insideV w:val="single" w:color="auto" w:sz="4"/>
        </w:tblBorders>
      </w:tblPr>
      <w:tblGrid>
        <w:gridCol w:w="2055"/>
        <w:gridCol w:w="2055"/>
        <w:gridCol w:w="2055"/>
        <w:gridCol w:w="2055"/>
      </w:tblGrid>
      <w:tr>
        <w:trPr>
          <w:tblHeader/>
        </w:trPr>
        <w:tc>
          <w:tcPr>
            <w:tcW w:type="dxa" w:w="2055"/>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矩阵</w:t>
            </w:r>
          </w:p>
        </w:tc>
        <w:tc>
          <w:tcPr>
            <w:tcW w:type="dxa" w:w="2055"/>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对应概念</w:t>
            </w:r>
          </w:p>
        </w:tc>
        <w:tc>
          <w:tcPr>
            <w:tcW w:type="dxa" w:w="2055"/>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在生命周期中的位置</w:t>
            </w:r>
          </w:p>
        </w:tc>
        <w:tc>
          <w:tcPr>
            <w:tcW w:type="dxa" w:w="2055"/>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核心输出</w:t>
            </w:r>
          </w:p>
        </w:tc>
      </w:tr>
      <w:tr>
        <w:trPr>
          <w:tblHeader w:val="false"/>
        </w:trPr>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风险评估矩阵</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风险管理</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风险评估环节</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风险等级清单、残余风险评级</w:t>
            </w:r>
          </w:p>
        </w:tc>
      </w:tr>
      <w:tr>
        <w:trPr>
          <w:tblHeader w:val="false"/>
        </w:trPr>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合规评估矩阵</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合规管理</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合规审查与验证环节</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合规缺口清单、整改优先级</w:t>
            </w:r>
          </w:p>
        </w:tc>
      </w:tr>
      <w:tr>
        <w:trPr>
          <w:tblHeader w:val="false"/>
        </w:trPr>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内控检查矩阵</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内控</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内控评价环节</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内控有效性评级、证据完整性状态</w:t>
            </w:r>
          </w:p>
        </w:tc>
      </w:tr>
      <w:tr>
        <w:trPr>
          <w:tblHeader w:val="false"/>
        </w:trPr>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制度执行检查矩阵</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制度</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制度执行监督（非独立职能）</w:t>
            </w:r>
          </w:p>
        </w:tc>
        <w:tc>
          <w:tcPr>
            <w:tcW w:type="dxa" w:w="2055"/>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执行缺口清单、制度修订需求</w:t>
            </w:r>
          </w:p>
        </w:tc>
      </w:tr>
    </w:tbl>
    <w:p>
      <w:pPr>
        <w:spacing w:after="120" w:before="60" w:line="420" w:lineRule="atLeast"/>
      </w:pPr>
    </w:p>
    <w:p>
      <w:pPr>
        <w:spacing w:after="120" w:before="360" w:line="420" w:lineRule="atLeast"/>
        <w:ind w:firstLine="567"/>
      </w:pPr>
      <w:r>
        <w:rPr>
          <w:rFonts w:ascii="FangSong" w:cs="FangSong" w:eastAsia="FangSong" w:hAnsi="FangSong"/>
          <w:sz w:val="30"/>
          <w:szCs w:val="30"/>
        </w:rPr>
        <w:t xml:space="preserve">注：制度执行检查矩阵虽与三职能矩阵并列呈现，但制度本身不是独立管理职能（见 2.2 节）；该矩阵是附着于三职能协同的辅助工具，其结果经流⑦汇入内控检查矩阵。</w:t>
      </w:r>
    </w:p>
    <w:p>
      <w:pPr>
        <w:spacing w:after="120" w:before="360" w:line="420" w:lineRule="atLeast"/>
        <w:ind w:firstLine="567"/>
      </w:pPr>
      <w:r>
        <w:rPr>
          <w:rFonts w:ascii="FangSong" w:cs="FangSong" w:eastAsia="FangSong" w:hAnsi="FangSong"/>
          <w:sz w:val="30"/>
          <w:szCs w:val="30"/>
        </w:rPr>
        <w:t xml:space="preserve">四类矩阵之间的信息流转，是第 5.1 节三职能信息交互在操作层的具体实现。矩阵输出结果即各职能间信息交互的载体。</w:t>
      </w:r>
    </w:p>
    <w:p>
      <w:pPr>
        <w:pStyle w:val="Heading2"/>
        <w:numPr>
          <w:ilvl w:val="0"/>
          <w:numId w:val="2"/>
        </w:numPr>
        <w:spacing w:after="120" w:before="360" w:line="420" w:lineRule="atLeast"/>
      </w:pPr>
      <w:r>
        <w:rPr>
          <w:rFonts w:ascii="FangSong" w:cs="FangSong" w:eastAsia="FangSong" w:hAnsi="FangSong"/>
          <w:b/>
          <w:bCs/>
          <w:sz w:val="30"/>
          <w:szCs w:val="30"/>
        </w:rPr>
        <w:t xml:space="preserve">各矩阵说明与示例</w:t>
      </w:r>
    </w:p>
    <w:p>
      <w:pPr>
        <w:spacing w:after="120" w:before="360" w:line="420" w:lineRule="atLeast"/>
        <w:ind w:firstLine="567"/>
      </w:pPr>
      <w:r>
        <w:rPr>
          <w:rFonts w:ascii="FangSong" w:cs="FangSong" w:eastAsia="FangSong" w:hAnsi="FangSong"/>
          <w:sz w:val="30"/>
          <w:szCs w:val="30"/>
        </w:rPr>
        <w:t xml:space="preserve">以下四个矩阵示例均采用同一场景（变更管理），以便对照理解各矩阵的视角差异。</w:t>
      </w:r>
    </w:p>
    <w:p>
      <w:pPr>
        <w:pStyle w:val="Heading3"/>
        <w:numPr>
          <w:ilvl w:val="1"/>
          <w:numId w:val="2"/>
        </w:numPr>
        <w:spacing w:after="120" w:before="360" w:line="420" w:lineRule="atLeast"/>
      </w:pPr>
      <w:r>
        <w:rPr>
          <w:rFonts w:ascii="FangSong" w:cs="FangSong" w:eastAsia="FangSong" w:hAnsi="FangSong"/>
          <w:b/>
          <w:bCs/>
          <w:sz w:val="30"/>
          <w:szCs w:val="30"/>
        </w:rPr>
        <w:t xml:space="preserve">风险评估矩阵</w:t>
      </w:r>
    </w:p>
    <w:p>
      <w:pPr>
        <w:spacing w:after="120" w:before="360" w:line="420" w:lineRule="atLeast"/>
        <w:ind w:firstLine="567"/>
      </w:pPr>
      <w:r>
        <w:rPr>
          <w:rFonts w:ascii="FangSong" w:cs="FangSong" w:eastAsia="FangSong" w:hAnsi="FangSong"/>
          <w:b/>
          <w:bCs/>
          <w:sz w:val="30"/>
          <w:szCs w:val="30"/>
        </w:rPr>
        <w:t xml:space="preserve">用途</w:t>
      </w:r>
      <w:r>
        <w:rPr>
          <w:rFonts w:ascii="FangSong" w:cs="FangSong" w:eastAsia="FangSong" w:hAnsi="FangSong"/>
          <w:sz w:val="30"/>
          <w:szCs w:val="30"/>
        </w:rPr>
        <w:t xml:space="preserve">：对风险场景进行概率 × 影响的二维评估，输出风险等级，驱动风险应对优先级决策。</w:t>
      </w:r>
    </w:p>
    <w:p>
      <w:pPr>
        <w:spacing w:after="120" w:before="360" w:line="420" w:lineRule="atLeast"/>
        <w:ind w:firstLine="567"/>
      </w:pPr>
      <w:r>
        <w:rPr>
          <w:rFonts w:ascii="FangSong" w:cs="FangSong" w:eastAsia="FangSong" w:hAnsi="FangSong"/>
          <w:b/>
          <w:bCs/>
          <w:sz w:val="30"/>
          <w:szCs w:val="30"/>
        </w:rPr>
        <w:t xml:space="preserve">核心维度</w:t>
      </w:r>
      <w:r>
        <w:rPr>
          <w:rFonts w:ascii="FangSong" w:cs="FangSong" w:eastAsia="FangSong" w:hAnsi="FangSong"/>
          <w:sz w:val="30"/>
          <w:szCs w:val="30"/>
        </w:rPr>
        <w:t xml:space="preserve">：风险场景、发生概率（1—5 级）、影响程度（1—5 级）、风险等级（概率 × 影响）、应对策略。</w:t>
      </w:r>
    </w:p>
    <w:p>
      <w:pPr>
        <w:spacing w:after="120" w:before="360" w:line="420" w:lineRule="atLeast"/>
        <w:ind w:firstLine="567"/>
      </w:pPr>
      <w:r>
        <w:rPr>
          <w:rFonts w:ascii="FangSong" w:cs="FangSong" w:eastAsia="FangSong" w:hAnsi="FangSong"/>
          <w:b/>
          <w:bCs/>
          <w:sz w:val="30"/>
          <w:szCs w:val="30"/>
        </w:rPr>
        <w:t xml:space="preserve">评级规则</w:t>
      </w:r>
      <w:r>
        <w:rPr>
          <w:rFonts w:ascii="FangSong" w:cs="FangSong" w:eastAsia="FangSong" w:hAnsi="FangSong"/>
          <w:sz w:val="30"/>
          <w:szCs w:val="30"/>
        </w:rPr>
        <w:t xml:space="preserve">：</w:t>
      </w:r>
    </w:p>
    <w:tbl>
      <w:tblPr>
        <w:tblW w:type="dxa" w:w="8222"/>
        <w:tblInd w:type="dxa" w:w="680"/>
        <w:tblBorders>
          <w:top w:val="single" w:color="auto" w:sz="4"/>
          <w:left w:val="single" w:color="auto" w:sz="4"/>
          <w:bottom w:val="single" w:color="auto" w:sz="4"/>
          <w:right w:val="single" w:color="auto" w:sz="4"/>
          <w:insideH w:val="single" w:color="auto" w:sz="4"/>
          <w:insideV w:val="single" w:color="auto" w:sz="4"/>
        </w:tblBorders>
      </w:tblPr>
      <w:tblGrid>
        <w:gridCol w:w="2740"/>
        <w:gridCol w:w="2740"/>
        <w:gridCol w:w="2740"/>
      </w:tblGrid>
      <w:tr>
        <w:trPr>
          <w:tblHeader/>
        </w:trPr>
        <w:tc>
          <w:tcPr>
            <w:tcW w:type="dxa" w:w="2740"/>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风险等级</w:t>
            </w:r>
          </w:p>
        </w:tc>
        <w:tc>
          <w:tcPr>
            <w:tcW w:type="dxa" w:w="2740"/>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分值区间</w:t>
            </w:r>
          </w:p>
        </w:tc>
        <w:tc>
          <w:tcPr>
            <w:tcW w:type="dxa" w:w="2740"/>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处置要求</w:t>
            </w:r>
          </w:p>
        </w:tc>
      </w:tr>
      <w:tr>
        <w:trPr>
          <w:tblHeader w:val="false"/>
        </w:trPr>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极高</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 16</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立即应对，优先设计强内控，合规重点关注</w:t>
            </w:r>
          </w:p>
        </w:tc>
      </w:tr>
      <w:tr>
        <w:trPr>
          <w:tblHeader w:val="false"/>
        </w:trPr>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高</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8—15</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本季度内完成应对策略，纳入内控重点检查</w:t>
            </w:r>
          </w:p>
        </w:tc>
      </w:tr>
      <w:tr>
        <w:trPr>
          <w:tblHeader w:val="false"/>
        </w:trPr>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中</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4—7</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纳入常规内控覆盖范围</w:t>
            </w:r>
          </w:p>
        </w:tc>
      </w:tr>
      <w:tr>
        <w:trPr>
          <w:tblHeader w:val="false"/>
        </w:trPr>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低</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 3</w:t>
            </w:r>
          </w:p>
        </w:tc>
        <w:tc>
          <w:tcPr>
            <w:tcW w:type="dxa" w:w="2740"/>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接受或记录，定期复审</w:t>
            </w:r>
          </w:p>
        </w:tc>
      </w:tr>
    </w:tbl>
    <w:p>
      <w:pPr>
        <w:spacing w:after="120" w:before="60" w:line="420" w:lineRule="atLeast"/>
      </w:pPr>
    </w:p>
    <w:p>
      <w:pPr>
        <w:spacing w:after="120" w:before="360" w:line="420" w:lineRule="atLeast"/>
        <w:ind w:firstLine="567"/>
      </w:pPr>
      <w:r>
        <w:rPr>
          <w:rFonts w:ascii="FangSong" w:cs="FangSong" w:eastAsia="FangSong" w:hAnsi="FangSong"/>
          <w:sz w:val="30"/>
          <w:szCs w:val="30"/>
        </w:rPr>
        <w:t xml:space="preserve">变更管理场景示例：</w:t>
      </w:r>
    </w:p>
    <w:tbl>
      <w:tblPr>
        <w:tblW w:type="dxa" w:w="8222"/>
        <w:tblInd w:type="dxa" w:w="680"/>
        <w:tblBorders>
          <w:top w:val="single" w:color="auto" w:sz="4"/>
          <w:left w:val="single" w:color="auto" w:sz="4"/>
          <w:bottom w:val="single" w:color="auto" w:sz="4"/>
          <w:right w:val="single" w:color="auto" w:sz="4"/>
          <w:insideH w:val="single" w:color="auto" w:sz="4"/>
          <w:insideV w:val="single" w:color="auto" w:sz="4"/>
        </w:tblBorders>
      </w:tblPr>
      <w:tblGrid>
        <w:gridCol w:w="1644"/>
        <w:gridCol w:w="1644"/>
        <w:gridCol w:w="1644"/>
        <w:gridCol w:w="1644"/>
        <w:gridCol w:w="1644"/>
      </w:tblGrid>
      <w:tr>
        <w:trPr>
          <w:tblHeader/>
        </w:trPr>
        <w:tc>
          <w:tcPr>
            <w:tcW w:type="dxa" w:w="1644"/>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风险场景</w:t>
            </w:r>
          </w:p>
        </w:tc>
        <w:tc>
          <w:tcPr>
            <w:tcW w:type="dxa" w:w="1644"/>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发生概率</w:t>
            </w:r>
          </w:p>
        </w:tc>
        <w:tc>
          <w:tcPr>
            <w:tcW w:type="dxa" w:w="1644"/>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影响程度</w:t>
            </w:r>
          </w:p>
        </w:tc>
        <w:tc>
          <w:tcPr>
            <w:tcW w:type="dxa" w:w="1644"/>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风险等级</w:t>
            </w:r>
          </w:p>
        </w:tc>
        <w:tc>
          <w:tcPr>
            <w:tcW w:type="dxa" w:w="1644"/>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应对策略</w:t>
            </w:r>
          </w:p>
        </w:tc>
      </w:tr>
      <w:tr>
        <w:trPr>
          <w:tblHeader w:val="false"/>
        </w:trPr>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生产变更引发系统宕机</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3</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5</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高（15）</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变更双人审核、回退方案预审</w:t>
            </w:r>
          </w:p>
        </w:tc>
      </w:tr>
      <w:tr>
        <w:trPr>
          <w:tblHeader w:val="false"/>
        </w:trPr>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未授权变更操作</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2</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4</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高（8）</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生产权限最小化、操作日志审计</w:t>
            </w:r>
          </w:p>
        </w:tc>
      </w:tr>
      <w:tr>
        <w:trPr>
          <w:tblHeader w:val="false"/>
        </w:trPr>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变更窗口外操作</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2</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3</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中（6）</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审批管控、窗口时间锁</w:t>
            </w:r>
          </w:p>
        </w:tc>
      </w:tr>
      <w:tr>
        <w:trPr>
          <w:tblHeader w:val="false"/>
        </w:trPr>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变更文档缺失</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3</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2</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中（6）</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变更申请模板强制填写、提交前校验</w:t>
            </w:r>
          </w:p>
        </w:tc>
      </w:tr>
      <w:tr>
        <w:trPr>
          <w:tblHeader w:val="false"/>
        </w:trPr>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外包人员越权操作</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1</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5</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中（5）</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访问权限隔离、全程录屏、操作审批</w:t>
            </w:r>
          </w:p>
        </w:tc>
      </w:tr>
    </w:tbl>
    <w:p>
      <w:pPr>
        <w:spacing w:after="120" w:before="60" w:line="420" w:lineRule="atLeast"/>
      </w:pPr>
    </w:p>
    <w:p>
      <w:pPr>
        <w:pStyle w:val="Heading3"/>
        <w:numPr>
          <w:ilvl w:val="1"/>
          <w:numId w:val="2"/>
        </w:numPr>
        <w:spacing w:after="120" w:before="360" w:line="420" w:lineRule="atLeast"/>
      </w:pPr>
      <w:r>
        <w:rPr>
          <w:rFonts w:ascii="FangSong" w:cs="FangSong" w:eastAsia="FangSong" w:hAnsi="FangSong"/>
          <w:b/>
          <w:bCs/>
          <w:sz w:val="30"/>
          <w:szCs w:val="30"/>
        </w:rPr>
        <w:t xml:space="preserve">合规评估矩阵</w:t>
      </w:r>
    </w:p>
    <w:p>
      <w:pPr>
        <w:spacing w:after="120" w:before="360" w:line="420" w:lineRule="atLeast"/>
        <w:ind w:firstLine="567"/>
      </w:pPr>
      <w:r>
        <w:rPr>
          <w:rFonts w:ascii="FangSong" w:cs="FangSong" w:eastAsia="FangSong" w:hAnsi="FangSong"/>
          <w:b/>
          <w:bCs/>
          <w:sz w:val="30"/>
          <w:szCs w:val="30"/>
        </w:rPr>
        <w:t xml:space="preserve">用途</w:t>
      </w:r>
      <w:r>
        <w:rPr>
          <w:rFonts w:ascii="FangSong" w:cs="FangSong" w:eastAsia="FangSong" w:hAnsi="FangSong"/>
          <w:sz w:val="30"/>
          <w:szCs w:val="30"/>
        </w:rPr>
        <w:t xml:space="preserve">：将外部监管要求逐项映射至当前符合状态，识别合规缺口，确定整改优先级。</w:t>
      </w:r>
    </w:p>
    <w:p>
      <w:pPr>
        <w:spacing w:after="120" w:before="360" w:line="420" w:lineRule="atLeast"/>
        <w:ind w:firstLine="567"/>
      </w:pPr>
      <w:r>
        <w:rPr>
          <w:rFonts w:ascii="FangSong" w:cs="FangSong" w:eastAsia="FangSong" w:hAnsi="FangSong"/>
          <w:b/>
          <w:bCs/>
          <w:sz w:val="30"/>
          <w:szCs w:val="30"/>
        </w:rPr>
        <w:t xml:space="preserve">核心维度</w:t>
      </w:r>
      <w:r>
        <w:rPr>
          <w:rFonts w:ascii="FangSong" w:cs="FangSong" w:eastAsia="FangSong" w:hAnsi="FangSong"/>
          <w:sz w:val="30"/>
          <w:szCs w:val="30"/>
        </w:rPr>
        <w:t xml:space="preserve">：监管要求、监管来源、符合状态（完全符合 / 部分符合 / 不符合）、缺口描述、整改优先级。</w:t>
      </w:r>
    </w:p>
    <w:p>
      <w:pPr>
        <w:spacing w:after="120" w:before="360" w:line="420" w:lineRule="atLeast"/>
        <w:ind w:firstLine="567"/>
      </w:pPr>
      <w:r>
        <w:rPr>
          <w:rFonts w:ascii="FangSong" w:cs="FangSong" w:eastAsia="FangSong" w:hAnsi="FangSong"/>
          <w:b/>
          <w:bCs/>
          <w:sz w:val="30"/>
          <w:szCs w:val="30"/>
        </w:rPr>
        <w:t xml:space="preserve">整改优先级规则</w:t>
      </w:r>
      <w:r>
        <w:rPr>
          <w:rFonts w:ascii="FangSong" w:cs="FangSong" w:eastAsia="FangSong" w:hAnsi="FangSong"/>
          <w:sz w:val="30"/>
          <w:szCs w:val="30"/>
        </w:rPr>
        <w:t xml:space="preserve">：不符合 → 高；部分符合 → 中；完全符合 → 无需整改。</w:t>
      </w:r>
    </w:p>
    <w:p>
      <w:pPr>
        <w:spacing w:after="120" w:before="360" w:line="420" w:lineRule="atLeast"/>
        <w:ind w:firstLine="567"/>
      </w:pPr>
      <w:r>
        <w:rPr>
          <w:rFonts w:ascii="FangSong" w:cs="FangSong" w:eastAsia="FangSong" w:hAnsi="FangSong"/>
          <w:sz w:val="30"/>
          <w:szCs w:val="30"/>
        </w:rPr>
        <w:t xml:space="preserve">变更管理场景示例：</w:t>
      </w:r>
    </w:p>
    <w:tbl>
      <w:tblPr>
        <w:tblW w:type="dxa" w:w="8222"/>
        <w:tblInd w:type="dxa" w:w="680"/>
        <w:tblBorders>
          <w:top w:val="single" w:color="auto" w:sz="4"/>
          <w:left w:val="single" w:color="auto" w:sz="4"/>
          <w:bottom w:val="single" w:color="auto" w:sz="4"/>
          <w:right w:val="single" w:color="auto" w:sz="4"/>
          <w:insideH w:val="single" w:color="auto" w:sz="4"/>
          <w:insideV w:val="single" w:color="auto" w:sz="4"/>
        </w:tblBorders>
      </w:tblPr>
      <w:tblGrid>
        <w:gridCol w:w="1644"/>
        <w:gridCol w:w="1644"/>
        <w:gridCol w:w="1644"/>
        <w:gridCol w:w="1644"/>
        <w:gridCol w:w="1644"/>
      </w:tblGrid>
      <w:tr>
        <w:trPr>
          <w:tblHeader/>
        </w:trPr>
        <w:tc>
          <w:tcPr>
            <w:tcW w:type="dxa" w:w="1644"/>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监管要求</w:t>
            </w:r>
          </w:p>
        </w:tc>
        <w:tc>
          <w:tcPr>
            <w:tcW w:type="dxa" w:w="1644"/>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监管来源</w:t>
            </w:r>
          </w:p>
        </w:tc>
        <w:tc>
          <w:tcPr>
            <w:tcW w:type="dxa" w:w="1644"/>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符合状态</w:t>
            </w:r>
          </w:p>
        </w:tc>
        <w:tc>
          <w:tcPr>
            <w:tcW w:type="dxa" w:w="1644"/>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缺口描述</w:t>
            </w:r>
          </w:p>
        </w:tc>
        <w:tc>
          <w:tcPr>
            <w:tcW w:type="dxa" w:w="1644"/>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整改优先级</w:t>
            </w:r>
          </w:p>
        </w:tc>
      </w:tr>
      <w:tr>
        <w:trPr>
          <w:tblHeader w:val="false"/>
        </w:trPr>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变更须建立书面管理流程</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《信息科技风险管理指引》</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完全符合</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w:t>
            </w:r>
          </w:p>
        </w:tc>
      </w:tr>
      <w:tr>
        <w:trPr>
          <w:tblHeader w:val="false"/>
        </w:trPr>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重大变更须经充分测试</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同上</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部分符合</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重大变更认定标准不统一</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中</w:t>
            </w:r>
          </w:p>
        </w:tc>
      </w:tr>
      <w:tr>
        <w:trPr>
          <w:tblHeader w:val="false"/>
        </w:trPr>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紧急变更须事后补办审批</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同上</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不符合</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补审批率不足50%</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高</w:t>
            </w:r>
          </w:p>
        </w:tc>
      </w:tr>
      <w:tr>
        <w:trPr>
          <w:tblHeader w:val="false"/>
        </w:trPr>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变更记录须保存至少一年</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同上</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完全符合</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w:t>
            </w:r>
          </w:p>
        </w:tc>
      </w:tr>
      <w:tr>
        <w:trPr>
          <w:tblHeader w:val="false"/>
        </w:trPr>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重大变更须向监管机构报告</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《网络安全法》</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部分符合</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报告触发条件未在制度中明确定义</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中</w:t>
            </w:r>
          </w:p>
        </w:tc>
      </w:tr>
    </w:tbl>
    <w:p>
      <w:pPr>
        <w:spacing w:after="120" w:before="60" w:line="420" w:lineRule="atLeast"/>
      </w:pPr>
    </w:p>
    <w:p>
      <w:pPr>
        <w:pStyle w:val="Heading3"/>
        <w:numPr>
          <w:ilvl w:val="1"/>
          <w:numId w:val="2"/>
        </w:numPr>
        <w:spacing w:after="120" w:before="360" w:line="420" w:lineRule="atLeast"/>
      </w:pPr>
      <w:r>
        <w:rPr>
          <w:rFonts w:ascii="FangSong" w:cs="FangSong" w:eastAsia="FangSong" w:hAnsi="FangSong"/>
          <w:b/>
          <w:bCs/>
          <w:sz w:val="30"/>
          <w:szCs w:val="30"/>
        </w:rPr>
        <w:t xml:space="preserve">内控检查矩阵</w:t>
      </w:r>
    </w:p>
    <w:p>
      <w:pPr>
        <w:spacing w:after="120" w:before="360" w:line="420" w:lineRule="atLeast"/>
        <w:ind w:firstLine="567"/>
      </w:pPr>
      <w:r>
        <w:rPr>
          <w:rFonts w:ascii="FangSong" w:cs="FangSong" w:eastAsia="FangSong" w:hAnsi="FangSong"/>
          <w:b/>
          <w:bCs/>
          <w:sz w:val="30"/>
          <w:szCs w:val="30"/>
        </w:rPr>
        <w:t xml:space="preserve">用途</w:t>
      </w:r>
      <w:r>
        <w:rPr>
          <w:rFonts w:ascii="FangSong" w:cs="FangSong" w:eastAsia="FangSong" w:hAnsi="FangSong"/>
          <w:sz w:val="30"/>
          <w:szCs w:val="30"/>
        </w:rPr>
        <w:t xml:space="preserve">：对已设计的控制措施评估设计有效性（能否达到控制目标）和运行有效性（是否实际生效），并核查证据完整性。</w:t>
      </w:r>
    </w:p>
    <w:p>
      <w:pPr>
        <w:spacing w:after="120" w:before="360" w:line="420" w:lineRule="atLeast"/>
        <w:ind w:firstLine="567"/>
      </w:pPr>
      <w:r>
        <w:rPr>
          <w:rFonts w:ascii="FangSong" w:cs="FangSong" w:eastAsia="FangSong" w:hAnsi="FangSong"/>
          <w:b/>
          <w:bCs/>
          <w:sz w:val="30"/>
          <w:szCs w:val="30"/>
        </w:rPr>
        <w:t xml:space="preserve">核心维度</w:t>
      </w:r>
      <w:r>
        <w:rPr>
          <w:rFonts w:ascii="FangSong" w:cs="FangSong" w:eastAsia="FangSong" w:hAnsi="FangSong"/>
          <w:sz w:val="30"/>
          <w:szCs w:val="30"/>
        </w:rPr>
        <w:t xml:space="preserve">：控制目标、控制措施、控制类型（预防性 / 检测性 / 纠正性）、设计有效性、运行有效性、证据完整性、综合评价。</w:t>
      </w:r>
    </w:p>
    <w:p>
      <w:pPr>
        <w:spacing w:after="120" w:before="360" w:line="420" w:lineRule="atLeast"/>
        <w:ind w:firstLine="567"/>
      </w:pPr>
      <w:r>
        <w:rPr>
          <w:rFonts w:ascii="FangSong" w:cs="FangSong" w:eastAsia="FangSong" w:hAnsi="FangSong"/>
          <w:b/>
          <w:bCs/>
          <w:sz w:val="30"/>
          <w:szCs w:val="30"/>
        </w:rPr>
        <w:t xml:space="preserve">综合评价规则</w:t>
      </w:r>
      <w:r>
        <w:rPr>
          <w:rFonts w:ascii="FangSong" w:cs="FangSong" w:eastAsia="FangSong" w:hAnsi="FangSong"/>
          <w:sz w:val="30"/>
          <w:szCs w:val="30"/>
        </w:rPr>
        <w:t xml:space="preserve">：三个维度均充分 / 有效 / 完整 → 有效；任一维度存在缺陷 → 需改进；多个维度存在缺陷 → 无效。</w:t>
      </w:r>
    </w:p>
    <w:p>
      <w:pPr>
        <w:spacing w:after="120" w:before="360" w:line="420" w:lineRule="atLeast"/>
        <w:ind w:firstLine="567"/>
      </w:pPr>
      <w:r>
        <w:rPr>
          <w:rFonts w:ascii="FangSong" w:cs="FangSong" w:eastAsia="FangSong" w:hAnsi="FangSong"/>
          <w:sz w:val="30"/>
          <w:szCs w:val="30"/>
        </w:rPr>
        <w:t xml:space="preserve">变更管理场景示例：</w:t>
      </w:r>
    </w:p>
    <w:tbl>
      <w:tblPr>
        <w:tblW w:type="dxa" w:w="8222"/>
        <w:tblInd w:type="dxa" w:w="680"/>
        <w:tblBorders>
          <w:top w:val="single" w:color="auto" w:sz="4"/>
          <w:left w:val="single" w:color="auto" w:sz="4"/>
          <w:bottom w:val="single" w:color="auto" w:sz="4"/>
          <w:right w:val="single" w:color="auto" w:sz="4"/>
          <w:insideH w:val="single" w:color="auto" w:sz="4"/>
          <w:insideV w:val="single" w:color="auto" w:sz="4"/>
        </w:tblBorders>
      </w:tblPr>
      <w:tblGrid>
        <w:gridCol w:w="1174"/>
        <w:gridCol w:w="1174"/>
        <w:gridCol w:w="1174"/>
        <w:gridCol w:w="1174"/>
        <w:gridCol w:w="1174"/>
        <w:gridCol w:w="1174"/>
        <w:gridCol w:w="1174"/>
      </w:tblGrid>
      <w:tr>
        <w:trPr>
          <w:tblHeader/>
        </w:trPr>
        <w:tc>
          <w:tcPr>
            <w:tcW w:type="dxa" w:w="1174"/>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控制目标</w:t>
            </w:r>
          </w:p>
        </w:tc>
        <w:tc>
          <w:tcPr>
            <w:tcW w:type="dxa" w:w="1174"/>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控制措施</w:t>
            </w:r>
          </w:p>
        </w:tc>
        <w:tc>
          <w:tcPr>
            <w:tcW w:type="dxa" w:w="1174"/>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控制类型</w:t>
            </w:r>
          </w:p>
        </w:tc>
        <w:tc>
          <w:tcPr>
            <w:tcW w:type="dxa" w:w="1174"/>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设计有效性</w:t>
            </w:r>
          </w:p>
        </w:tc>
        <w:tc>
          <w:tcPr>
            <w:tcW w:type="dxa" w:w="1174"/>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运行有效性</w:t>
            </w:r>
          </w:p>
        </w:tc>
        <w:tc>
          <w:tcPr>
            <w:tcW w:type="dxa" w:w="1174"/>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证据完整性</w:t>
            </w:r>
          </w:p>
        </w:tc>
        <w:tc>
          <w:tcPr>
            <w:tcW w:type="dxa" w:w="1174"/>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综合评价</w:t>
            </w:r>
          </w:p>
        </w:tc>
      </w:tr>
      <w:tr>
        <w:trPr>
          <w:tblHeader w:val="false"/>
        </w:trPr>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防止未授权变更</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变更双人审核</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预防性</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充分</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有效</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完整（审批记录可查）</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有效</w:t>
            </w:r>
          </w:p>
        </w:tc>
      </w:tr>
      <w:tr>
        <w:trPr>
          <w:tblHeader w:val="false"/>
        </w:trPr>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防止窗口外操作</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变更窗口时间锁</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预防性</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充分</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部分有效</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不完整（3次绕过无报告记录）</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需改进</w:t>
            </w:r>
          </w:p>
        </w:tc>
      </w:tr>
      <w:tr>
        <w:trPr>
          <w:tblHeader w:val="false"/>
        </w:trPr>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确保变更可回退</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高风险变更回退预审</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预防性</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充分</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有效</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完整（回退方案留档）</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有效</w:t>
            </w:r>
          </w:p>
        </w:tc>
      </w:tr>
      <w:tr>
        <w:trPr>
          <w:tblHeader w:val="false"/>
        </w:trPr>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检测变更异常</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变更后监控告警</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检测性</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部分充分</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部分有效</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不完整（告警覆盖率60%）</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需改进</w:t>
            </w:r>
          </w:p>
        </w:tc>
      </w:tr>
      <w:tr>
        <w:trPr>
          <w:tblHeader w:val="false"/>
        </w:trPr>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修复失控变更</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紧急回滚流程</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纠正性</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充分</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有效</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完整（演练记录可查）</w:t>
            </w:r>
          </w:p>
        </w:tc>
        <w:tc>
          <w:tcPr>
            <w:tcW w:type="dxa" w:w="117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有效</w:t>
            </w:r>
          </w:p>
        </w:tc>
      </w:tr>
    </w:tbl>
    <w:p>
      <w:pPr>
        <w:spacing w:after="120" w:before="60" w:line="420" w:lineRule="atLeast"/>
      </w:pPr>
    </w:p>
    <w:p>
      <w:pPr>
        <w:pStyle w:val="Heading3"/>
        <w:numPr>
          <w:ilvl w:val="1"/>
          <w:numId w:val="2"/>
        </w:numPr>
        <w:spacing w:after="120" w:before="360" w:line="420" w:lineRule="atLeast"/>
      </w:pPr>
      <w:r>
        <w:rPr>
          <w:rFonts w:ascii="FangSong" w:cs="FangSong" w:eastAsia="FangSong" w:hAnsi="FangSong"/>
          <w:b/>
          <w:bCs/>
          <w:sz w:val="30"/>
          <w:szCs w:val="30"/>
        </w:rPr>
        <w:t xml:space="preserve">制度执行检查矩阵</w:t>
      </w:r>
    </w:p>
    <w:p>
      <w:pPr>
        <w:spacing w:after="120" w:before="360" w:line="420" w:lineRule="atLeast"/>
        <w:ind w:firstLine="567"/>
      </w:pPr>
      <w:r>
        <w:rPr>
          <w:rFonts w:ascii="FangSong" w:cs="FangSong" w:eastAsia="FangSong" w:hAnsi="FangSong"/>
          <w:b/>
          <w:bCs/>
          <w:sz w:val="30"/>
          <w:szCs w:val="30"/>
        </w:rPr>
        <w:t xml:space="preserve">用途</w:t>
      </w:r>
      <w:r>
        <w:rPr>
          <w:rFonts w:ascii="FangSong" w:cs="FangSong" w:eastAsia="FangSong" w:hAnsi="FangSong"/>
          <w:sz w:val="30"/>
          <w:szCs w:val="30"/>
        </w:rPr>
        <w:t xml:space="preserve">：对制度条款的实际执行情况进行抽样检查，识别执行缺口，为制度修订和内控优化提供依据。</w:t>
      </w:r>
    </w:p>
    <w:p>
      <w:pPr>
        <w:spacing w:after="120" w:before="360" w:line="420" w:lineRule="atLeast"/>
        <w:ind w:firstLine="567"/>
      </w:pPr>
      <w:r>
        <w:rPr>
          <w:rFonts w:ascii="FangSong" w:cs="FangSong" w:eastAsia="FangSong" w:hAnsi="FangSong"/>
          <w:b/>
          <w:bCs/>
          <w:sz w:val="30"/>
          <w:szCs w:val="30"/>
        </w:rPr>
        <w:t xml:space="preserve">核心维度</w:t>
      </w:r>
      <w:r>
        <w:rPr>
          <w:rFonts w:ascii="FangSong" w:cs="FangSong" w:eastAsia="FangSong" w:hAnsi="FangSong"/>
          <w:sz w:val="30"/>
          <w:szCs w:val="30"/>
        </w:rPr>
        <w:t xml:space="preserve">：制度条款、制度来源、执行情况（已执行 / 部分执行 / 未执行）、抽样发现、缺口成因。</w:t>
      </w:r>
    </w:p>
    <w:p>
      <w:pPr>
        <w:spacing w:after="120" w:before="360" w:line="420" w:lineRule="atLeast"/>
        <w:ind w:firstLine="567"/>
      </w:pPr>
      <w:r>
        <w:rPr>
          <w:rFonts w:ascii="FangSong" w:cs="FangSong" w:eastAsia="FangSong" w:hAnsi="FangSong"/>
          <w:b/>
          <w:bCs/>
          <w:sz w:val="30"/>
          <w:szCs w:val="30"/>
        </w:rPr>
        <w:t xml:space="preserve">与内控检查矩阵的区别</w:t>
      </w:r>
      <w:r>
        <w:rPr>
          <w:rFonts w:ascii="FangSong" w:cs="FangSong" w:eastAsia="FangSong" w:hAnsi="FangSong"/>
          <w:sz w:val="30"/>
          <w:szCs w:val="30"/>
        </w:rPr>
        <w:t xml:space="preserve">：内控检查矩阵关注控制措施的"有效性"（含设计层面），覆盖所有控制形式（制度、系统配置、技术架构等）；制度执行检查矩阵仅关注制度条款的"执行符合率"（运行层面抽样验证）。制度执行检查的结果是内控检查矩阵中"运行有效性"评估的关键输入之一。</w:t>
      </w:r>
    </w:p>
    <w:p>
      <w:pPr>
        <w:spacing w:after="120" w:before="360" w:line="420" w:lineRule="atLeast"/>
        <w:ind w:firstLine="567"/>
      </w:pPr>
      <w:r>
        <w:rPr>
          <w:rFonts w:ascii="FangSong" w:cs="FangSong" w:eastAsia="FangSong" w:hAnsi="FangSong"/>
          <w:sz w:val="30"/>
          <w:szCs w:val="30"/>
        </w:rPr>
        <w:t xml:space="preserve">变更管理场景示例（本期抽查30笔）：</w:t>
      </w:r>
    </w:p>
    <w:tbl>
      <w:tblPr>
        <w:tblW w:type="dxa" w:w="8222"/>
        <w:tblInd w:type="dxa" w:w="680"/>
        <w:tblBorders>
          <w:top w:val="single" w:color="auto" w:sz="4"/>
          <w:left w:val="single" w:color="auto" w:sz="4"/>
          <w:bottom w:val="single" w:color="auto" w:sz="4"/>
          <w:right w:val="single" w:color="auto" w:sz="4"/>
          <w:insideH w:val="single" w:color="auto" w:sz="4"/>
          <w:insideV w:val="single" w:color="auto" w:sz="4"/>
        </w:tblBorders>
      </w:tblPr>
      <w:tblGrid>
        <w:gridCol w:w="1644"/>
        <w:gridCol w:w="1644"/>
        <w:gridCol w:w="1644"/>
        <w:gridCol w:w="1644"/>
        <w:gridCol w:w="1644"/>
      </w:tblGrid>
      <w:tr>
        <w:trPr>
          <w:tblHeader/>
        </w:trPr>
        <w:tc>
          <w:tcPr>
            <w:tcW w:type="dxa" w:w="1644"/>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制度条款</w:t>
            </w:r>
          </w:p>
        </w:tc>
        <w:tc>
          <w:tcPr>
            <w:tcW w:type="dxa" w:w="1644"/>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制度来源</w:t>
            </w:r>
          </w:p>
        </w:tc>
        <w:tc>
          <w:tcPr>
            <w:tcW w:type="dxa" w:w="1644"/>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执行情况</w:t>
            </w:r>
          </w:p>
        </w:tc>
        <w:tc>
          <w:tcPr>
            <w:tcW w:type="dxa" w:w="1644"/>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抽样发现</w:t>
            </w:r>
          </w:p>
        </w:tc>
        <w:tc>
          <w:tcPr>
            <w:tcW w:type="dxa" w:w="1644"/>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缺口成因</w:t>
            </w:r>
          </w:p>
        </w:tc>
      </w:tr>
      <w:tr>
        <w:trPr>
          <w:tblHeader w:val="false"/>
        </w:trPr>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变更申请须提前2个工作日提交</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《变更管理办法》</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已执行</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30/30符合</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w:t>
            </w:r>
          </w:p>
        </w:tc>
      </w:tr>
      <w:tr>
        <w:trPr>
          <w:tblHeader w:val="false"/>
        </w:trPr>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变更须经双人审核后方可实施</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同上</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已执行</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29/30符合（1笔单人操作）</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紧急情况未按规程处理</w:t>
            </w:r>
          </w:p>
        </w:tc>
      </w:tr>
      <w:tr>
        <w:trPr>
          <w:tblHeader w:val="false"/>
        </w:trPr>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高风险变更须总经理级审批</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同上</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部分执行</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7/10符合（3笔缺总经理签字）</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审批流程不清晰</w:t>
            </w:r>
          </w:p>
        </w:tc>
      </w:tr>
      <w:tr>
        <w:trPr>
          <w:tblHeader w:val="false"/>
        </w:trPr>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紧急变更须48小时内补办审批</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同上</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部分执行</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3/8符合（5笔超期未补审批）</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无跟踪提醒机制</w:t>
            </w:r>
          </w:p>
        </w:tc>
      </w:tr>
      <w:tr>
        <w:trPr>
          <w:tblHeader w:val="false"/>
        </w:trPr>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变更记录须在实施后24小时内归档</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同上</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未执行</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0/5符合（全部超期归档）</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归档责任人未明确</w:t>
            </w:r>
          </w:p>
        </w:tc>
      </w:tr>
    </w:tbl>
    <w:p>
      <w:pPr>
        <w:spacing w:after="120" w:before="60" w:line="420" w:lineRule="atLeast"/>
      </w:pPr>
    </w:p>
    <w:p>
      <w:pPr>
        <w:pStyle w:val="Heading2"/>
        <w:numPr>
          <w:ilvl w:val="0"/>
          <w:numId w:val="2"/>
        </w:numPr>
        <w:spacing w:after="120" w:before="360" w:line="420" w:lineRule="atLeast"/>
      </w:pPr>
      <w:r>
        <w:rPr>
          <w:rFonts w:ascii="FangSong" w:cs="FangSong" w:eastAsia="FangSong" w:hAnsi="FangSong"/>
          <w:b/>
          <w:bCs/>
          <w:sz w:val="30"/>
          <w:szCs w:val="30"/>
        </w:rPr>
        <w:t xml:space="preserve">矩阵间信息流转关系</w:t>
      </w:r>
    </w:p>
    <w:p>
      <w:pPr>
        <w:spacing w:after="120" w:before="360" w:line="420" w:lineRule="atLeast"/>
        <w:ind w:firstLine="567"/>
      </w:pPr>
      <w:r>
        <w:rPr>
          <w:rFonts w:ascii="FangSong" w:cs="FangSong" w:eastAsia="FangSong" w:hAnsi="FangSong"/>
          <w:sz w:val="30"/>
          <w:szCs w:val="30"/>
        </w:rPr>
        <w:t xml:space="preserve">四类矩阵之间共有七条主要信息流，是第 5.1 节三职能信息交互表在评估工具层的对应展开：</w:t>
      </w:r>
    </w:p>
    <w:tbl>
      <w:tblPr>
        <w:tblW w:type="dxa" w:w="8222"/>
        <w:tblInd w:type="dxa" w:w="680"/>
        <w:tblBorders>
          <w:top w:val="single" w:color="auto" w:sz="4"/>
          <w:left w:val="single" w:color="auto" w:sz="4"/>
          <w:bottom w:val="single" w:color="auto" w:sz="4"/>
          <w:right w:val="single" w:color="auto" w:sz="4"/>
          <w:insideH w:val="single" w:color="auto" w:sz="4"/>
          <w:insideV w:val="single" w:color="auto" w:sz="4"/>
        </w:tblBorders>
      </w:tblPr>
      <w:tblGrid>
        <w:gridCol w:w="1644"/>
        <w:gridCol w:w="1644"/>
        <w:gridCol w:w="1644"/>
        <w:gridCol w:w="1644"/>
        <w:gridCol w:w="1644"/>
      </w:tblGrid>
      <w:tr>
        <w:trPr>
          <w:tblHeader/>
        </w:trPr>
        <w:tc>
          <w:tcPr>
            <w:tcW w:type="dxa" w:w="1644"/>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编号</w:t>
            </w:r>
          </w:p>
        </w:tc>
        <w:tc>
          <w:tcPr>
            <w:tcW w:type="dxa" w:w="1644"/>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信息发出方</w:t>
            </w:r>
          </w:p>
        </w:tc>
        <w:tc>
          <w:tcPr>
            <w:tcW w:type="dxa" w:w="1644"/>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信息接收方</w:t>
            </w:r>
          </w:p>
        </w:tc>
        <w:tc>
          <w:tcPr>
            <w:tcW w:type="dxa" w:w="1644"/>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流转内容</w:t>
            </w:r>
          </w:p>
        </w:tc>
        <w:tc>
          <w:tcPr>
            <w:tcW w:type="dxa" w:w="1644"/>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作用</w:t>
            </w:r>
          </w:p>
        </w:tc>
      </w:tr>
      <w:tr>
        <w:trPr>
          <w:tblHeader w:val="false"/>
        </w:trPr>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①</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风险评估矩阵</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内控检查矩阵</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风险等级清单</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决定控制措施的检查优先级和深度</w:t>
            </w:r>
          </w:p>
        </w:tc>
      </w:tr>
      <w:tr>
        <w:trPr>
          <w:tblHeader w:val="false"/>
        </w:trPr>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②</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风险评估矩阵</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合规评估矩阵</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新识别风险领域</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扩展合规监测范围，补充监管关注方向</w:t>
            </w:r>
          </w:p>
        </w:tc>
      </w:tr>
      <w:tr>
        <w:trPr>
          <w:tblHeader w:val="false"/>
        </w:trPr>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③</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合规评估矩阵</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内控检查矩阵</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监管要求、合规检查发现</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定义控制设计标准，驱动内控改进</w:t>
            </w:r>
          </w:p>
        </w:tc>
      </w:tr>
      <w:tr>
        <w:trPr>
          <w:tblHeader w:val="false"/>
        </w:trPr>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④</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内控检查矩阵</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合规评估矩阵</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内控运行证据、内控有效性评级</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合规验证的核心检查材料</w:t>
            </w:r>
          </w:p>
        </w:tc>
      </w:tr>
      <w:tr>
        <w:trPr>
          <w:tblHeader w:val="false"/>
        </w:trPr>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⑤</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合规评估矩阵</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风险评估矩阵</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合规缺口清单</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转化为新风险输入，触发风险重评估</w:t>
            </w:r>
          </w:p>
        </w:tc>
      </w:tr>
      <w:tr>
        <w:trPr>
          <w:tblHeader w:val="false"/>
        </w:trPr>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⑥</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内控检查矩阵</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风险评估矩阵</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内控失效信息、控制偏差数据</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暴露风险识别遗漏，触发风险重评估</w:t>
            </w:r>
          </w:p>
        </w:tc>
      </w:tr>
      <w:tr>
        <w:trPr>
          <w:tblHeader w:val="false"/>
        </w:trPr>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⑦</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制度执行检查矩阵</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内控检查矩阵</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执行符合率、执行缺口</w:t>
            </w:r>
          </w:p>
        </w:tc>
        <w:tc>
          <w:tcPr>
            <w:tcW w:type="dxa" w:w="1644"/>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运行有效性评估的核心输入</w:t>
            </w:r>
          </w:p>
        </w:tc>
      </w:tr>
    </w:tbl>
    <w:p>
      <w:pPr>
        <w:spacing w:after="120" w:before="60" w:line="420" w:lineRule="atLeast"/>
      </w:pPr>
    </w:p>
    <w:p>
      <w:pPr>
        <w:spacing w:after="120" w:before="360" w:line="420" w:lineRule="atLeast"/>
        <w:ind w:firstLine="567"/>
      </w:pPr>
      <w:r>
        <w:rPr>
          <w:rFonts w:ascii="FangSong" w:cs="FangSong" w:eastAsia="FangSong" w:hAnsi="FangSong"/>
          <w:sz w:val="30"/>
          <w:szCs w:val="30"/>
        </w:rPr>
        <w:t xml:space="preserve">七条信息流形成三条持续改进闭环，与第 5.2 节所述三条闭环一一对应：</w:t>
      </w:r>
    </w:p>
    <w:p>
      <w:pPr>
        <w:pStyle w:val="ListParagraph"/>
        <w:numPr>
          <w:ilvl w:val="1"/>
          <w:numId w:val="3"/>
        </w:numPr>
        <w:spacing w:after="120" w:before="60" w:line="420" w:lineRule="atLeast"/>
      </w:pPr>
      <w:r>
        <w:rPr>
          <w:rFonts w:ascii="FangSong" w:cs="FangSong" w:eastAsia="FangSong" w:hAnsi="FangSong"/>
          <w:b/>
          <w:bCs/>
          <w:sz w:val="30"/>
          <w:szCs w:val="30"/>
        </w:rPr>
        <w:t xml:space="preserve">合规驱动闭环</w:t>
      </w:r>
      <w:r>
        <w:rPr>
          <w:rFonts w:ascii="FangSong" w:cs="FangSong" w:eastAsia="FangSong" w:hAnsi="FangSong"/>
          <w:sz w:val="30"/>
          <w:szCs w:val="30"/>
        </w:rPr>
        <w:t xml:space="preserve">（对应 5.2 第1条）：合规缺口（⑤）→ 风险重评估；同时经③直接传入内控检查矩阵——两路并行驱动内控改进 → 内控改进后证据更新（④）→ 合规缺口关闭</w:t>
      </w:r>
    </w:p>
    <w:p>
      <w:pPr>
        <w:pStyle w:val="ListParagraph"/>
        <w:numPr>
          <w:ilvl w:val="1"/>
          <w:numId w:val="3"/>
        </w:numPr>
        <w:spacing w:after="120" w:before="60" w:line="420" w:lineRule="atLeast"/>
      </w:pPr>
      <w:r>
        <w:rPr>
          <w:rFonts w:ascii="FangSong" w:cs="FangSong" w:eastAsia="FangSong" w:hAnsi="FangSong"/>
          <w:b/>
          <w:bCs/>
          <w:sz w:val="30"/>
          <w:szCs w:val="30"/>
        </w:rPr>
        <w:t xml:space="preserve">内控失效驱动闭环</w:t>
      </w:r>
      <w:r>
        <w:rPr>
          <w:rFonts w:ascii="FangSong" w:cs="FangSong" w:eastAsia="FangSong" w:hAnsi="FangSong"/>
          <w:sz w:val="30"/>
          <w:szCs w:val="30"/>
        </w:rPr>
        <w:t xml:space="preserve">（对应 5.2 第2条）：内控失效（⑥）→ 风险等级提升 → 风险应对策略更新，驱动制度修订 → 制度执行重新抽查（⑦）→ 内控运行有效性提升</w:t>
      </w:r>
    </w:p>
    <w:p>
      <w:pPr>
        <w:pStyle w:val="ListParagraph"/>
        <w:numPr>
          <w:ilvl w:val="1"/>
          <w:numId w:val="3"/>
        </w:numPr>
        <w:spacing w:after="120" w:before="60" w:line="420" w:lineRule="atLeast"/>
      </w:pPr>
      <w:r>
        <w:rPr>
          <w:rFonts w:ascii="FangSong" w:cs="FangSong" w:eastAsia="FangSong" w:hAnsi="FangSong"/>
          <w:b/>
          <w:bCs/>
          <w:sz w:val="30"/>
          <w:szCs w:val="30"/>
        </w:rPr>
        <w:t xml:space="preserve">风险驱动闭环</w:t>
      </w:r>
      <w:r>
        <w:rPr>
          <w:rFonts w:ascii="FangSong" w:cs="FangSong" w:eastAsia="FangSong" w:hAnsi="FangSong"/>
          <w:sz w:val="30"/>
          <w:szCs w:val="30"/>
        </w:rPr>
        <w:t xml:space="preserve">（对应 5.2 第3条）：风险重评估（由以上闭环触发或独立触发）→ 经①重新传入内控检查矩阵 → 调整控制措施设计要求与检查优先级 → 必要时驱动制度修订</w:t>
      </w:r>
    </w:p>
    <w:p>
      <w:pPr>
        <w:spacing w:after="120" w:before="360" w:line="420" w:lineRule="atLeast"/>
        <w:ind w:firstLine="567"/>
      </w:pPr>
      <w:r>
        <w:rPr>
          <w:rFonts w:ascii="FangSong" w:cs="FangSong" w:eastAsia="FangSong" w:hAnsi="FangSong"/>
          <w:sz w:val="30"/>
          <w:szCs w:val="30"/>
        </w:rPr>
        <w:t xml:space="preserve">流②（风险评估矩阵 → 合规评估矩阵）是单向信息参考流——风险识别结果扩充合规监测范围，不形成独立反馈闭环，因此不出现在上述三条闭环路径中。</w:t>
      </w:r>
    </w:p>
    <w:p>
      <w:pPr>
        <w:pStyle w:val="Heading1"/>
        <w:spacing w:after="120" w:before="360" w:line="420" w:lineRule="atLeast"/>
        <w:jc w:val="center"/>
      </w:pPr>
      <w:r>
        <w:rPr>
          <w:rFonts w:ascii="FangSong" w:cs="FangSong" w:eastAsia="FangSong" w:hAnsi="FangSong"/>
          <w:b/>
          <w:bCs/>
          <w:sz w:val="30"/>
          <w:szCs w:val="30"/>
        </w:rPr>
        <w:t xml:space="preserve">修订记录</w:t>
      </w:r>
    </w:p>
    <w:tbl>
      <w:tblPr>
        <w:tblW w:type="dxa" w:w="8789"/>
        <w:tblInd w:type="dxa" w:w="113"/>
        <w:tblBorders>
          <w:top w:val="single" w:color="auto" w:sz="4"/>
          <w:left w:val="single" w:color="auto" w:sz="4"/>
          <w:bottom w:val="single" w:color="auto" w:sz="4"/>
          <w:right w:val="single" w:color="auto" w:sz="4"/>
          <w:insideH w:val="single" w:color="auto" w:sz="4"/>
          <w:insideV w:val="single" w:color="auto" w:sz="4"/>
        </w:tblBorders>
      </w:tblPr>
      <w:tblGrid>
        <w:gridCol w:w="2197"/>
        <w:gridCol w:w="2197"/>
        <w:gridCol w:w="2197"/>
        <w:gridCol w:w="2197"/>
      </w:tblGrid>
      <w:tr>
        <w:trPr>
          <w:tblHeader/>
        </w:trPr>
        <w:tc>
          <w:tcPr>
            <w:tcW w:type="dxa" w:w="2197"/>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版本号</w:t>
            </w:r>
          </w:p>
        </w:tc>
        <w:tc>
          <w:tcPr>
            <w:tcW w:type="dxa" w:w="2197"/>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日期</w:t>
            </w:r>
          </w:p>
        </w:tc>
        <w:tc>
          <w:tcPr>
            <w:tcW w:type="dxa" w:w="2197"/>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修订内容</w:t>
            </w:r>
          </w:p>
        </w:tc>
        <w:tc>
          <w:tcPr>
            <w:tcW w:type="dxa" w:w="2197"/>
            <w:tcBorders>
              <w:top w:val="single" w:color="000000" w:sz="1"/>
              <w:left w:val="single" w:color="000000" w:sz="1"/>
              <w:bottom w:val="single" w:color="000000" w:sz="1"/>
              <w:right w:val="single" w:color="000000" w:sz="1"/>
            </w:tcBorders>
            <w:shd w:fill="E7E6E6" w:val="clear"/>
            <w:tcMar>
              <w:top w:type="dxa" w:w="0"/>
              <w:left w:type="dxa" w:w="113"/>
              <w:bottom w:type="dxa" w:w="57"/>
              <w:right w:type="dxa" w:w="113"/>
            </w:tcMar>
          </w:tcPr>
          <w:p>
            <w:pPr>
              <w:spacing w:after="120" w:before="60" w:line="420" w:lineRule="atLeast"/>
              <w:jc w:val="left"/>
            </w:pPr>
            <w:r>
              <w:rPr>
                <w:rFonts w:ascii="FangSong" w:cs="FangSong" w:eastAsia="FangSong" w:hAnsi="FangSong"/>
                <w:b/>
                <w:bCs/>
                <w:sz w:val="30"/>
                <w:szCs w:val="30"/>
              </w:rPr>
              <w:t xml:space="preserve">修订人</w:t>
            </w:r>
          </w:p>
        </w:tc>
      </w:tr>
      <w:tr>
        <w:trPr>
          <w:tblHeader w:val="false"/>
        </w:trPr>
        <w:tc>
          <w:tcPr>
            <w:tcW w:type="dxa" w:w="2197"/>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v0.02</w:t>
            </w:r>
          </w:p>
        </w:tc>
        <w:tc>
          <w:tcPr>
            <w:tcW w:type="dxa" w:w="2197"/>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2026-03-09</w:t>
            </w:r>
          </w:p>
        </w:tc>
        <w:tc>
          <w:tcPr>
            <w:tcW w:type="dxa" w:w="2197"/>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初始版本：梳理风险、合规、制度、内控定义与关系（含历次评审迭代：制度三级结构、三职能平行协同模型、COSO/ISO 31000/三道防线参考框架、变更管理端到端示例等）</w:t>
            </w:r>
          </w:p>
        </w:tc>
        <w:tc>
          <w:tcPr>
            <w:tcW w:type="dxa" w:w="2197"/>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AI</w:t>
            </w:r>
          </w:p>
        </w:tc>
      </w:tr>
      <w:tr>
        <w:trPr>
          <w:tblHeader w:val="false"/>
        </w:trPr>
        <w:tc>
          <w:tcPr>
            <w:tcW w:type="dxa" w:w="2197"/>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v0.03</w:t>
            </w:r>
          </w:p>
        </w:tc>
        <w:tc>
          <w:tcPr>
            <w:tcW w:type="dxa" w:w="2197"/>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2026-03-09</w:t>
            </w:r>
          </w:p>
        </w:tc>
        <w:tc>
          <w:tcPr>
            <w:tcW w:type="dxa" w:w="2197"/>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2.2节补充强调句：制度本身不创造管理要求，只承载和固化管理要求；3.1节重写：COSO五要素由粗映射改为逐一说明（委托/前提条件/核心对应/基础设施/宏微两层）</w:t>
            </w:r>
          </w:p>
        </w:tc>
        <w:tc>
          <w:tcPr>
            <w:tcW w:type="dxa" w:w="2197"/>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AI</w:t>
            </w:r>
          </w:p>
        </w:tc>
      </w:tr>
      <w:tr>
        <w:trPr>
          <w:tblHeader w:val="false"/>
        </w:trPr>
        <w:tc>
          <w:tcPr>
            <w:tcW w:type="dxa" w:w="2197"/>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v0.04</w:t>
            </w:r>
          </w:p>
        </w:tc>
        <w:tc>
          <w:tcPr>
            <w:tcW w:type="dxa" w:w="2197"/>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2026-03-09</w:t>
            </w:r>
          </w:p>
        </w:tc>
        <w:tc>
          <w:tcPr>
            <w:tcW w:type="dxa" w:w="2197"/>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新增第7章：四类评估矩阵及其关系（各矩阵说明、评级规则、变更管理场景示例、矩阵间七条信息流及持续改进闭环）；评审修复：修正7.2.1示例中"未授权变更操作"风险等级（中→高）；补充7.1制度非独立职能说明；重写7.3两条改进闭环（修复逻辑跳跃、过强表述、符号歧义）；补充流②单向参考流说明；全文系统修订：统一三职能排列顺序（风险管理→内控→合规）；2.1节重构风险管理定义（分离"风险"与"风险管理"，注明标题简称）；3.2节修正ISO 31000制度建设映射（多阶段触发）；4.1节修复ASCII图盒子对齐与闭合；4.2节补充对2.3节交叉引用；6.3节展开ITRS全称；7.2.2节简化整改优先级规则；7.3节扩展为三条改进闭环（补入流③双路径与风险驱动闭环，与5.2节对齐）；3.1节COSO五要素列表项补充4空格缩进（与全文格式统一）；3.2节ISO 31000制度建设映射改用标准阶段名（建立环境/风险应对），去除非ISO阶段名</w:t>
            </w:r>
          </w:p>
        </w:tc>
        <w:tc>
          <w:tcPr>
            <w:tcW w:type="dxa" w:w="2197"/>
            <w:tcBorders>
              <w:top w:val="single" w:color="000000" w:sz="1"/>
              <w:left w:val="single" w:color="000000" w:sz="1"/>
              <w:bottom w:val="single" w:color="000000" w:sz="1"/>
              <w:right w:val="single" w:color="000000" w:sz="1"/>
            </w:tcBorders>
            <w:tcMar>
              <w:top w:type="dxa" w:w="0"/>
              <w:left w:type="dxa" w:w="113"/>
              <w:bottom w:type="dxa" w:w="57"/>
              <w:right w:type="dxa" w:w="113"/>
            </w:tcMar>
          </w:tcPr>
          <w:p>
            <w:pPr>
              <w:spacing w:after="120" w:before="60" w:line="420" w:lineRule="atLeast"/>
              <w:jc w:val="left"/>
            </w:pPr>
            <w:r>
              <w:rPr>
                <w:rFonts w:ascii="FangSong" w:cs="FangSong" w:eastAsia="FangSong" w:hAnsi="FangSong"/>
                <w:b w:val="false"/>
                <w:bCs w:val="false"/>
                <w:sz w:val="30"/>
                <w:szCs w:val="30"/>
              </w:rPr>
              <w:t xml:space="preserve">AI</w:t>
            </w:r>
          </w:p>
        </w:tc>
      </w:tr>
    </w:tbl>
    <w:p>
      <w:pPr>
        <w:spacing w:after="120" w:before="60" w:line="420" w:lineRule="atLeast"/>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420" w:lineRule="atLeast"/>
      <w:jc w:val="center"/>
    </w:pPr>
    <w:r>
      <w:rPr>
        <w:rFonts w:ascii="FangSong" w:cs="FangSong" w:eastAsia="FangSong" w:hAnsi="FangSong"/>
        <w:sz w:val="30"/>
        <w:szCs w:val="30"/>
      </w:rPr>
      <w:t xml:space="preserve">- </w:t>
    </w:r>
    <w:r>
      <w:rPr>
        <w:rFonts w:ascii="FangSong" w:cs="FangSong" w:eastAsia="FangSong" w:hAnsi="FangSong"/>
        <w:sz w:val="30"/>
        <w:szCs w:val="30"/>
      </w:rPr>
      <w:fldChar w:fldCharType="begin"/>
      <w:instrText xml:space="preserve">PAGE</w:instrText>
      <w:fldChar w:fldCharType="separate"/>
      <w:fldChar w:fldCharType="end"/>
    </w:r>
    <w:r>
      <w:rPr>
        <w:rFonts w:ascii="FangSong" w:cs="FangSong" w:eastAsia="FangSong" w:hAnsi="FangSong"/>
        <w:sz w:val="30"/>
        <w:szCs w:val="3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line="420" w:lineRule="atLeast"/>
      <w:jc w:val="right"/>
    </w:pPr>
    <w:r>
      <w:rPr>
        <w:rFonts w:ascii="FangSong" w:cs="FangSong" w:eastAsia="FangSong" w:hAnsi="FangSong"/>
        <w:color w:val="999999"/>
        <w:sz w:val="18"/>
        <w:szCs w:val="18"/>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before="60" w:line="420" w:lineRule="atLeast"/>
        <w:ind w:left="567" w:hanging="567"/>
      </w:pPr>
      <w:rPr>
        <w:rFonts w:ascii="FangSong" w:cs="FangSong" w:eastAsia="FangSong" w:hAnsi="FangSong"/>
        <w:sz w:val="30"/>
        <w:szCs w:val="30"/>
      </w:rPr>
    </w:lvl>
    <w:lvl w:ilvl="1" w15:tentative="1">
      <w:start w:val="1"/>
      <w:numFmt w:val="bullet"/>
      <w:lvlText w:val="-"/>
      <w:lvlJc w:val="left"/>
      <w:pPr>
        <w:spacing w:after="120" w:before="60" w:line="420" w:lineRule="atLeast"/>
        <w:ind w:left="1134" w:hanging="567"/>
      </w:pPr>
      <w:rPr>
        <w:rFonts w:ascii="FangSong" w:cs="FangSong" w:eastAsia="FangSong" w:hAnsi="FangSong"/>
        <w:sz w:val="30"/>
        <w:szCs w:val="30"/>
      </w:rPr>
    </w:lvl>
    <w:lvl w:ilvl="2" w15:tentative="1">
      <w:start w:val="1"/>
      <w:numFmt w:val="bullet"/>
      <w:lvlText w:val="-"/>
      <w:lvlJc w:val="left"/>
      <w:pPr>
        <w:spacing w:after="120" w:before="60" w:line="420" w:lineRule="atLeast"/>
        <w:ind w:left="1701" w:hanging="567"/>
      </w:pPr>
      <w:rPr>
        <w:rFonts w:ascii="FangSong" w:cs="FangSong" w:eastAsia="FangSong" w:hAnsi="FangSong"/>
        <w:sz w:val="30"/>
        <w:szCs w:val="30"/>
      </w:rPr>
    </w:lvl>
    <w:lvl w:ilvl="3" w15:tentative="1">
      <w:start w:val="1"/>
      <w:numFmt w:val="bullet"/>
      <w:lvlText w:val="-"/>
      <w:lvlJc w:val="left"/>
      <w:pPr>
        <w:spacing w:after="120" w:before="60" w:line="420" w:lineRule="atLeast"/>
        <w:ind w:left="2268" w:hanging="567"/>
      </w:pPr>
      <w:rPr>
        <w:rFonts w:ascii="FangSong" w:cs="FangSong" w:eastAsia="FangSong" w:hAnsi="FangSong"/>
        <w:sz w:val="30"/>
        <w:szCs w:val="30"/>
      </w:rPr>
    </w:lvl>
    <w:lvl w:ilvl="4" w15:tentative="1">
      <w:start w:val="1"/>
      <w:numFmt w:val="bullet"/>
      <w:lvlText w:val="-"/>
      <w:lvlJc w:val="left"/>
      <w:pPr>
        <w:spacing w:after="120" w:before="60" w:line="420" w:lineRule="atLeast"/>
        <w:ind w:left="2835" w:hanging="567"/>
      </w:pPr>
      <w:rPr>
        <w:rFonts w:ascii="FangSong" w:cs="FangSong" w:eastAsia="FangSong" w:hAnsi="FangSong"/>
        <w:sz w:val="30"/>
        <w:szCs w:val="30"/>
      </w:rPr>
    </w:lvl>
    <w:lvl w:ilvl="5" w15:tentative="1">
      <w:start w:val="1"/>
      <w:numFmt w:val="bullet"/>
      <w:lvlText w:val="-"/>
      <w:lvlJc w:val="left"/>
      <w:pPr>
        <w:spacing w:after="120" w:before="60" w:line="420" w:lineRule="atLeast"/>
        <w:ind w:left="3402" w:hanging="567"/>
      </w:pPr>
      <w:rPr>
        <w:rFonts w:ascii="FangSong" w:cs="FangSong" w:eastAsia="FangSong" w:hAnsi="FangSong"/>
        <w:sz w:val="30"/>
        <w:szCs w:val="30"/>
      </w:rPr>
    </w:lvl>
    <w:lvl w:ilvl="6" w15:tentative="1">
      <w:start w:val="1"/>
      <w:numFmt w:val="bullet"/>
      <w:lvlText w:val="-"/>
      <w:lvlJc w:val="left"/>
      <w:pPr>
        <w:spacing w:after="120" w:before="60" w:line="420" w:lineRule="atLeast"/>
        <w:ind w:left="3969" w:hanging="567"/>
      </w:pPr>
      <w:rPr>
        <w:rFonts w:ascii="FangSong" w:cs="FangSong" w:eastAsia="FangSong" w:hAnsi="FangSong"/>
        <w:sz w:val="30"/>
        <w:szCs w:val="30"/>
      </w:rPr>
    </w:lvl>
    <w:lvl w:ilvl="7" w15:tentative="1">
      <w:start w:val="1"/>
      <w:numFmt w:val="bullet"/>
      <w:lvlText w:val="-"/>
      <w:lvlJc w:val="left"/>
      <w:pPr>
        <w:spacing w:after="120" w:before="60" w:line="420" w:lineRule="atLeast"/>
        <w:ind w:left="4536" w:hanging="567"/>
      </w:pPr>
      <w:rPr>
        <w:rFonts w:ascii="FangSong" w:cs="FangSong" w:eastAsia="FangSong" w:hAnsi="FangSong"/>
        <w:sz w:val="30"/>
        <w:szCs w:val="30"/>
      </w:rPr>
    </w:lvl>
    <w:lvl w:ilvl="8" w15:tentative="1">
      <w:start w:val="1"/>
      <w:numFmt w:val="bullet"/>
      <w:lvlText w:val="-"/>
      <w:lvlJc w:val="left"/>
      <w:pPr>
        <w:spacing w:after="120" w:before="60" w:line="420" w:lineRule="atLeast"/>
        <w:ind w:left="5103" w:hanging="567"/>
      </w:pPr>
      <w:rPr>
        <w:rFonts w:ascii="FangSong" w:cs="FangSong" w:eastAsia="FangSong" w:hAnsi="FangSong"/>
        <w:sz w:val="30"/>
        <w:szCs w:val="30"/>
      </w:rPr>
    </w:lvl>
  </w:abstractNum>
  <w:abstractNum w:abstractNumId="3" w15:restartNumberingAfterBreak="0">
    <w:multiLevelType w:val="hybridMultilevel"/>
    <w:lvl w:ilvl="0" w15:tentative="1">
      <w:start w:val="1"/>
      <w:numFmt w:val="decimal"/>
      <w:lvlText w:val="%1 "/>
      <w:lvlJc w:val="left"/>
      <w:pPr>
        <w:spacing w:after="120" w:before="60" w:line="420" w:lineRule="atLeast"/>
      </w:pPr>
      <w:rPr>
        <w:rFonts w:ascii="FangSong" w:cs="FangSong" w:eastAsia="FangSong" w:hAnsi="FangSong"/>
        <w:b/>
        <w:bCs/>
        <w:sz w:val="30"/>
        <w:szCs w:val="30"/>
      </w:rPr>
    </w:lvl>
    <w:lvl w:ilvl="1" w15:tentative="1">
      <w:start w:val="1"/>
      <w:numFmt w:val="decimal"/>
      <w:lvlText w:val="%1.%2 "/>
      <w:lvlJc w:val="left"/>
      <w:pPr>
        <w:spacing w:after="120" w:before="60" w:line="420" w:lineRule="atLeast"/>
      </w:pPr>
      <w:rPr>
        <w:rFonts w:ascii="FangSong" w:cs="FangSong" w:eastAsia="FangSong" w:hAnsi="FangSong"/>
        <w:b/>
        <w:bCs/>
        <w:sz w:val="30"/>
        <w:szCs w:val="30"/>
      </w:rPr>
    </w:lvl>
    <w:lvl w:ilvl="2" w15:tentative="1">
      <w:start w:val="1"/>
      <w:numFmt w:val="decimal"/>
      <w:lvlText w:val="%1.%2.%3 "/>
      <w:lvlJc w:val="left"/>
      <w:pPr>
        <w:spacing w:after="120" w:before="60" w:line="420" w:lineRule="atLeast"/>
      </w:pPr>
      <w:rPr>
        <w:rFonts w:ascii="FangSong" w:cs="FangSong" w:eastAsia="FangSong" w:hAnsi="FangSong"/>
        <w:b/>
        <w:bCs/>
        <w:sz w:val="30"/>
        <w:szCs w:val="30"/>
      </w:rPr>
    </w:lvl>
    <w:lvl w:ilvl="3" w15:tentative="1">
      <w:start w:val="1"/>
      <w:numFmt w:val="decimal"/>
      <w:lvlText w:val="%1.%2.%3.%4 "/>
      <w:lvlJc w:val="left"/>
      <w:pPr>
        <w:spacing w:after="120" w:before="60" w:line="420" w:lineRule="atLeast"/>
      </w:pPr>
      <w:rPr>
        <w:rFonts w:ascii="FangSong" w:cs="FangSong" w:eastAsia="FangSong" w:hAnsi="FangSong"/>
        <w:b/>
        <w:bCs/>
        <w:sz w:val="30"/>
        <w:szCs w:val="30"/>
      </w:rPr>
    </w:lvl>
    <w:lvl w:ilvl="4" w15:tentative="1">
      <w:start w:val="1"/>
      <w:numFmt w:val="decimal"/>
      <w:lvlText w:val="%1.%2.%3.%4.%5 "/>
      <w:lvlJc w:val="left"/>
      <w:pPr>
        <w:spacing w:after="120" w:before="60" w:line="420" w:lineRule="atLeast"/>
      </w:pPr>
      <w:rPr>
        <w:rFonts w:ascii="FangSong" w:cs="FangSong" w:eastAsia="FangSong" w:hAnsi="FangSong"/>
        <w:b/>
        <w:bCs/>
        <w:sz w:val="30"/>
        <w:szCs w:val="30"/>
      </w:rPr>
    </w:lvl>
    <w:lvl w:ilvl="5" w15:tentative="1">
      <w:start w:val="1"/>
      <w:numFmt w:val="decimal"/>
      <w:lvlText w:val="%1.%2.%3.%4.%5.%6 "/>
      <w:lvlJc w:val="left"/>
      <w:pPr>
        <w:spacing w:after="120" w:before="60" w:line="420" w:lineRule="atLeast"/>
      </w:pPr>
      <w:rPr>
        <w:rFonts w:ascii="FangSong" w:cs="FangSong" w:eastAsia="FangSong" w:hAnsi="FangSong"/>
        <w:b/>
        <w:bCs/>
        <w:sz w:val="30"/>
        <w:szCs w:val="30"/>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FangSong" w:cs="FangSong" w:eastAsia="FangSong" w:hAnsi="FangSong"/>
        <w:sz w:val="30"/>
        <w:szCs w:val="30"/>
      </w:rPr>
    </w:rPrDefault>
    <w:pPrDefault>
      <w:pPr>
        <w:spacing w:after="120" w:before="60" w:line="420" w:lineRule="atLeas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60" w:line="420" w:lineRule="atLeast"/>
      <w:jc w:val="center"/>
    </w:pPr>
    <w:rPr>
      <w:rFonts w:ascii="FangSong" w:cs="FangSong" w:eastAsia="FangSong" w:hAnsi="FangSong"/>
      <w:b/>
      <w:bCs/>
      <w:sz w:val="30"/>
      <w:szCs w:val="30"/>
    </w:rPr>
  </w:style>
  <w:style w:type="paragraph" w:styleId="Heading1">
    <w:name w:val="Heading 1"/>
    <w:basedOn w:val="Normal"/>
    <w:next w:val="Normal"/>
    <w:qFormat/>
    <w:pPr>
      <w:spacing w:after="120" w:before="60" w:line="420" w:lineRule="atLeast"/>
      <w:outlineLvl w:val="0"/>
    </w:pPr>
    <w:rPr>
      <w:rFonts w:ascii="FangSong" w:cs="FangSong" w:eastAsia="FangSong" w:hAnsi="FangSong"/>
      <w:b/>
      <w:bCs/>
      <w:sz w:val="30"/>
      <w:szCs w:val="30"/>
    </w:rPr>
  </w:style>
  <w:style w:type="paragraph" w:styleId="Heading2">
    <w:name w:val="Heading 2"/>
    <w:basedOn w:val="Normal"/>
    <w:next w:val="Normal"/>
    <w:qFormat/>
    <w:pPr>
      <w:spacing w:after="120" w:before="60" w:line="420" w:lineRule="atLeast"/>
      <w:outlineLvl w:val="1"/>
    </w:pPr>
    <w:rPr>
      <w:rFonts w:ascii="FangSong" w:cs="FangSong" w:eastAsia="FangSong" w:hAnsi="FangSong"/>
      <w:b/>
      <w:bCs/>
      <w:sz w:val="30"/>
      <w:szCs w:val="30"/>
    </w:rPr>
  </w:style>
  <w:style w:type="paragraph" w:styleId="Heading3">
    <w:name w:val="Heading 3"/>
    <w:basedOn w:val="Normal"/>
    <w:next w:val="Normal"/>
    <w:qFormat/>
    <w:pPr>
      <w:spacing w:after="120" w:before="60" w:line="420" w:lineRule="atLeast"/>
      <w:outlineLvl w:val="2"/>
    </w:pPr>
    <w:rPr>
      <w:rFonts w:ascii="FangSong" w:cs="FangSong" w:eastAsia="FangSong" w:hAnsi="FangSong"/>
      <w:b/>
      <w:bCs/>
      <w:sz w:val="30"/>
      <w:szCs w:val="30"/>
    </w:rPr>
  </w:style>
  <w:style w:type="paragraph" w:styleId="Heading4">
    <w:name w:val="Heading 4"/>
    <w:basedOn w:val="Normal"/>
    <w:next w:val="Normal"/>
    <w:qFormat/>
    <w:pPr>
      <w:spacing w:after="120" w:before="60" w:line="420" w:lineRule="atLeast"/>
      <w:outlineLvl w:val="3"/>
    </w:pPr>
    <w:rPr>
      <w:rFonts w:ascii="FangSong" w:cs="FangSong" w:eastAsia="FangSong" w:hAnsi="FangSong"/>
      <w:b/>
      <w:bCs/>
      <w:sz w:val="30"/>
      <w:szCs w:val="30"/>
    </w:rPr>
  </w:style>
  <w:style w:type="paragraph" w:styleId="Heading5">
    <w:name w:val="Heading 5"/>
    <w:basedOn w:val="Normal"/>
    <w:next w:val="Normal"/>
    <w:qFormat/>
    <w:pPr>
      <w:spacing w:after="120" w:before="60" w:line="420" w:lineRule="atLeast"/>
      <w:outlineLvl w:val="4"/>
    </w:pPr>
    <w:rPr>
      <w:rFonts w:ascii="FangSong" w:cs="FangSong" w:eastAsia="FangSong" w:hAnsi="FangSong"/>
      <w:b/>
      <w:bCs/>
      <w:sz w:val="30"/>
      <w:szCs w:val="30"/>
    </w:rPr>
  </w:style>
  <w:style w:type="paragraph" w:styleId="Heading6">
    <w:name w:val="Heading 6"/>
    <w:basedOn w:val="Normal"/>
    <w:next w:val="Normal"/>
    <w:qFormat/>
    <w:pPr>
      <w:spacing w:after="120" w:before="60" w:line="420" w:lineRule="atLeast"/>
      <w:outlineLvl w:val="5"/>
    </w:pPr>
    <w:rPr>
      <w:rFonts w:ascii="FangSong" w:cs="FangSong" w:eastAsia="FangSong" w:hAnsi="FangSong"/>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fc6e4c9725ed6a90fdc27cc7e01a446c7e59b5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2026-03-09T21:00:16.460Z</dcterms:created>
  <dcterms:modified xsi:type="dcterms:W3CDTF">2026-03-09T21:00:16.460Z</dcterms:modified>
</cp:coreProperties>
</file>

<file path=docProps/custom.xml><?xml version="1.0" encoding="utf-8"?>
<Properties xmlns="http://schemas.openxmlformats.org/officeDocument/2006/custom-properties" xmlns:vt="http://schemas.openxmlformats.org/officeDocument/2006/docPropsVTypes"/>
</file>