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总体设计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文档编号</w:t>
      </w:r>
      <w:r>
        <w:rPr>
          <w:rFonts w:ascii="FangSong" w:cs="FangSong" w:eastAsia="FangSong" w:hAnsi="FangSong"/>
          <w:sz w:val="30"/>
          <w:szCs w:val="30"/>
        </w:rPr>
        <w:t xml:space="preserve">：IT-RM-KRI-001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文档名称</w:t>
      </w:r>
      <w:r>
        <w:rPr>
          <w:rFonts w:ascii="FangSong" w:cs="FangSong" w:eastAsia="FangSong" w:hAnsi="FangSong"/>
          <w:sz w:val="30"/>
          <w:szCs w:val="30"/>
        </w:rPr>
        <w:t xml:space="preserve">：信息科技部风险管理指标体系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文档密级</w:t>
      </w:r>
      <w:r>
        <w:rPr>
          <w:rFonts w:ascii="FangSong" w:cs="FangSong" w:eastAsia="FangSong" w:hAnsi="FangSong"/>
          <w:sz w:val="30"/>
          <w:szCs w:val="30"/>
        </w:rPr>
        <w:t xml:space="preserve">：【内部资料】 -- 不主动对外公开。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设计原则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本指标体系服务于《银行信息科技风险监管评级提升协同作战计划（2026—2030）》战役二"IT风险管理体系深化"的年度目标：2026年底 KRI 指标数量 ≥ 30 个，自动+半自动采集覆盖率 ≥ 60%。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指标设计遵循以下原则：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领先优先</w:t>
      </w:r>
      <w:r>
        <w:rPr>
          <w:rFonts w:ascii="FangSong" w:cs="FangSong" w:eastAsia="FangSong" w:hAnsi="FangSong"/>
          <w:sz w:val="30"/>
          <w:szCs w:val="30"/>
        </w:rPr>
        <w:t xml:space="preserve">：优先设置领先指标（预警潜在风险），减少仅反映已发生问题的滞后指标；领先指标在全体系中占比目标 ≥ 50%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可量化、可穿透</w:t>
      </w:r>
      <w:r>
        <w:rPr>
          <w:rFonts w:ascii="FangSong" w:cs="FangSong" w:eastAsia="FangSong" w:hAnsi="FangSong"/>
          <w:sz w:val="30"/>
          <w:szCs w:val="30"/>
        </w:rPr>
        <w:t xml:space="preserve">：所有指标须有明确的数据来源和采集路径，不接受主观打分和估算值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自动化导向</w:t>
      </w:r>
      <w:r>
        <w:rPr>
          <w:rFonts w:ascii="FangSong" w:cs="FangSong" w:eastAsia="FangSong" w:hAnsi="FangSong"/>
          <w:sz w:val="30"/>
          <w:szCs w:val="30"/>
        </w:rPr>
        <w:t xml:space="preserve">：标注每项指标的采集方式，制定向自动采集迁移的路线；2026年底自动+半自动合计 ≥ 60%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阈值三档</w:t>
      </w:r>
      <w:r>
        <w:rPr>
          <w:rFonts w:ascii="FangSong" w:cs="FangSong" w:eastAsia="FangSong" w:hAnsi="FangSong"/>
          <w:sz w:val="30"/>
          <w:szCs w:val="30"/>
        </w:rPr>
        <w:t xml:space="preserve">：绿（优于监管基准）/ 黄（仅满足监管最低要求）/ 红（低于监管最低要求）——详见 1.4 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效果优于形式</w:t>
      </w:r>
      <w:r>
        <w:rPr>
          <w:rFonts w:ascii="FangSong" w:cs="FangSong" w:eastAsia="FangSong" w:hAnsi="FangSong"/>
          <w:sz w:val="30"/>
          <w:szCs w:val="30"/>
        </w:rPr>
        <w:t xml:space="preserve">：关键指标须同时测量"做没做"（过程）和"有没有效"（结果），防止仅追求报告完成而忽视实质改进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指标类型与采集方式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含义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预测性指标，指向未来可能发生的风险，用于提前预警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CMDB准确率、基线覆盖率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结果性指标，反映已发生事件的处置质量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RCA完成率、漏洞修复周期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执行进度指标，用于追踪战役任务的落地情况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DevSecOps覆盖率、演练场景数</w:t>
            </w:r>
          </w:p>
        </w:tc>
      </w:tr>
    </w:tbl>
    <w:p>
      <w:pPr>
        <w:spacing w:after="120" w:before="60" w:line="420" w:lineRule="atLeast"/>
      </w:pP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采集方式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定义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2026年自动化目标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系统自动抓取，无需人工录入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维持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系统提供原始数据，人工汇总计算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逐步迁移至全自动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完全依赖人工收集、录入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制定自动化改造计划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KRI/KCI/KPI关联说明</w:t>
      </w:r>
      <w:r>
        <w:rPr>
          <w:rFonts w:ascii="FangSong" w:cs="FangSong" w:eastAsia="FangSong" w:hAnsi="FangSong"/>
          <w:sz w:val="30"/>
          <w:szCs w:val="30"/>
        </w:rPr>
        <w:t xml:space="preserve">："领先"和"滞后"指标均属于风险关键指标（KRI）范畴——前者衡量未来风险暴露，后者衡量风险事件处置结果；"过程"指标更接近控制关键指标（KCI）或关键绩效指标（KPI），用于追踪管控动作落地情况。各板块内部分析时可按此理解灵活应用；向外部（风险管理部、科委会）汇报时统一使用本表"类型"字段标注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全板块指标汇总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全部 7 个板块共 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44 项</w:t>
      </w:r>
      <w:r>
        <w:rPr>
          <w:rFonts w:ascii="FangSong" w:cs="FangSong" w:eastAsia="FangSong" w:hAnsi="FangSong"/>
          <w:sz w:val="30"/>
          <w:szCs w:val="30"/>
        </w:rPr>
        <w:t xml:space="preserve"> KRI 指标，自动+半自动合计 29 项（66%），当前设计已超过 2026 年底 60% 目标。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编号前缀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自动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半自动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人工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对应主责战役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战役五、战役六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战役四（运维侧）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战役四（开发侧）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战役一、二、九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战役七（供应链）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战役七（外包管理）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**44**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说明</w:t>
      </w:r>
      <w:r>
        <w:rPr>
          <w:rFonts w:ascii="FangSong" w:cs="FangSong" w:eastAsia="FangSong" w:hAnsi="FangSong"/>
          <w:sz w:val="30"/>
          <w:szCs w:val="30"/>
        </w:rPr>
        <w:t xml:space="preserve">：战役八、战役十的指标归属由战役牵头方另行制定或并入相关板块，本体系暂未覆盖；待上游作战计划明确牵头方后补充纳入。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阈值设计哲学——突破底线思维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核心原则</w:t>
      </w:r>
      <w:r>
        <w:rPr>
          <w:rFonts w:ascii="FangSong" w:cs="FangSong" w:eastAsia="FangSong" w:hAnsi="FangSong"/>
          <w:sz w:val="30"/>
          <w:szCs w:val="30"/>
        </w:rPr>
        <w:t xml:space="preserve">：绿色（正常）门槛设定于监管基准之上；仅满足监管最低要求属于黄色（预警），不得视为合格状态。本设计的意图是从制度上消除"过了底线就不用动"的心理预期。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含义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行动要求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绿（正常）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指标值明显优于监管基准，体现超越底线的质量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保持并总结经验；季度通报推广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黄（预警）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指标值接近或仅满足监管最低要求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制定提升计划，下季度目标达绿；不得超过2季度</w:t>
            </w:r>
          </w:p>
        </w:tc>
      </w:tr>
      <w:tr>
        <w:trPr>
          <w:tblHeader w:val="false"/>
        </w:trPr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红（告警）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指标值低于监管最低要求</w:t>
            </w:r>
          </w:p>
        </w:tc>
        <w:tc>
          <w:tcPr>
            <w:tcW w:type="dxa" w:w="29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5个工作日内提交整改计划至风险管理-制度处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黄色状态不等于安全</w:t>
      </w:r>
      <w:r>
        <w:rPr>
          <w:rFonts w:ascii="FangSong" w:cs="FangSong" w:eastAsia="FangSong" w:hAnsi="FangSong"/>
          <w:sz w:val="30"/>
          <w:szCs w:val="30"/>
        </w:rPr>
        <w:t xml:space="preserve">：处于黄色状态超过2个连续季度的指标，牵头板块负责人须向科委会专项说明。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"未建立"指标处理规则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适用情形</w:t>
      </w:r>
      <w:r>
        <w:rPr>
          <w:rFonts w:ascii="FangSong" w:cs="FangSong" w:eastAsia="FangSong" w:hAnsi="FangSong"/>
          <w:sz w:val="30"/>
          <w:szCs w:val="30"/>
        </w:rPr>
        <w:t xml:space="preserve">："未建立"状态仅允许在以下情形下使用：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新增指标正式生效起的首个报告季度内，相关系统/平台尚未完成接入；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监管政策调整导致指标定义尚在内部确认过程中（须附内部文件编号）；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指标依赖的外部数据源出现重大中断（须附事件记录编号）。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最长允许持续时长</w:t>
      </w:r>
      <w:r>
        <w:rPr>
          <w:rFonts w:ascii="FangSong" w:cs="FangSong" w:eastAsia="FangSong" w:hAnsi="FangSong"/>
          <w:sz w:val="30"/>
          <w:szCs w:val="30"/>
        </w:rPr>
        <w:t xml:space="preserve">：连续使用"未建立"不得超过 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2 个季度</w:t>
      </w:r>
      <w:r>
        <w:rPr>
          <w:rFonts w:ascii="FangSong" w:cs="FangSong" w:eastAsia="FangSong" w:hAnsi="FangSong"/>
          <w:sz w:val="30"/>
          <w:szCs w:val="30"/>
        </w:rPr>
        <w:t xml:space="preserve">；超期须在 3.2 节中由信息科技部负责人签发专项说明。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计入规则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"未建立"指标不参与绿/黄/红占比计算，但单独计入 3.2 节"未建立指标数"列。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连续 2 季度"未建立"的指标，在综合评级中等同于"预警"处理，纳入 3.3 节红黄项跟踪。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填写格式</w:t>
      </w:r>
      <w:r>
        <w:rPr>
          <w:rFonts w:ascii="FangSong" w:cs="FangSong" w:eastAsia="FangSong" w:hAnsi="FangSong"/>
          <w:sz w:val="30"/>
          <w:szCs w:val="30"/>
        </w:rPr>
        <w:t xml:space="preserve">：各板块季度报告模板 B2 状态栏填写格式统一为：</w:t>
      </w:r>
      <w:r>
        <w:rPr>
          <w:rFonts w:ascii="FangSong" w:cs="FangSong" w:eastAsia="FangSong" w:hAnsi="FangSong"/>
          <w:sz w:val="30"/>
          <w:szCs w:val="30"/>
        </w:rPr>
        <w:t xml:space="preserve">未建立（原因：{简述}；预计建立时间：{YYYY-QN}）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各板块指标定义与季度报告模板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本部分按板块组织，每个板块包含两节：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  <w:r>
        <w:rPr>
          <w:rFonts w:ascii="FangSong" w:cs="FangSong" w:eastAsia="FangSong" w:hAnsi="FangSong"/>
          <w:sz w:val="30"/>
          <w:szCs w:val="30"/>
        </w:rPr>
        <w:t xml:space="preserve">（稳定参考，年度更新）和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  <w:r>
        <w:rPr>
          <w:rFonts w:ascii="FangSong" w:cs="FangSong" w:eastAsia="FangSong" w:hAnsi="FangSong"/>
          <w:sz w:val="30"/>
          <w:szCs w:val="30"/>
        </w:rPr>
        <w:t xml:space="preserve">（每季度填写）。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系统运行板块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：战役五（IT运行管理）、战役六（业务连续性与灾备）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：IT-SR-01 可用率绿区设为 ≥99.95%（监管底线99.9%对应黄区）；IT-SR-06 重复故障率衡量 RCA 的实质有效性，而非仅报告完成率。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99.9% ~ 99.95%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99.9%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运维监控平台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ITMIS工单系统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98%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98%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CMDB自动发现工具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运维监控平台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个/年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3（Q4末）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 ~ 2（年内）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演练复盘报告台账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5% ~ 15%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15%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ITMIS根因分类标签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IT-SR-01</w:t>
      </w:r>
      <w:r>
        <w:rPr>
          <w:rFonts w:ascii="FangSong" w:cs="FangSong" w:eastAsia="FangSong" w:hAnsi="FangSong"/>
          <w:sz w:val="30"/>
          <w:szCs w:val="30"/>
        </w:rPr>
        <w:t xml:space="preserve">：原监管底线 ≥99.9% 对应本表黄区；绿区对齐2028年年度目标（≥99.95%），作为2026年起的领先标准。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IT-SR-05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：Q1末≥0个（规划准备阶段，无强制）；Q2末≥1个；Q3末≥2个；Q4末≥3个（年度硬性目标）。季度状态按当年累计完成数与里程碑的偏差判色，偏差&gt;0个视为预警。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IT-SR-06</w:t>
      </w:r>
      <w:r>
        <w:rPr>
          <w:rFonts w:ascii="FangSong" w:cs="FangSong" w:eastAsia="FangSong" w:hAnsi="FangSong"/>
          <w:sz w:val="30"/>
          <w:szCs w:val="30"/>
        </w:rPr>
        <w:t xml:space="preserve">：专门衡量 RCA 是否具有实质改进效果；同根因重复出现是底线思维的直接体现。"同根因"的判定标准须在 ITMIS 系统中标准化定义并定期维护，由风险管理-制度处每季度审计以保证数据一致性和可信度。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状态标记：正常（绿）/ 预警（黄）/ 告警（红）/ 未建立。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绿色=优于监管基准；黄色=仅满足监管底线（需提升）。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≥99.95% / 99.9~99.95% / &lt;99.9%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{填写，无异常填"无"}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{本季P1/P2共X件，RCA完成X件}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≥98% / 95~98%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{抽样范围及样本量}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{未覆盖作业清单见附件}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≥3个/年（Q4末）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累计{X}个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{本季完成场景描述}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≤5% / 5~15% / &gt;15%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{本季P1/P2共X件，同根因再发生X件}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含 P1/P2 事件、演练失败、重大容量预警等。无风险事项时填"本季无重大风险事项"。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全部正常则填"本季无预警或告警项"。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{对应战役五/六本季应完成行动}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应用支持板块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：战役四（运维侧）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：IT-AS-03 权限清理设为零容忍红线（无黄区）；IT-AS-04 响应时长绿区从 ≤4h 收紧至 ≤2h；IT-AS-01 变更成功率绿区从 ≥98% 提升至 ≥99%。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97%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97%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ITMIS变更管理模块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PAM操作审计日志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IAM系统 / HR系统联动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小时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 ~ 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ITMIS工单时间戳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85%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项目验收记录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IT-AS-03</w:t>
      </w:r>
      <w:r>
        <w:rPr>
          <w:rFonts w:ascii="FangSong" w:cs="FangSong" w:eastAsia="FangSong" w:hAnsi="FangSong"/>
          <w:sz w:val="30"/>
          <w:szCs w:val="30"/>
        </w:rPr>
        <w:t xml:space="preserve">：零容忍红线，无黄色预警区；超期即为红色告警，须当日触发上报。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IT-AS-04</w:t>
      </w:r>
      <w:r>
        <w:rPr>
          <w:rFonts w:ascii="FangSong" w:cs="FangSong" w:eastAsia="FangSong" w:hAnsi="FangSong"/>
          <w:sz w:val="30"/>
          <w:szCs w:val="30"/>
        </w:rPr>
        <w:t xml:space="preserve">：监管仅要求"及时响应"，≤2小时是超越底线的质量标准（原底线 ≤4小时降为黄区）。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≥99% / 97~99% / &lt;97%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{本季变更共X次，失败X次}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{违规操作描述，无则填"无"}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{本季共X例，7日内完成X例，逾期X例（须0）}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≤2h / 2~4h / &gt;4h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{填写}小时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{本季P2+事件共X件}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85~95% / &lt;85%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{本季验收项目X个，首次通过X个}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{对应战役四运维侧本季应完成行动}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开发测试板块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：战役四（开发侧）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：IT-DT-01 整改率绿区从 ≥90% 提升至 ≥95%，范围从高危扩至中危；IT-DT-05 从"通过率"改为"拦截有效率"（0%=橡皮图章=红色）；IT-DT-07 直接衡量扫描规则是否超越默认配置。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扫描工具导出 + 工单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1% ~ 3%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3%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数据脱敏工具扫描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按年度目标（渐进）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CI/CD平台统计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1% ~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扫描平台 + JIRA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10% ~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扫描平台规则配置统计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IT-DT-05</w:t>
      </w:r>
      <w:r>
        <w:rPr>
          <w:rFonts w:ascii="FangSong" w:cs="FangSong" w:eastAsia="FangSong" w:hAnsi="FangSong"/>
          <w:sz w:val="30"/>
          <w:szCs w:val="30"/>
        </w:rPr>
        <w:t xml:space="preserve">：安全评审拦截率为0%说明评审流于形式（橡皮图章）；≥10%说明真正发现并阻止了不合规设计。持续极低的拦截率（如&lt;1%）须结合代码质量、设计成熟度等因素综合分析；本指标旨在评估评审实质有效性，而非单纯追求数值高低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IT-DT-07</w:t>
      </w:r>
      <w:r>
        <w:rPr>
          <w:rFonts w:ascii="FangSong" w:cs="FangSong" w:eastAsia="FangSong" w:hAnsi="FangSong"/>
          <w:sz w:val="30"/>
          <w:szCs w:val="30"/>
        </w:rPr>
        <w:t xml:space="preserve">：仅使用默认扫描规则（&lt;10%）是底线思维的典型体现；定制规则占比 ≥30% 方视为正常。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90~95%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{扫描X次，发现中危+X项，已闭环X项}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≤1% / 1~3% / &gt;3%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{本季上线X个版本，逃逸缺陷X个}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{扫描覆盖环境数/总环境数}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{覆盖项目X个/在建项目X个；本年目标：{X}%}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≥10% / 1~10% / 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{本季评审X个项目，拦截X个不合规设计}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{本季高危漏洞X个，当月修复X个，遗留X个}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≥30% / 10~30% / &lt;10%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{自定义规则X条/总规则X条}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本季度风险事项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{对应战役四开发侧本季应完成行动}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网络安全板块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：战役三（信息安全深化攻坚）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：IT-NS-01 从"核心功能"升级为"高级功能（超基础配置）"，衡量已购能力的深度激活；IT-NS-02 漏洞修复周期绿区收紧至 ≤7 天（原底线≤30天=红区，2027目标≤15天=黄区）。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安全产品高级功能（超基础配置）启用率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60%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30% ~ 60%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安全产品功能激活台账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天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 ~ 15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15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漏洞管理平台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85%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基线扫描工具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80% ~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SOC平台告警记录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零信任平台统计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IT-NS-01</w:t>
      </w:r>
      <w:r>
        <w:rPr>
          <w:rFonts w:ascii="FangSong" w:cs="FangSong" w:eastAsia="FangSong" w:hAnsi="FangSong"/>
          <w:sz w:val="30"/>
          <w:szCs w:val="30"/>
        </w:rPr>
        <w:t xml:space="preserve">：安全产品清单和"高级功能"定义以《安全产品功能激活路线图》为准；高级功能=超出默认配置、需主动设置的检测/防护能力。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IT-NS-02</w:t>
      </w:r>
      <w:r>
        <w:rPr>
          <w:rFonts w:ascii="FangSong" w:cs="FangSong" w:eastAsia="FangSong" w:hAnsi="FangSong"/>
          <w:sz w:val="30"/>
          <w:szCs w:val="30"/>
        </w:rPr>
        <w:t xml:space="preserve">：行业通行底线30天=红线；本行2027年目标 ≤15天=黄区；绿区 ≤7天是真正超越底线的标准。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安全产品高级功能（超基础配置）启用率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≥60% / 30~60% / &lt;30%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{已启用高级功能X项/总X项，依据路线图台账}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≤7天 / 7~15天 / &gt;15天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{填写}天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{本季高危漏洞X个，平均修复周期X天}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{PAM覆盖账号数/总特权账号数}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85~95% / &lt;85%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{检测覆盖系统数/总核心系统数}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 / 80~95% / &lt;80%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{本季P1安全事件X件，30分钟内响应X件}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{本季完成阶段：POC/核心系统覆盖/全量；目标：{X}%}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本季度安全事件记录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无事件时填"本季无安全事件"。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rPr>
          <w:tblHeader/>
        </w:trPr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事件类型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等级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影响范围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处置措施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{钓鱼/漏洞/入侵/配置等}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{P1~P4}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{简要根因}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09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{对应战役三本季应完成行动}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风险管理-制度处板块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：战役一（治理履职）、战役二（IT风险管理体系）、战役九（新技术风险）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：IT-RM-07 衡量 KRI 体系自身的质量——领先指标占比越高，风险管理越主动；全部是滞后指标则说明风险管理停留在"事后汇报"的底线状态。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低于目标5%内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低于目标5%+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KRI超阈值未处置率（硬红线）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&gt; 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月（实时）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RCSA系统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报告发布台账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1次/季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0次/季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委员会会议纪要台账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新技术上线前风险评估覆盖率（硬红线）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项目立项审批记录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50%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30% ~ 50%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30%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风险管理平台指标分类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IT-RM-01 年度目标阶梯</w:t>
      </w:r>
      <w:r>
        <w:rPr>
          <w:rFonts w:ascii="FangSong" w:cs="FangSong" w:eastAsia="FangSong" w:hAnsi="FangSong"/>
          <w:sz w:val="30"/>
          <w:szCs w:val="30"/>
        </w:rPr>
        <w:t xml:space="preserve">：2026 Q2末 ≥40%，Q4末 ≥60%；2027 Q4末 ≥80%；2030 Q4末 ≥95%。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IT-RM-03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：Q1末≥25%；Q2末≥50%；Q3末≥75%；Q4末=100%。低于里程碑 10 个百分点以上在季报中标注预警并制定追赶计划。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IT-RM-02</w:t>
      </w:r>
      <w:r>
        <w:rPr>
          <w:rFonts w:ascii="FangSong" w:cs="FangSong" w:eastAsia="FangSong" w:hAnsi="FangSong"/>
          <w:sz w:val="30"/>
          <w:szCs w:val="30"/>
        </w:rPr>
        <w:t xml:space="preserve">：硬红线指标之一，无黄区；超阈值后3个工作日内须完成处置并留存记录。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IT-RM-07</w:t>
      </w:r>
      <w:r>
        <w:rPr>
          <w:rFonts w:ascii="FangSong" w:cs="FangSong" w:eastAsia="FangSong" w:hAnsi="FangSong"/>
          <w:sz w:val="30"/>
          <w:szCs w:val="30"/>
        </w:rPr>
        <w:t xml:space="preserve">：KRI体系中滞后指标占比 &gt;70% 说明整个风险管理本质上是"事后汇报"而非"事前预防"。当前体系共 44 项指标，其中领先指标 24 项（54.5%），已满足 ≥50% 的设计目标。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按年度目标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{自动采集X项/共X项；本年Q2目标≥40%，Q4目标≥60%}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KRI超阈值未处置率（硬红线）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 / — / &gt;0%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{超阈值事件X件，已处置X件，遗留X件（必须为0）}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{本年已评估X个系统/全行X个；年底须达100%}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{本季应输出X份，按期完成X份，逾期X份}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≥1次/季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{X}次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{委员会X次，CIO汇报X次，纪要已存档：是/否}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新技术上线前风险评估覆盖率（硬红线）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{本季新技术项目X个，上线前评估完成X个}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≥50% / 30~50% / &lt;30%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{领先指标X项/共44项}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KRI体系本季度更新情况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变更类型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变更原因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生效日期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{新增/调整/退出}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无变更时填"本季KRI指标体系无调整"。</w:t>
      </w: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全部门红黄指标汇总视图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本节汇总全信息科技部本季度进入预警或告警的 KRI（各板块独立报告中已记录本板块红黄项，本节为汇总视图）。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{填写板块}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{对应战役一/二/九本季应完成行动}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规划板块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：战役七（供应链安全）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板块职责</w:t>
      </w:r>
      <w:r>
        <w:rPr>
          <w:rFonts w:ascii="FangSong" w:cs="FangSong" w:eastAsia="FangSong" w:hAnsi="FangSong"/>
          <w:sz w:val="30"/>
          <w:szCs w:val="30"/>
        </w:rPr>
        <w:t xml:space="preserve">：软件供应链（开源组件漏洞、商业软件安全）和服务供应链（关键第三方API/数据服务可替代性）；区别于科技资源板块的外包人员和合同管理。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：IT-RG-01 将新引入组件安全审查设为红线（事前阻止，而非事后扫描）；IT-RG-03 衡量已知高危CVE的30日响应，"知道不处理"即底线思维。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项目立项/变更系统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低于目标10%内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低于目标10%+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供应链管理台账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CVE公告订阅 + 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80%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70% ~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70%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组件替换追踪台账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IT-RG-01</w:t>
      </w:r>
      <w:r>
        <w:rPr>
          <w:rFonts w:ascii="FangSong" w:cs="FangSong" w:eastAsia="FangSong" w:hAnsi="FangSong"/>
          <w:sz w:val="30"/>
          <w:szCs w:val="30"/>
        </w:rPr>
        <w:t xml:space="preserve">：零容忍红线；不得以"紧急上线"为由豁免审查。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IT-RG-02 年度目标</w:t>
      </w:r>
      <w:r>
        <w:rPr>
          <w:rFonts w:ascii="FangSong" w:cs="FangSong" w:eastAsia="FangSong" w:hAnsi="FangSong"/>
          <w:sz w:val="30"/>
          <w:szCs w:val="30"/>
        </w:rPr>
        <w:t xml:space="preserve">：2026 Q4末 ≥80%；2027年 ≥95%。2026年季度里程碑参考：Q1末≥20%；Q2末≥40%；Q3末≥60%；Q4末≥80%。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IT-RG-04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：Q1末≥30%；Q2末≥60%；Q3末≥80%；Q4末=100%。低于里程碑 10 个百分点以上在季报中标注预警并制定追赶计划。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{本季新引入X项，审查完成X项，未审查X项（须为0）}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按阶段目标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{覆盖X个系统/计划总X个；本年Q4目标≥80%}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{本季严重CVE共X个，30日内完成评估X个，遗留X个}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100%（年末）/ 80~99% / &lt;80%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{已评估X项/全年计划X项}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 / 70~90% / &lt;70%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{本季计划替换X项，实际完成X项，延迟X项}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本季度供应链风险事项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无风险事项时填"本季无重大供应链风险事项"。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{对应战役七供应链侧本季应完成的行动}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科技资源板块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主责战役</w:t>
      </w:r>
      <w:r>
        <w:rPr>
          <w:rFonts w:ascii="FangSong" w:cs="FangSong" w:eastAsia="FangSong" w:hAnsi="FangSong"/>
          <w:sz w:val="30"/>
          <w:szCs w:val="30"/>
        </w:rPr>
        <w:t xml:space="preserve">：战役七（外包管理）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板块职责</w:t>
      </w:r>
      <w:r>
        <w:rPr>
          <w:rFonts w:ascii="FangSong" w:cs="FangSong" w:eastAsia="FangSong" w:hAnsi="FangSong"/>
          <w:sz w:val="30"/>
          <w:szCs w:val="30"/>
        </w:rPr>
        <w:t xml:space="preserve">：外包人员管理、合同全生命周期、集中度管控、供应商安全评估；区别于规划板块的供应链安全。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突破底线要点</w:t>
      </w:r>
      <w:r>
        <w:rPr>
          <w:rFonts w:ascii="FangSong" w:cs="FangSong" w:eastAsia="FangSong" w:hAnsi="FangSong"/>
          <w:sz w:val="30"/>
          <w:szCs w:val="30"/>
        </w:rPr>
        <w:t xml:space="preserve">：IT-TR-05 从"评估完成"升级为"整改验证落地"——完成评估但不跟进整改是外包风险管理中最常见的底线思维。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指标定义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blHeader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类型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采集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单位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频率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IAM系统 / PAM系统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95%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95%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项目管理系统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关键外包商集中度合规率（单商≤50%，红线）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合同管理系统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过程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季跟踪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供应商评估台账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滞后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70% ~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70%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供应商整改跟踪台账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培训管理系统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半自动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90% ~ 99%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90%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PAM平台统计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核心系统外包人员背景调查完成率（红线）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人工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&lt; 100%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季</w:t>
            </w:r>
          </w:p>
        </w:tc>
        <w:tc>
          <w:tcPr>
            <w:tcW w:type="dxa" w:w="8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HR合规台账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IT-TR-01、IT-TR-03、IT-TR-06、IT-TR-08</w:t>
      </w:r>
      <w:r>
        <w:rPr>
          <w:rFonts w:ascii="FangSong" w:cs="FangSong" w:eastAsia="FangSong" w:hAnsi="FangSong"/>
          <w:sz w:val="30"/>
          <w:szCs w:val="30"/>
        </w:rPr>
        <w:t xml:space="preserve">：零容忍红线，无黄色预警区；超标须当日上报风险管理-制度处。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IT-TR-05</w:t>
      </w:r>
      <w:r>
        <w:rPr>
          <w:rFonts w:ascii="FangSong" w:cs="FangSong" w:eastAsia="FangSong" w:hAnsi="FangSong"/>
          <w:sz w:val="30"/>
          <w:szCs w:val="30"/>
        </w:rPr>
        <w:t xml:space="preserve">：从"做了评估"（形式）升级为"整改落地了"（实质），是外包风险管理超越底线的核心抓手。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IT-TR-06</w:t>
      </w:r>
      <w:r>
        <w:rPr>
          <w:rFonts w:ascii="FangSong" w:cs="FangSong" w:eastAsia="FangSong" w:hAnsi="FangSong"/>
          <w:sz w:val="30"/>
          <w:szCs w:val="30"/>
        </w:rPr>
        <w:t xml:space="preserve">：外包人员获得系统访问权限前须通过岗前安全培训/考试，是外包安全准入的第一道防线。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IT-TR-07</w:t>
      </w:r>
      <w:r>
        <w:rPr>
          <w:rFonts w:ascii="FangSong" w:cs="FangSong" w:eastAsia="FangSong" w:hAnsi="FangSong"/>
          <w:sz w:val="30"/>
          <w:szCs w:val="30"/>
        </w:rPr>
        <w:t xml:space="preserve">：补充对在场外包人员权限的持续最小化审查，防止权限僵尸化；与 IT-TR-01（离场回收）形成"事中—事后"闭环。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IT-TR-08</w:t>
      </w:r>
      <w:r>
        <w:rPr>
          <w:rFonts w:ascii="FangSong" w:cs="FangSong" w:eastAsia="FangSong" w:hAnsi="FangSong"/>
          <w:sz w:val="30"/>
          <w:szCs w:val="30"/>
        </w:rPr>
        <w:t xml:space="preserve">：将监管明确要求的外包人员背景调查刚性指标化，防止项目紧急时流程被豁免；核心系统范围以部内《安全生产管理规定》为准。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IT-TR-04 季度里程碑参考</w:t>
      </w:r>
      <w:r>
        <w:rPr>
          <w:rFonts w:ascii="FangSong" w:cs="FangSong" w:eastAsia="FangSong" w:hAnsi="FangSong"/>
          <w:sz w:val="30"/>
          <w:szCs w:val="30"/>
        </w:rPr>
        <w:t xml:space="preserve">：Q1末≥30%；Q2末≥60%；Q3末≥80%；Q4末=100%。低于里程碑 10 个百分点以上在季报中标注预警并制定追赶计划。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季度报告模板</w:t>
      </w:r>
    </w:p>
    <w:p>
      <w:pPr>
        <w:pStyle w:val="Heading4"/>
        <w:numPr>
          <w:ilvl w:val="2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B1 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科技资源板块负责人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{正常 / 预警 / 告警}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B2 KRI指标完成情况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阈值（绿/黄/红）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环比趋势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{本季离场X人，48小时内完成X人，逾期X人（须为0）}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95~99% / &lt;95%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{本季外包代码交付X批，安全审查完成X批}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关键外包商集中度合规率（单商≤50%，红线）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{各供应商集中度：A:{X}%，B:{X}%...}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100%（年末）/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累计{X}%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{已完成评估X家/全年计划X家}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 / 70~90% / &lt;70%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{高风险供应商X家，发现问题X项，已验证整改X项}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{本季新增外包人员X名，培训通过X名，未完成X名（须为0）}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90~99% / &lt;90%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{↑/↓/持平}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{在场特权账户外包人员X名，本季完成审查X名}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核心系统外包人员背景调查完成率（红线）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 / — / &lt;100%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{核心系统外包人员X名，背景调查完成X名（须为0延误）}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B3 本季度外包风险事项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无风险事项时填"本季无重大外包风险事项"。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发生日期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根因分析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{事件/风险描述}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{高/中/低}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{根因}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{措施}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B4 红黄指标跟踪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持续时长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整改责任人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整改目标值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跟踪说明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{黄/红}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{X周/月}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</w:tbl>
    <w:p>
      <w:pPr>
        <w:spacing w:after="120" w:before="60" w:line="420" w:lineRule="atLeast"/>
      </w:pPr>
    </w:p>
    <w:p>
      <w:pPr>
        <w:pStyle w:val="Heading4"/>
        <w:numPr>
          <w:ilvl w:val="2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B5 主要工作与下季度重点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任务描述（来自年度作战计划）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实际状态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{对应战役七外包侧本季应完成的行动}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{完成/进行中/逾期}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{逾期原因或进度说明}</w:t>
            </w:r>
          </w:p>
        </w:tc>
      </w:tr>
    </w:tbl>
    <w:p>
      <w:pPr>
        <w:spacing w:after="120" w:before="60" w:line="420" w:lineRule="atLeast"/>
      </w:pP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下季度重点</w:t>
      </w:r>
      <w:r>
        <w:rPr>
          <w:rFonts w:ascii="FangSong" w:cs="FangSong" w:eastAsia="FangSong" w:hAnsi="FangSong"/>
          <w:sz w:val="30"/>
          <w:szCs w:val="30"/>
        </w:rPr>
        <w:t xml:space="preserve">：{行动 + 交付物 + 责任人 + 完成时间}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需跨板块协同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综合汇总季度报告模板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本报告由风险管理-制度处在各板块独立报告提交后5个工作日内完成综合编制，提交信息科技部负责人审核后分发风险管理部和科委会秘书处。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报告基本信息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项目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报告期间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{YYYY}年第{Q}季度（{M1}月—{M2}月）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报告日期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编制人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审核人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信息科技部负责人</w:t>
            </w:r>
          </w:p>
        </w:tc>
      </w:tr>
      <w:tr>
        <w:trPr>
          <w:tblHeader w:val="false"/>
        </w:trPr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分发范围</w:t>
            </w:r>
          </w:p>
        </w:tc>
        <w:tc>
          <w:tcPr>
            <w:tcW w:type="dxa" w:w="43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信息科技部各板块、风险管理部、科委会秘书处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全板块总体评级汇总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tblHeader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板块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总体状态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红色指标数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黄色指标数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未建立指标数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核心风险事项（简述）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系统运行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应用支持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风险管理-制度处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规划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科技资源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{填写，无则填"无"}</w:t>
            </w:r>
          </w:p>
        </w:tc>
      </w:tr>
      <w:tr>
        <w:trPr>
          <w:tblHeader w:val="false"/>
        </w:trPr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**全部门合计**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**{整体}**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**{X}**</w:t>
            </w:r>
          </w:p>
        </w:tc>
        <w:tc>
          <w:tcPr>
            <w:tcW w:type="dxa" w:w="146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评级规则</w:t>
      </w:r>
      <w:r>
        <w:rPr>
          <w:rFonts w:ascii="FangSong" w:cs="FangSong" w:eastAsia="FangSong" w:hAnsi="FangSong"/>
          <w:sz w:val="30"/>
          <w:szCs w:val="30"/>
        </w:rPr>
        <w:t xml:space="preserve">：有红色指标 → 告警；仅有黄色 → 预警；全部绿色且无未建立 → 正常。综合评级取最差板块评级。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硬红线专项核查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 8 项硬红线指标须单独核查，任何违规当季须在本表中详细记录。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指标编号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本季实际值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是否违规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违规案例说明（若有）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离职/调岗权限清理7日完成率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{是/否}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{无违规填"无"}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全部门KRI指标状态分布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本季度全部44项KRI指标状态分布：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数量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占比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主要集中板块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正常（绿）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预警（黄）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告警（红）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未建立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{填写}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**44**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**100%**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—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KRI自动采集覆盖率当前值</w:t>
      </w:r>
      <w:r>
        <w:rPr>
          <w:rFonts w:ascii="FangSong" w:cs="FangSong" w:eastAsia="FangSong" w:hAnsi="FangSong"/>
          <w:sz w:val="30"/>
          <w:szCs w:val="30"/>
        </w:rPr>
        <w:t xml:space="preserve">：{X}%（本年Q4目标：≥60%）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KRI领先指标占比当前值</w:t>
      </w:r>
      <w:r>
        <w:rPr>
          <w:rFonts w:ascii="FangSong" w:cs="FangSong" w:eastAsia="FangSong" w:hAnsi="FangSong"/>
          <w:sz w:val="30"/>
          <w:szCs w:val="30"/>
        </w:rPr>
        <w:t xml:space="preserve">：{X}%（目标：≥50%）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重大风险事项与跨板块协同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重大风险事项（无则填"本季无全部门级别重大风险事项"）：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rPr>
          <w:tblHeader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所属板块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风险事项描述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影响程度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牵头整改方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计划完成时间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{描述}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{高/中}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{板块+协同方}</w:t>
            </w:r>
          </w:p>
        </w:tc>
        <w:tc>
          <w:tcPr>
            <w:tcW w:type="dxa" w:w="12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{YYYY-MM-DD}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跨板块协同事项（无则填"本季无跨板块协同事项"）：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协同事项描述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牵头板块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协同板块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完成状态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{描述}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{板块1、板块2}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{完成/进行中}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年度战役进度跟踪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本年强度定位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当前完成度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主要里程碑完成情况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风险提示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  <w:tr>
        <w:trPr>
          <w:tblHeader w:val="false"/>
        </w:trPr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{本年定位}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{X}%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{本季完成的关键里程碑}</w:t>
            </w:r>
          </w:p>
        </w:tc>
        <w:tc>
          <w:tcPr>
            <w:tcW w:type="dxa" w:w="175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{有/无}；{简述}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下季度全局重点行动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全局重点 1</w:t>
      </w:r>
      <w:r>
        <w:rPr>
          <w:rFonts w:ascii="FangSong" w:cs="FangSong" w:eastAsia="FangSong" w:hAnsi="FangSong"/>
          <w:sz w:val="30"/>
          <w:szCs w:val="30"/>
        </w:rPr>
        <w:t xml:space="preserve">：{描述，含牵头方和时间节点}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全局重点 2</w:t>
      </w:r>
      <w:r>
        <w:rPr>
          <w:rFonts w:ascii="FangSong" w:cs="FangSong" w:eastAsia="FangSong" w:hAnsi="FangSong"/>
          <w:sz w:val="30"/>
          <w:szCs w:val="30"/>
        </w:rPr>
        <w:t xml:space="preserve">：{描述，含牵头方和时间节点}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需科委会决策事项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：{填写，无则填"本季度无需科委会决策事项"}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需风险管理部会签事项</w:t>
      </w:r>
      <w:r>
        <w:rPr>
          <w:rFonts w:ascii="FangSong" w:cs="FangSong" w:eastAsia="FangSong" w:hAnsi="FangSong"/>
          <w:sz w:val="30"/>
          <w:szCs w:val="30"/>
        </w:rPr>
        <w:t xml:space="preserve">：{填写，无则填"无"}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指标管理与维护要求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指标更新机制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年度复盘</w:t>
      </w:r>
      <w:r>
        <w:rPr>
          <w:rFonts w:ascii="FangSong" w:cs="FangSong" w:eastAsia="FangSong" w:hAnsi="FangSong"/>
          <w:sz w:val="30"/>
          <w:szCs w:val="30"/>
        </w:rPr>
        <w:t xml:space="preserve">：每年12月，由风险管理-制度处牵头，各板块联合评审指标有效性；增删调整须经风险管理部会签后报科委会备案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阈值年度收紧</w:t>
      </w:r>
      <w:r>
        <w:rPr>
          <w:rFonts w:ascii="FangSong" w:cs="FangSong" w:eastAsia="FangSong" w:hAnsi="FangSong"/>
          <w:sz w:val="30"/>
          <w:szCs w:val="30"/>
        </w:rPr>
        <w:t xml:space="preserve">：对标突破底线思维的设计原则，各板块每年评估是否可将绿区门槛进一步提升，形成持续进步机制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临时调整</w:t>
      </w:r>
      <w:r>
        <w:rPr>
          <w:rFonts w:ascii="FangSong" w:cs="FangSong" w:eastAsia="FangSong" w:hAnsi="FangSong"/>
          <w:sz w:val="30"/>
          <w:szCs w:val="30"/>
        </w:rPr>
        <w:t xml:space="preserve">：重大监管政策变化或重大风险事件发生后，风险管理-制度处可发起临时调整，须在30天内完成修订并记录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数据质量管理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月度指标：次月5日前完成填报；季度指标：季后10日前完成填报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人工采集指标须附原始数据来源截图或台账编号，不接受估算值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风险管理-制度处每季度对各板块数据质量进行抽查，抽查结果纳入板块绩效考核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反虚报机制</w:t>
      </w:r>
      <w:r>
        <w:rPr>
          <w:rFonts w:ascii="FangSong" w:cs="FangSong" w:eastAsia="FangSong" w:hAnsi="FangSong"/>
          <w:sz w:val="30"/>
          <w:szCs w:val="30"/>
        </w:rPr>
        <w:t xml:space="preserve">：审计部每半年对随机抽取的5个指标进行穿透核查，核查结果与绩效考核直接挂钩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阈值调整规则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单向原则</w:t>
      </w:r>
      <w:r>
        <w:rPr>
          <w:rFonts w:ascii="FangSong" w:cs="FangSong" w:eastAsia="FangSong" w:hAnsi="FangSong"/>
          <w:sz w:val="30"/>
          <w:szCs w:val="30"/>
        </w:rPr>
        <w:t xml:space="preserve">：阈值只能收紧（绿区提升），不得放宽，除非监管政策变化有明确要求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红线指标</w:t>
      </w:r>
      <w:r>
        <w:rPr>
          <w:rFonts w:ascii="FangSong" w:cs="FangSong" w:eastAsia="FangSong" w:hAnsi="FangSong"/>
          <w:sz w:val="30"/>
          <w:szCs w:val="30"/>
        </w:rPr>
        <w:t xml:space="preserve">（IT-RM-02、IT-RM-06、IT-AS-03、IT-RG-01、IT-TR-01、IT-TR-03、IT-TR-06、IT-TR-08）：阈值不得放宽，永久保持零容忍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参照系</w:t>
      </w:r>
      <w:r>
        <w:rPr>
          <w:rFonts w:ascii="FangSong" w:cs="FangSong" w:eastAsia="FangSong" w:hAnsi="FangSong"/>
          <w:sz w:val="30"/>
          <w:szCs w:val="30"/>
        </w:rPr>
        <w:t xml:space="preserve">：阈值调整须参照当年监管最新要求和同业先进水平，确保绿区始终领先于监管基线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附录A（资料性）关键指标口径说明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本附录提供各指标的计算公式与关键统计口径，供填报人员和数据治理使用。公式中分母为0时统一记为"N/A"并不纳入判色，须在说明栏注明"本期样本量为0"。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编号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计算公式（分子/分母×100%）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关键口径说明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核心系统月度可用率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月度实际可用时长 / 月度计划可用时长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计划停机（含维护窗口）不计入分母；分母=24×当月天数减去计划停机时长（小时）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P1/P2事件RCA 5工作日完成率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当季5工作日内完成RCA的P1/P2事件数 / 当季P1/P2事件总数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以ITMIS工单"RCA完成时间戳"为准；工作日按国家法定日历计算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CMDB数据准确率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抽样验证准确的CI数 / 抽样CI总数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每季度随机抽样≥200个CI；"准确"定义为属性字段（IP/配置/归属）偏差≤1项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批处理作业监控覆盖率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已接入监控平台的批处理作业数 / 应接入监控的批处理作业总数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分母以运维台账中标记为"需监控"的批处理作业为准，每季度核对一次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灾备演练独立场景年度完成数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年初至当季末累计完成的不同演练场景次数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同一场景多次演练仅计1次；"独立场景"以演练方案文件编号区分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IT-SR-06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P1/P2事件同根因90日内再发生率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90日内与已有事件同根因的新P1/P2事件数 / 当季P1/P2事件总数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"同根因"以ITMIS系统中标准化根因分类标签为准；多根因事件按主要根因计算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应用变更成功率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当月成功变更数 / 当月变更总数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"成功"定义为变更实施后24小时内无需回退；紧急变更纳入统计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外包人员操作合规率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当月PAM审计中无违规操作的外包人员操作会话数 / 当月外包人员操作会话总数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以PAM平台会话记录为准；"违规"以内部操作规范判定清单为依据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离职/调岗用户权限清理7日完成率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7个自然日内完成权限清理的离职/调岗人员数 / 当月离职/调岗人员总数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以HR系统离职/调岗时间戳为起算点；权限清理以IAM系统权限注销记录为准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应用层P2+事件平均响应时长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当月P2+事件响应时长之和 / 当月P2+事件总数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"响应时长"=工单创建时间至首次技术处理记录时间；统计P2及以上等级事件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IT-AS-05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外包应用交付质量验收通过率（首次）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当季首次验收通过的外包交付项目数 / 当季验收项目总数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仅计首次提交的验收结果；返工后再次提交不纳入本指标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SAST/DAST扫描中危及以上漏洞闭环整改率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当月已闭环整改的中危及以上漏洞数 / 当月扫描发现中危及以上漏洞总数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以扫描工具导出报告和JIRA/工单闭环记录为准；"闭环"含修复验证通过或风险接受审批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上线后90天内缺陷逃逸率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上线后90天内发现的生产缺陷数 / 当月上线版本功能点数（或用例数）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分母单位须在年度复盘时统一确认；仅统计P3及以上严重程度的缺陷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测试环境真实客户数据清零率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当季抽查中未发现真实客户数据的测试环境数 / 当季抽查测试环境总数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每季度全量扫描；"真实客户数据"以数据分类分级目录中的敏感字段为判断依据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DevSecOps流水线覆盖率（在建项目）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已接入DevSecOps安全流水线的在建项目数 / 在建项目总数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"在建项目"以项目管理系统中状态为"开发中/测试中"的项目为准；季度末时点统计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安全需求评审拦截有效率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当月评审中发现并拦截不合规安全需求的项目数 / 当月参与安全需求评审的项目总数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"拦截"指评审结论为"不通过/需整改"；0%须结合代码质量综合分析是否流于形式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扫描发现高危漏洞当月修复率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当月已修复的高危漏洞数 / 当月扫描发现高危漏洞总数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以漏洞管理平台修复状态为准；已提交风险接受申请的高危漏洞不计入分母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IT-DT-07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SAST/DAST扫描规则自定义深度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自定义规则数 / 平台规则总数（含默认+自定义）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以扫描平台规则配置统计为准；"自定义"指超出平台默认规则集的增量规则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安全产品高级功能启用率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已启用高级功能数 / 应启用高级功能总数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分母以《安全产品功能激活路线图》台账为准；每季度末时点统计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当月所有已修复高危漏洞修复周期之和（天）/ 已修复高危漏洞数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修复周期=漏洞发现日期至修复验证通过日期；分母为0时记N/A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PAM平台已接入并可审计的特权账号数 / 特权账号总数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特权账号总数以IAM系统中特权账号台账为准；季度末时点统计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核心系统安全基线自动化检测覆盖率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已接入自动化基线扫描的核心系统数 / 核心系统总数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"核心系统"定义以部内系统分级清单为准；季度末时点统计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P1级安全事件30分钟内响应达标率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当月30分钟内完成首次响应的P1安全事件数 / 当月P1安全事件总数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以SOC平台告警创建时间至安全工单首次响应时间戳为准；分母为0时记N/A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IT-NS-06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零信任架构季度覆盖进度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本季末已纳入零信任管控的资源/应用数 / 年度目标纳入数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分母以年度零信任推进计划为准；每季度末时点统计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已实现自动+半自动采集的KRI指标数 / 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采集方式以风险管理平台标注为准；季度末时点统计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当月超阈值且未在规定时限内完成处置的KRI指标数 / 当月超阈值KRI指标总数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处置时限：3个工作日；"未处置"指超时限无书面整改计划的状态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全行信息系统年度风险评估覆盖率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年初至当季末已完成年度风险评估的信息系统数 / 全行信息系统总数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分母以RCSA系统中在用系统总数为准；年度评估须有正式评估报告留存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各层级风险报告按期输出率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当月按时提交的风险报告份数 / 当月应提交的风险报告总份数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以报告发布台账为准；"按时"定义为不超过规定提交截止时间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IT治理委员会及CIO汇报履职记录完整率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当季实际召开IT治理委员会及CIO汇报次数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以会议纪要存档记录为准；单位为"次/季"，最低要求为≥1次/季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新技术上线前风险评估覆盖率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当月上线前完成风险评估的新技术项目数 / 当月新技术项目上线总数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"新技术"范围以立项审批系统中标记"新技术"的项目为准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IT-RM-07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全部门KRI体系中领先指标占比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全体系类型为"领先"的KRI指标数 / 全体系KRI指标总数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每季度末时点统计；指标类型调整须经年度复盘批准，不得随意重分类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新引入第三方组件上线前安全审查覆盖率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当月上线前完成安全审查的新引入第三方组件数 / 当月新引入第三方组件上线总数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以项目立项/变更系统记录为准；"完成审查"须有安全审查结论文件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主要系统软件依赖清单（BOM）覆盖率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已建立完整BOM的主要系统数 / 主要系统总数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分母以供应链管理台账中"主要系统"清单为准；BOM须包含直接依赖和一级间接依赖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公开高危CVE（严重级）30日内评估响应率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当月30日内完成评估响应的严重CVE数 / 当月公开严重CVE总数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CVE以NVD/CNVD严重级（CVSS≥9.0）为准；"评估响应"含影响评估报告或豁免审批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关键第三方服务可替代性评估完成率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年初至当季末完成可替代性评估的关键第三方服务数 / 全年应评估关键第三方服务总数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分母以年度供应链风险评估计划台账为准；评估报告须有替代方案或替代路径说明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IT-RG-05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高风险供应链组件替换计划季度执行率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当季按计划完成替换的高风险组件数 / 当季计划应替换的高风险组件总数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计划以年度组件替换追踪台账为准；已完成替换须经安全验证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外包人员离场48小时内权限回收率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当月48小时内完成权限回收的离场外包人员数 / 当月离场外包人员总数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以HR系统离场时间戳为起算点；权限回收以IAM/PAM系统权限注销记录为准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外包代码交付安全审查覆盖率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当季完成安全审查的外包代码交付批次数 / 当季外包代码交付总批次数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以项目管理系统交付记录为准；安全审查须有扫描报告或人工审查结论文件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关键外包商集中度合规率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集中度符合规定（单商≤50%）的关键外包商数 / 关键外包商总数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集中度=单一供应商合同金额 / 同类别外包总合同金额；月末时点统计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外包供应商年度安全评估完成率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年初至当季末完成年度安全评估的外包供应商数 / 全年应评估外包供应商总数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分母以年度供应商评估计划台账为准；评估结果须有正式评估报告留存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高风险外包供应商评估发现问题整改验证完成率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当季已完成整改验证的问题数 / 当季高风险外包供应商评估发现问题总数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"整改验证"须有供应商整改证据和内部验证记录；仅统计高风险评级供应商的发现问题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IT-TR-06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外包人员岗前安全培训/考试通过率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当季通过岗前安全培训/考试的新增外包人员数 / 当季新增外包人员总数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以培训管理系统考试记录为准；通过标准为考试成绩≥合格分数线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在场外包人员特权账户定期审查覆盖率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当季完成权限审查的在场外包特权账号数 / 当季在场外包特权账号总数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以PAM平台特权账户台账为准；审查频率为每季度一次；审查须有最小权限确认记录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IT-TR-08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核心系统外包人员背景调查完成率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当季完成背景调查的核心系统外包人员数 / 当季核心系统外包人员新增/续约总数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核心系统范围以部内系统分级清单为准；背景调查须有第三方机构出具的调查报告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修订记录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版本号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日期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修订内容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修订人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2026-03-10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初稿：合并指标体系与各板块季度报告模板（含规划/科技资源拆分后的完整版）；整合三模型评审意见：统一自动化口径、修正硬红线表述、领先指标重分类达标（24/44=54.5%）、新增外包人员安全指标；处理遗留事项：KRI/KCI/KPI类型说明、统一"未建立"规则（新增1.5节）、年度指标季度里程碑、节编号统一（2.1-2.7）、红线列表补全、新增附录指标口径字典；规范对标（C01/C02/C11）：添加总则要素；修订记录移至末尾；标题编号统一为数字格式；删除分隔线；附录标题规范化；更新交叉引用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</w:tbl>
    <w:p>
      <w:pPr>
        <w:spacing w:after="120" w:before="60" w:line="420" w:lineRule="atLeas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420" w:lineRule="atLeast"/>
      <w:jc w:val="center"/>
    </w:pPr>
    <w:r>
      <w:rPr>
        <w:rFonts w:ascii="FangSong" w:cs="FangSong" w:eastAsia="FangSong" w:hAnsi="FangSong"/>
        <w:sz w:val="30"/>
        <w:szCs w:val="30"/>
      </w:rPr>
      <w:t xml:space="preserve">- </w:t>
    </w:r>
    <w:r>
      <w:rPr>
        <w:rFonts w:ascii="FangSong" w:cs="FangSong" w:eastAsia="FangSong" w:hAnsi="FangSong"/>
        <w:sz w:val="30"/>
        <w:szCs w:val="30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30"/>
        <w:szCs w:val="3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420" w:lineRule="atLeast"/>
      <w:jc w:val="right"/>
    </w:pPr>
    <w:r>
      <w:rPr>
        <w:rFonts w:ascii="FangSong" w:cs="FangSong" w:eastAsia="FangSong" w:hAnsi="FangSong"/>
        <w:color w:val="99999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120" w:before="60" w:line="420" w:lineRule="atLeast"/>
        <w:ind w:left="567" w:hanging="567"/>
      </w:pPr>
      <w:rPr>
        <w:rFonts w:ascii="FangSong" w:cs="FangSong" w:eastAsia="FangSong" w:hAnsi="FangSong"/>
        <w:sz w:val="30"/>
        <w:szCs w:val="30"/>
      </w:rPr>
    </w:lvl>
    <w:lvl w:ilvl="1" w15:tentative="1">
      <w:start w:val="1"/>
      <w:numFmt w:val="bullet"/>
      <w:lvlText w:val="-"/>
      <w:lvlJc w:val="left"/>
      <w:pPr>
        <w:spacing w:after="120" w:before="60" w:line="420" w:lineRule="atLeast"/>
        <w:ind w:left="1134" w:hanging="567"/>
      </w:pPr>
      <w:rPr>
        <w:rFonts w:ascii="FangSong" w:cs="FangSong" w:eastAsia="FangSong" w:hAnsi="FangSong"/>
        <w:sz w:val="30"/>
        <w:szCs w:val="30"/>
      </w:rPr>
    </w:lvl>
    <w:lvl w:ilvl="2" w15:tentative="1">
      <w:start w:val="1"/>
      <w:numFmt w:val="bullet"/>
      <w:lvlText w:val="-"/>
      <w:lvlJc w:val="left"/>
      <w:pPr>
        <w:spacing w:after="120" w:before="60" w:line="420" w:lineRule="atLeast"/>
        <w:ind w:left="1701" w:hanging="567"/>
      </w:pPr>
      <w:rPr>
        <w:rFonts w:ascii="FangSong" w:cs="FangSong" w:eastAsia="FangSong" w:hAnsi="FangSong"/>
        <w:sz w:val="30"/>
        <w:szCs w:val="30"/>
      </w:rPr>
    </w:lvl>
    <w:lvl w:ilvl="3" w15:tentative="1">
      <w:start w:val="1"/>
      <w:numFmt w:val="bullet"/>
      <w:lvlText w:val="-"/>
      <w:lvlJc w:val="left"/>
      <w:pPr>
        <w:spacing w:after="120" w:before="60" w:line="420" w:lineRule="atLeast"/>
        <w:ind w:left="2268" w:hanging="567"/>
      </w:pPr>
      <w:rPr>
        <w:rFonts w:ascii="FangSong" w:cs="FangSong" w:eastAsia="FangSong" w:hAnsi="FangSong"/>
        <w:sz w:val="30"/>
        <w:szCs w:val="30"/>
      </w:rPr>
    </w:lvl>
    <w:lvl w:ilvl="4" w15:tentative="1">
      <w:start w:val="1"/>
      <w:numFmt w:val="bullet"/>
      <w:lvlText w:val="-"/>
      <w:lvlJc w:val="left"/>
      <w:pPr>
        <w:spacing w:after="120" w:before="60" w:line="420" w:lineRule="atLeast"/>
        <w:ind w:left="2835" w:hanging="567"/>
      </w:pPr>
      <w:rPr>
        <w:rFonts w:ascii="FangSong" w:cs="FangSong" w:eastAsia="FangSong" w:hAnsi="FangSong"/>
        <w:sz w:val="30"/>
        <w:szCs w:val="30"/>
      </w:rPr>
    </w:lvl>
    <w:lvl w:ilvl="5" w15:tentative="1">
      <w:start w:val="1"/>
      <w:numFmt w:val="bullet"/>
      <w:lvlText w:val="-"/>
      <w:lvlJc w:val="left"/>
      <w:pPr>
        <w:spacing w:after="120" w:before="60" w:line="420" w:lineRule="atLeast"/>
        <w:ind w:left="3402" w:hanging="567"/>
      </w:pPr>
      <w:rPr>
        <w:rFonts w:ascii="FangSong" w:cs="FangSong" w:eastAsia="FangSong" w:hAnsi="FangSong"/>
        <w:sz w:val="30"/>
        <w:szCs w:val="30"/>
      </w:rPr>
    </w:lvl>
    <w:lvl w:ilvl="6" w15:tentative="1">
      <w:start w:val="1"/>
      <w:numFmt w:val="bullet"/>
      <w:lvlText w:val="-"/>
      <w:lvlJc w:val="left"/>
      <w:pPr>
        <w:spacing w:after="120" w:before="60" w:line="420" w:lineRule="atLeast"/>
        <w:ind w:left="3969" w:hanging="567"/>
      </w:pPr>
      <w:rPr>
        <w:rFonts w:ascii="FangSong" w:cs="FangSong" w:eastAsia="FangSong" w:hAnsi="FangSong"/>
        <w:sz w:val="30"/>
        <w:szCs w:val="30"/>
      </w:rPr>
    </w:lvl>
    <w:lvl w:ilvl="7" w15:tentative="1">
      <w:start w:val="1"/>
      <w:numFmt w:val="bullet"/>
      <w:lvlText w:val="-"/>
      <w:lvlJc w:val="left"/>
      <w:pPr>
        <w:spacing w:after="120" w:before="60" w:line="420" w:lineRule="atLeast"/>
        <w:ind w:left="4536" w:hanging="567"/>
      </w:pPr>
      <w:rPr>
        <w:rFonts w:ascii="FangSong" w:cs="FangSong" w:eastAsia="FangSong" w:hAnsi="FangSong"/>
        <w:sz w:val="30"/>
        <w:szCs w:val="30"/>
      </w:rPr>
    </w:lvl>
    <w:lvl w:ilvl="8" w15:tentative="1">
      <w:start w:val="1"/>
      <w:numFmt w:val="bullet"/>
      <w:lvlText w:val="-"/>
      <w:lvlJc w:val="left"/>
      <w:pPr>
        <w:spacing w:after="120" w:before="60" w:line="420" w:lineRule="atLeast"/>
        <w:ind w:left="5103" w:hanging="567"/>
      </w:pPr>
      <w:rPr>
        <w:rFonts w:ascii="FangSong" w:cs="FangSong" w:eastAsia="FangSong" w:hAnsi="FangSong"/>
        <w:sz w:val="30"/>
        <w:szCs w:val="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1" w15:tentative="1">
      <w:start w:val="1"/>
      <w:numFmt w:val="decimal"/>
      <w:lvlText w:val="%1.%2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2" w15:tentative="1">
      <w:start w:val="1"/>
      <w:numFmt w:val="decimal"/>
      <w:lvlText w:val="%1.%2.%3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3" w15:tentative="1">
      <w:start w:val="1"/>
      <w:numFmt w:val="decimal"/>
      <w:lvlText w:val="%1.%2.%3.%4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4" w15:tentative="1">
      <w:start w:val="1"/>
      <w:numFmt w:val="decimal"/>
      <w:lvlText w:val="%1.%2.%3.%4.%5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5" w15:tentative="1">
      <w:start w:val="1"/>
      <w:numFmt w:val="decimal"/>
      <w:lvlText w:val="%1.%2.%3.%4.%5.%6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30"/>
        <w:szCs w:val="30"/>
      </w:rPr>
    </w:rPrDefault>
    <w:pPrDefault>
      <w:pPr>
        <w:spacing w:after="120" w:before="60" w:line="42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60" w:line="420" w:lineRule="atLeast"/>
      <w:jc w:val="center"/>
    </w:pPr>
    <w:rPr>
      <w:rFonts w:ascii="FangSong" w:cs="FangSong" w:eastAsia="FangSong" w:hAnsi="FangSong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60" w:line="420" w:lineRule="atLeast"/>
      <w:outlineLvl w:val="0"/>
    </w:pPr>
    <w:rPr>
      <w:rFonts w:ascii="FangSong" w:cs="FangSong" w:eastAsia="FangSong" w:hAnsi="FangSong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60" w:line="420" w:lineRule="atLeast"/>
      <w:outlineLvl w:val="1"/>
    </w:pPr>
    <w:rPr>
      <w:rFonts w:ascii="FangSong" w:cs="FangSong" w:eastAsia="FangSong" w:hAnsi="FangSong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60" w:line="420" w:lineRule="atLeast"/>
      <w:outlineLvl w:val="2"/>
    </w:pPr>
    <w:rPr>
      <w:rFonts w:ascii="FangSong" w:cs="FangSong" w:eastAsia="FangSong" w:hAnsi="FangSong"/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20" w:before="60" w:line="420" w:lineRule="atLeast"/>
      <w:outlineLvl w:val="3"/>
    </w:pPr>
    <w:rPr>
      <w:rFonts w:ascii="FangSong" w:cs="FangSong" w:eastAsia="FangSong" w:hAnsi="FangSong"/>
      <w:b/>
      <w:bCs/>
      <w:sz w:val="30"/>
      <w:szCs w:val="30"/>
    </w:rPr>
  </w:style>
  <w:style w:type="paragraph" w:styleId="Heading5">
    <w:name w:val="Heading 5"/>
    <w:basedOn w:val="Normal"/>
    <w:next w:val="Normal"/>
    <w:qFormat/>
    <w:pPr>
      <w:spacing w:after="120" w:before="60" w:line="420" w:lineRule="atLeast"/>
      <w:outlineLvl w:val="4"/>
    </w:pPr>
    <w:rPr>
      <w:rFonts w:ascii="FangSong" w:cs="FangSong" w:eastAsia="FangSong" w:hAnsi="FangSong"/>
      <w:b/>
      <w:bCs/>
      <w:sz w:val="30"/>
      <w:szCs w:val="30"/>
    </w:rPr>
  </w:style>
  <w:style w:type="paragraph" w:styleId="Heading6">
    <w:name w:val="Heading 6"/>
    <w:basedOn w:val="Normal"/>
    <w:next w:val="Normal"/>
    <w:qFormat/>
    <w:pPr>
      <w:spacing w:after="120" w:before="60" w:line="420" w:lineRule="atLeast"/>
      <w:outlineLvl w:val="5"/>
    </w:pPr>
    <w:rPr>
      <w:rFonts w:ascii="FangSong" w:cs="FangSong" w:eastAsia="FangSong" w:hAnsi="FangSong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2026-03-10T09:51:59.044Z</dcterms:created>
  <dcterms:modified xsi:type="dcterms:W3CDTF">2026-03-10T09:51:59.044Z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