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银行信息科技风险监管评级提升协同作战计划（2026—2030）</w:t>
      </w:r>
    </w:p>
    <w:p>
      <w:pPr>
        <w:pStyle w:val="Heading1"/>
        <w:spacing w:after="120" w:before="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第一章 综述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（一）制定目的与目标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本计划面向2026—2030年五年周期，以"超越底线、质量优先、深化落地、协同作战"为核心，在现有制度框架与平台基础上，系统提升信息科技风险管理的实质有效性，推动监管评级持续改善。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2026年核心目标</w:t>
      </w:r>
      <w:r>
        <w:rPr>
          <w:rFonts w:ascii="FangSong" w:cs="FangSong" w:eastAsia="FangSong" w:hAnsi="FangSong"/>
          <w:sz w:val="30"/>
          <w:szCs w:val="30"/>
        </w:rPr>
        <w:t xml:space="preserve">：严格对照《商业银行信息科技风险管理指引》八大评级维度，以"深化落地、提升实质有效性、全面提升质量标尺"为主线，聚焦监管高频扣分项，推动评级从[当前级别]提升至[目标级别]，信息科技风险得分提升[目标分值]以上，助力全行综合监管评级升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五年战略目标</w:t>
      </w:r>
      <w:r>
        <w:rPr>
          <w:rFonts w:ascii="FangSong" w:cs="FangSong" w:eastAsia="FangSong" w:hAnsi="FangSong"/>
          <w:sz w:val="30"/>
          <w:szCs w:val="30"/>
        </w:rPr>
        <w:t xml:space="preserve">：至2030年，监管评级稳定保持优良等级，建立可持续运转的科技风险治理长效机制，实现从"底线合规"向"高质量治理"的持续转变，力争达到[政策性银行同业先进水平]。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（二）方案整体逻辑与摘要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本方案的立论起点是两个判断：其一，本行信息科技风险管理的核心矛盾不在于"有没有"，而在于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底线思维过重</w:t>
      </w:r>
      <w:r>
        <w:rPr>
          <w:rFonts w:ascii="FangSong" w:cs="FangSong" w:eastAsia="FangSong" w:hAnsi="FangSong"/>
          <w:sz w:val="30"/>
          <w:szCs w:val="30"/>
        </w:rPr>
        <w:t xml:space="preserve">——各项工作以满足监管最低要求为隐性目标，合规水平普遍接近监管底线（详见第二章）；其二，存在少量缺口， 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数据治理层面</w:t>
      </w:r>
      <w:r>
        <w:rPr>
          <w:rFonts w:ascii="FangSong" w:cs="FangSong" w:eastAsia="FangSong" w:hAnsi="FangSong"/>
          <w:sz w:val="30"/>
          <w:szCs w:val="30"/>
        </w:rPr>
        <w:t xml:space="preserve">，数据资产目录、数据分类分级等基础工作尚未落地[有待核实，据我们所知2025年还没落实到系统层面]。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基于上述诊断与监管趋势分析（第三章），本方案确立"超越底线、质量优先"等核心原则（第四章），并将八大监管评级维度映射为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十大战役</w:t>
      </w:r>
      <w:r>
        <w:rPr>
          <w:rFonts w:ascii="FangSong" w:cs="FangSong" w:eastAsia="FangSong" w:hAnsi="FangSong"/>
          <w:sz w:val="30"/>
          <w:szCs w:val="30"/>
        </w:rPr>
        <w:t xml:space="preserve">，按强度分层推进：每年选定1—2个方向集中投入形成重点突破，其余战役以底线保障或深化维护为定位，确保全维度覆盖的同时实现重点跨档提升。十大战役的完整框架定义见第五章。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五年演进分为五个阶段：2026年夯实基础、攻坚评级（第六章），2027年深化体系（第七章），2028年争创优良（第八章），2029年数字赋能（第九章），2030年持续优化与长效治理（第十章）。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在组织保障层面，各年度作战计划中的部门分工基于全行既有职责定位；第十一章对各部门在本计划中的角色做显式汇总，并定义"风险—科技—数据"三角联席等专项协作机制，为跨部门协同提供制度支撑。保障措施与应急调整机制见第十二章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（三）适用范围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覆盖全行各部门、各分支机构。核心聚焦信息科技部、风险管理、审计部、数据管理部四大关键职能，同时明确业务部门在特定战役中的协同职责，确保各项工作落地到岗、责任到人。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第二章 现状诊断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（一）现有基础能力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本行信息科技风险管理已具备以下基础能力，本计划以此为起点推进深化与提升，而非重复建设：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基础领域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现状描述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IT服务管理框架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ITIL/ISO 20000体系已实施，ITMIS平台（含事件、变更、配置管理模块）运行中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已认证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信息安全管理体系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ISMS/ISO 27001已通过认证，安全制度体系已建立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已认证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等级保护测评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重要系统已完成等保2.0测评并通过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密码测评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核心系统已完成商用密码应用安全性评估（密评）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核心制度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信息科技风险管理办法、外包管理办法等必要制度已发布生效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安全运营与监控平台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SOC、漏洞扫描平台、态势感知平台、ITMIS运维平台已部署上线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终端与数据安全工具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终端安全管理平台（EDR/终端防护）、DLP（数据防泄漏）已部署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特权账号管理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特权账号管理平台（PAM）已上线，覆盖服务器、数据库等关键系统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边界防御设施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防火墙、IDS/IPS、WAF等边界防御设备已部署；网络及主机监控设施齐备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容灾基础设施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容灾中心已建设，具备异地灾备能力，支撑RTO/RPO达标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软件开发成熟度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CMMi 已通过评估（软件开发能力成熟度基础已具备）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（二）核心问题诊断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两类问题并存</w:t>
      </w:r>
      <w:r>
        <w:rPr>
          <w:rFonts w:ascii="FangSong" w:cs="FangSong" w:eastAsia="FangSong" w:hAnsi="FangSong"/>
          <w:sz w:val="30"/>
          <w:szCs w:val="30"/>
        </w:rPr>
        <w:t xml:space="preserve">：当前本行信息科技风险管理的核心矛盾不在于"有没有"，而在于"好不好"与"确有缺失"。</w:t>
      </w: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一方面，上述基础框架与安全设施已解决"有没有"的问题，但在执行深度和实质有效性上普遍存在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底线思维</w:t>
      </w:r>
      <w:r>
        <w:rPr>
          <w:rFonts w:ascii="FangSong" w:cs="FangSong" w:eastAsia="FangSong" w:hAnsi="FangSong"/>
          <w:sz w:val="30"/>
          <w:szCs w:val="30"/>
        </w:rPr>
        <w:t xml:space="preserve">：等保/密评重在通过而非整改落地；各类安全设备与平台的核心问题不在于基本处置流程，而在于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检测视野盲区</w:t>
      </w:r>
      <w:r>
        <w:rPr>
          <w:rFonts w:ascii="FangSong" w:cs="FangSong" w:eastAsia="FangSong" w:hAnsi="FangSong"/>
          <w:sz w:val="30"/>
          <w:szCs w:val="30"/>
        </w:rPr>
        <w:t xml:space="preserve">——超出默认配置与基础功能范围、需要主动设置或主动分析的能力普遍被忽略；各领域合规水平普遍接近监管最低要求。</w:t>
      </w: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另一方面，存在少量缺口， 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数据治理层面</w:t>
      </w:r>
      <w:r>
        <w:rPr>
          <w:rFonts w:ascii="FangSong" w:cs="FangSong" w:eastAsia="FangSong" w:hAnsi="FangSong"/>
          <w:sz w:val="30"/>
          <w:szCs w:val="30"/>
        </w:rPr>
        <w:t xml:space="preserve">*，数据资产目录、数据分类分级等基础性工作尚未系统落地，成为评级提升的突出短板（对应战役八）。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对评级的影响</w:t>
      </w:r>
      <w:r>
        <w:rPr>
          <w:rFonts w:ascii="FangSong" w:cs="FangSong" w:eastAsia="FangSong" w:hAnsi="FangSong"/>
          <w:sz w:val="30"/>
          <w:szCs w:val="30"/>
        </w:rPr>
        <w:t xml:space="preserve">：初步判断，当前各评级维度的总体状态是"维度均有覆盖，执行多在边缘"——底线思维虽可在各维度保持基本合格、避免明显失分，但在各维度上缺乏显著高于监管基准的质量优势，导致评级难以实现跨档提升。要从"基本合格"走向"优良"，必须在各维度上建立起超越底线的质量厚度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第三章 监管动态与趋势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本章系统梳理五年计划期内的监管政策演进趋势，作为各阶段重点工作安排的依据。监管预测基于现行政策脉络分析，实际政策以监管机构正式发文为准，计划每年复盘时根据新发政策滚动调整。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（一）现行监管框架要点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当前信息科技风险监管的核心依据体系如下，构成五年计划的基准约束：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监管层级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主要约束方向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国家法律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《网络安全法》《数据安全法》《个人信息保护法》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数据安全、网络运行安全的法律底线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行政法规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《关键信息基础设施安全保护条例》（2021）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关基运营者安全保护义务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监管指引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《商业银行信息科技风险管理指引》（银监发〔2009〕19号）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IT治理三道防线、八大评级维度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规范性文件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《银行保险机构信息科技外包风险监管办法》（银保监办发〔2021〕141号）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外包全生命周期、集中度量化管控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规范性文件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《银行保险机构数据安全管理办法》（金规〔2024〕24号）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数据全生命周期、分类分级强制化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部门规章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《中国人民银行业务领域数据安全管理办法》（人民银行令〔2025〕第3号）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支付清算等人行业务领域数据安全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技术标准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等保2.0（GB/T 22239—2019）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二级及以上系统等保测评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技术标准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密评（GB/T 39786—2021）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核心系统商用密码应用评估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（二）2026年近期监管动向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以下政策动向高度确定，直接影响本计划2026年战役的工作重点：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《金融科技发展规划（2026—2030年）》</w:t>
      </w:r>
      <w:r>
        <w:rPr>
          <w:rFonts w:ascii="FangSong" w:cs="FangSong" w:eastAsia="FangSong" w:hAnsi="FangSong"/>
          <w:sz w:val="30"/>
          <w:szCs w:val="30"/>
        </w:rPr>
        <w:t xml:space="preserve">：现行2022-2025年规划到期，新一轮五年规划预计2026年发布，将明确"人工智能+"深度应用、数据资产价值释放等方向，直接驱动本计划后续阶段的战略重点。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AI算法风险专项监管</w:t>
      </w:r>
      <w:r>
        <w:rPr>
          <w:rFonts w:ascii="FangSong" w:cs="FangSong" w:eastAsia="FangSong" w:hAnsi="FangSong"/>
          <w:sz w:val="30"/>
          <w:szCs w:val="30"/>
        </w:rPr>
        <w:t xml:space="preserve">：2025年AI算法风险已成监管核心关注点，大模型备案管理要求、算法审计纳入信息科技审计范围等动作预计在2025-2026年陆续落地；金融领域AI模型风险管理专项指引有望出台。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数据安全双规落地</w:t>
      </w:r>
      <w:r>
        <w:rPr>
          <w:rFonts w:ascii="FangSong" w:cs="FangSong" w:eastAsia="FangSong" w:hAnsi="FangSong"/>
          <w:sz w:val="30"/>
          <w:szCs w:val="30"/>
        </w:rPr>
        <w:t xml:space="preserve">：金监总局数据安全办法（金规〔2024〕24号，2024年12月施行）和人民银行数据安全办法（2025年6月施行）相继落地，2026年是执法检查的关键之年，数据分类分级、敏感数据目录将是检查重点。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《商业银行信息科技风险管理指引》修订压力</w:t>
      </w:r>
      <w:r>
        <w:rPr>
          <w:rFonts w:ascii="FangSong" w:cs="FangSong" w:eastAsia="FangSong" w:hAnsi="FangSong"/>
          <w:sz w:val="30"/>
          <w:szCs w:val="30"/>
        </w:rPr>
        <w:t xml:space="preserve">：该文件历经15年未作整体修订，修订方向预期增加AI治理专章、数据资产化框架和第三方风险章节，2026年后存在修订可能。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（三）2027—2028年中期趋势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以下趋势对本计划第二、三阶段工作安排有重要影响：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AI算法审计常态化</w:t>
      </w:r>
      <w:r>
        <w:rPr>
          <w:rFonts w:ascii="FangSong" w:cs="FangSong" w:eastAsia="FangSong" w:hAnsi="FangSong"/>
          <w:sz w:val="30"/>
          <w:szCs w:val="30"/>
        </w:rPr>
        <w:t xml:space="preserve">：AI算法审计有望成为信息科技审计的常规检查项，银行需建立算法模型全生命周期管理制度和可解释性保障机制。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密评覆盖率要求提升</w:t>
      </w:r>
      <w:r>
        <w:rPr>
          <w:rFonts w:ascii="FangSong" w:cs="FangSong" w:eastAsia="FangSong" w:hAnsi="FangSong"/>
          <w:sz w:val="30"/>
          <w:szCs w:val="30"/>
        </w:rPr>
        <w:t xml:space="preserve">：密评覆盖范围向重要业务系统扩展，核心系统密评覆盖率将成为现场检查重要指标。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数字金融能力评估</w:t>
      </w:r>
      <w:r>
        <w:rPr>
          <w:rFonts w:ascii="FangSong" w:cs="FangSong" w:eastAsia="FangSong" w:hAnsi="FangSong"/>
          <w:sz w:val="30"/>
          <w:szCs w:val="30"/>
        </w:rPr>
        <w:t xml:space="preserve">：监管对银行AI应用、数据资产、云原生架构等数字金融能力的评估要求提升，科技投入产出比将纳入综合评价视野。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（四）2029—2030年长期趋势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以下长期趋势影响本计划第四、五阶段的工作方向：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实时监管与穿透监管全面建成</w:t>
      </w:r>
      <w:r>
        <w:rPr>
          <w:rFonts w:ascii="FangSong" w:cs="FangSong" w:eastAsia="FangSong" w:hAnsi="FangSong"/>
          <w:sz w:val="30"/>
          <w:szCs w:val="30"/>
        </w:rPr>
        <w:t xml:space="preserve">：EAST系统向实时、准实时数据采集演进，监管机构的非现场监测能力大幅提升，银行需具备监管数据自动采集、实时校验和接口对接能力。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AI伦理治理框架成熟</w:t>
      </w:r>
      <w:r>
        <w:rPr>
          <w:rFonts w:ascii="FangSong" w:cs="FangSong" w:eastAsia="FangSong" w:hAnsi="FangSong"/>
          <w:sz w:val="30"/>
          <w:szCs w:val="30"/>
        </w:rPr>
        <w:t xml:space="preserve">：AI伦理委员会将成为银行标配治理架构，算法公平性、可解释性、数据偏见防范成为常规合规要求。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数据资产化体系完善</w:t>
      </w:r>
      <w:r>
        <w:rPr>
          <w:rFonts w:ascii="FangSong" w:cs="FangSong" w:eastAsia="FangSong" w:hAnsi="FangSong"/>
          <w:sz w:val="30"/>
          <w:szCs w:val="30"/>
        </w:rPr>
        <w:t xml:space="preserve">：数据资产入表配套实施细则落地，金融数据流通交易规则明确，银行数据资产管理能力将面临全面评估。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（五）监管趋势与五年计划阶段映射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计划阶段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监管驱动力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本计划对应调整方向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2026（夯实基础）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数据安全双规执法、AI算法风险检查新增、评级指引不变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重点突破（战役二/三），数据治理确认与落地（战役八）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2027（深化体系）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新金科规划落地、AI治理要求细化、密评覆盖提升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DevSecOps成熟化（战役四重点突破），体系成熟化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2028（争创优良）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算法审计常态化、数字金融能力评估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内部模拟检查里程碑（战役二重点突破），争优良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2029（数字赋能）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实时监管升级、数据资产化规则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监管数据实时接口上线（战役二/八重点突破）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2030（持续优化）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AI伦理框架成熟、可持续治理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科技风险量化预测模型成熟验证（战役二重点突破）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第四章 方针原则与战略路径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（一）核心原则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基于第二章的现状诊断与第三章的监管趋势分析，本方案确立以下核心原则：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超越底线，质量优先</w:t>
      </w:r>
      <w:r>
        <w:rPr>
          <w:rFonts w:ascii="FangSong" w:cs="FangSong" w:eastAsia="FangSong" w:hAnsi="FangSong"/>
          <w:sz w:val="30"/>
          <w:szCs w:val="30"/>
        </w:rPr>
        <w:t xml:space="preserve">：拒绝以满足监管最低要求为隐性目标，以"实质有效"而非"形式达标"为交付标准；所有战役的任务动词优先采用"深化、提升、落地"，而非"建设、新增、发布"；已有基础上的质量提升，比重复建设更重要。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提标聚焦，重点突破</w:t>
      </w:r>
      <w:r>
        <w:rPr>
          <w:rFonts w:ascii="FangSong" w:cs="FangSong" w:eastAsia="FangSong" w:hAnsi="FangSong"/>
          <w:sz w:val="30"/>
          <w:szCs w:val="30"/>
        </w:rPr>
        <w:t xml:space="preserve">：核心问题是质量标尺偏低而非基础缺失，不应将"提升质量标准"混同为"补建基础设施"；重点突破方向不能靠堆砌数量，须每年有意识地选定方向集中投入，形成显著优于监管基准的质量优势；全面提标保住基本分，重点突破才能推动评级跨档提升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对标监管，全量覆盖</w:t>
      </w:r>
      <w:r>
        <w:rPr>
          <w:rFonts w:ascii="FangSong" w:cs="FangSong" w:eastAsia="FangSong" w:hAnsi="FangSong"/>
          <w:sz w:val="30"/>
          <w:szCs w:val="30"/>
        </w:rPr>
        <w:t xml:space="preserve">：以《商业银行信息科技风险管理指引》八大评级维度为基准坐标系，建立"评级维度—战役—任务—交付物"的四级映射关系，确保每个评级维度都有对应的主责战役（D8信息科技审计因审计独立性要求，以独立保障机制覆盖而非设置独立战役），不留覆盖盲区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协同联动，打破壁垒</w:t>
      </w:r>
      <w:r>
        <w:rPr>
          <w:rFonts w:ascii="FangSong" w:cs="FangSong" w:eastAsia="FangSong" w:hAnsi="FangSong"/>
          <w:sz w:val="30"/>
          <w:szCs w:val="30"/>
        </w:rPr>
        <w:t xml:space="preserve">：以三大核心协作机制为抓手，推动信息科技部各专业板块与风险管理、审计部、数据管理部及业务部门高效联动，形成协同作战格局（详见第十一章）。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务实落地，量化可考</w:t>
      </w:r>
      <w:r>
        <w:rPr>
          <w:rFonts w:ascii="FangSong" w:cs="FangSong" w:eastAsia="FangSong" w:hAnsi="FangSong"/>
          <w:sz w:val="30"/>
          <w:szCs w:val="30"/>
        </w:rPr>
        <w:t xml:space="preserve">：所有战役任务明确"牵头板块/部门+协同部门+交付物+量化验收标准+完成时限"，每项工作均有具体动作、可穿透验证的量化标准和证据要求。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机制兜底，闭环管控</w:t>
      </w:r>
      <w:r>
        <w:rPr>
          <w:rFonts w:ascii="FangSong" w:cs="FangSong" w:eastAsia="FangSong" w:hAnsi="FangSong"/>
          <w:sz w:val="30"/>
          <w:szCs w:val="30"/>
        </w:rPr>
        <w:t xml:space="preserve">：以"整改销号"机制为保障，强化审计独立验证，形成"发现—认领—整改—验证—销号"全闭环（详见第十一章）。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聚焦提升，证据先行</w:t>
      </w:r>
      <w:r>
        <w:rPr>
          <w:rFonts w:ascii="FangSong" w:cs="FangSong" w:eastAsia="FangSong" w:hAnsi="FangSong"/>
          <w:sz w:val="30"/>
          <w:szCs w:val="30"/>
        </w:rPr>
        <w:t xml:space="preserve">：优先启动需要长周期积累执行记录的维度（开发测试管理、运行管理），确保迎检时有充足、连续的过程证据链。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跟踪监管，动态优化</w:t>
      </w:r>
      <w:r>
        <w:rPr>
          <w:rFonts w:ascii="FangSong" w:cs="FangSong" w:eastAsia="FangSong" w:hAnsi="FangSong"/>
          <w:sz w:val="30"/>
          <w:szCs w:val="30"/>
        </w:rPr>
        <w:t xml:space="preserve">：以年度复盘和监管政策跟踪为驱动，滚动调整各年度目标，确保计划始终对准监管前沿（参见第三章监管动态与趋势）。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（二）监管评级维度与战役映射总表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下表建立了监管评级八大维度与十大战役的显式映射关系，并明确各战役的主要落实年份与牵头责任。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监管评级维度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主要落实年份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牵头责任部门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维度覆盖率目标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D1 信息科技治理（第二章）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战役一：治理架构与履职深化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D2 信息科技风险管理（第三章）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战役二：IT风险管理体系深化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D3 信息安全（第四章）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战役三：信息安全深化攻坚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2026—2029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D4 开发测试维护（第五章）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战役四：开发测试安全基线提升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2026—2028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D5 信息科技运行（第六章）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战役五：IT运行管理深化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D6 业务连续性管理（第七章）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战役六：业务连续性与灾备实战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D7 外包管理（第八章）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战役七：供应链安全与外包管理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2026—2028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D8 信息科技审计（第九、十章）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独立保障机制（贯穿全计划）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审计部（独立）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数据治理（综合监管独立要素）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战役八：数据治理与隐私保护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前瞻性风险防范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战役九：新技术应用与AI安全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建立基础框架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人才与文化（跨维度支撑）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战役十：人才队伍与文化培育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说明：D8（信息科技审计）不设独立战役，而是作为独立保障机制贯穿全计划，以确保审计的独立性不因参与战役执行而受损。上表"监管评级维度"列括号内章节号引自《商业银行信息科技风险管理指引》（银监发〔2009〕19号），非本文档章节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（三）五年战略演进路径</w:t>
      </w:r>
    </w:p>
    <w:p>
      <w:pPr>
        <w:spacing w:after="120" w:before="60" w:line="420" w:lineRule="atLeast"/>
        <w:jc w:val="center"/>
      </w:pPr>
      <w:r>
        <w:drawing>
          <wp:inline distT="0" distB="0" distL="0" distR="0">
            <wp:extent cx="54006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（四）五年关键指标演进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指标类别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2026基准建立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2028目标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2030目标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系统可用性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核心系统年度可用率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99.95%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99.99%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SAST/DAST扫描闭环整改率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灾备能力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RTO/RPO演练达标率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安全漏洞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高危漏洞平均修复周期（天）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15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7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开发质量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系统上线后缺陷逃逸率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0.5%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KRI质量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80%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故障恢复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核心系统MTTR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较基准降低30%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较基准降低40%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监管评级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信息科技风险监管评级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攻坚提级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良好等级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优良等级稳定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（五）十大战役与五年规划强度映射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下表展示十大战役在五年各阶段的强度定位。各战役的完整框架定义（战役定位、职责分工、五年演进路径、核心工作机制、典型交付物）见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；各年度具体执行计划见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第六至十章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主责部门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2027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2029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适应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智能化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赋能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重点突破候选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深控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待确认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引领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输出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 十大战役框架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为十大战役的定义性文档——明确各战役的战役定位、职责归属、五年演进路径、核心工作机制与典型交付物。本章内容在五年计划周期内保持稳定，各年度具体执行任务见第六至十章年度作战计划，并在相应战役条目中注明"详见第五章"。各战役涉及的部门分工与协作机制定义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第十一章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战役一：治理架构与履职深化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对应评级维度：D1 信息科技治理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：IT治理的基础架构（CIO设置、三道防线、委员会机制、IT战略规划）均已具备；本战役的核心不是"有没有"，而是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履职记录的完整性与可查验性</w:t>
      </w:r>
      <w:r>
        <w:rPr>
          <w:rFonts w:ascii="FangSong" w:cs="FangSong" w:eastAsia="FangSong" w:hAnsi="FangSong"/>
          <w:sz w:val="30"/>
          <w:szCs w:val="30"/>
        </w:rPr>
        <w:t xml:space="preserve">——检查时能否拿出连续完整的会议纪要、CIO汇报记录、岗位分离执行台账，是决定评级的关键。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风险管理部（全行层面）；协同：数据管理部、人力资源部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履职证据链完整可查验：CIO汇报记录、委员会纪要连续≥4次、岗位分离无交叉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IT管理委员会运作规范化；三道防线履职质量提升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信息科技管理体系3年综合评估；AI治理专章纳入治理框架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适应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应对《商业银行信息科技风险管理指引》修订，调整治理结构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科技风险治理成熟度综合评估；治理架构长效机制固化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CIO向行长直接汇报路径的制度保障；开发/测试/运维三类岗位的职责分离执行质量管控；IT管理委员会季度例会与决策留痕（≥4次/年）；IT战略规划与全行经营战略年度对齐核查；董事会科技风险专题汇报（≥4次/年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：《CIO岗位职责说明书》（含履职记录）、《信息科技战略规划》（年度执行跟踪）、《岗位职责分离矩阵》、IT管理委员会季度会议纪要、《科技风险治理手册》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战役二：IT风险管理体系深化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对应评级维度：D2 信息科技风险管理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：构建量化、可视、闭环的信息科技风险管理体系，从"有制度有框架"升级到"数据真实、指标有效、预警及时"；以2026年为起点持续积累高质量数据，支撑2030年科技风险量化预测模型的最终重点突破成果。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风险管理部（全行层面）；协同：数据管理部、各业务部门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KRI体系完善（指标质量提升+自动采集≥60%）；全行风险评估；ITMIS/SOC能力激活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KRI自动采集≥80%；风险量化方法论引入；外包风险量化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内部模拟检查机制建立并运作（整改完成率≥95%）；科技风险全景地图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监管数据自动化实时采集接口上线；量化预测模型建设启动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科技风险量化预测模型成熟验证（4年数据积累成果）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KRI指标体系的双维度持续优化（指标质量：领先指标优先；采集质量：自动采集率持续提升）；分层分级风险报告的频率和质量管控（周/月/季三级）；年度全行信息系统风险评估（RCSA方法论）；ITMIS/SOC平台的实际应用深化（激活已有但未充分使用的模块）；风险事件管理与损失数据持续积累；持续优化KRI内部数据采集与分析质量，为监管评级系统（GIRR）提供高质量输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：《信息科技风险管理框架》（年度修订）、《KRI指标体系》（含自动采集覆盖率统计）、《年度风险评估报告》（含风险热力图）、各层级风险报告、《风险事件损失分析报告》（季度）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战役三：信息安全深化攻坚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对应评级维度：D3 信息安全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：在ISMS/ISO 27001认证、等保测评、密评已通过的基础上，重点提升安全体系的执行实质性——激活现有安全产品的完整功能（消除"已购未用"），深化访问控制、漏洞管理、安全监测与响应的质量，以穿透检查通过（而非证书维护）为验收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：信息科技部·网络安全；协同：信息科技部·风险管理-制度处、风险管理部、数据管理部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安全产品功能系统性激活；PAM精细化；安全基线自动化；零信任启动；红蓝对抗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零信任覆盖核心系统；漏洞修复周期≤15天；全员安全培训全覆盖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AI模型安全管控框架完善；攻防演练常态化≥2次/年；安全能力覆盖扩展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智能化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SOC关联规则大幅扩展；UEBA引入；威胁响应时效较基准-50%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AI伦理审查机制；安全事件重复率≤5%；安全能力行业领先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安全产品功能激活路线图的制定与执行（逐产品梳理已购能力与实际启用差距，消除底线思维导致的功能闲置）；特权访问管理（PAM）全链路管控（申请—审批—记录—审计）；安全基线自动化检测与整改闭环；零信任架构分阶段落地；红蓝对抗演练（无预告）；数据安全双规合规整改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：《安全产品功能激活路线图》及年度验收报告、《PAM深化实施报告》、《安全基线自动化检测报告》、《红蓝对抗复盘报告》、《数据安全双规合规差距分析报告》、漏洞整改台账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战役四：开发测试安全基线提升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对应评级维度：D4 信息系统开发、测试和维护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：开发测试领域的制度框架与流程（SDLC、变更管理、测试规范）已具备，核心问题是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安全基线的质量标尺系统性偏低</w:t>
      </w:r>
      <w:r>
        <w:rPr>
          <w:rFonts w:ascii="FangSong" w:cs="FangSong" w:eastAsia="FangSong" w:hAnsi="FangSong"/>
          <w:sz w:val="30"/>
          <w:szCs w:val="30"/>
        </w:rPr>
        <w:t xml:space="preserve">——SAST/DAST扫描以默认规则运行、扫描结果以"无高危即通过"为标准、安全需求在SDLC中停留在检查清单层面而非质量门禁层面；以DevSecOps成熟度提升为中期重点突破目标，推动安全基线从"形式嵌入"走向"实质有效"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：信息科技部·开发测试；协同：信息科技部·网络安全（安全测试）、信息科技部·应用支持（需求接口）、风险管理部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安全基线检测规则深化（超越默认配置）；SAST/DAST扫描闭环整改率≥90%；测试数据清零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DevSecOps流水线覆盖主要项目≥60%；SCA引入；密评适配改造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DevSecOps覆盖率≥80%；密评覆盖核心系统；开源风险识别率100%；推进CMMi Level 4评估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AI辅助测试引入；安全左移效果持续验证与优化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缺陷逃逸率≤0.5%；AI辅助测试规模化；安全开发能力行业领先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安全基线检测规则的定制化深化（逐项目梳理默认规则与实际风险的差距，提升检测深度）；SAST/DAST扫描结果闭环整改（从"无高危即通过"提升为"中危以上全量闭环"）；安全需求纳入SDLC质量门禁（安全评审不通过不得进入下一阶段）；测试环境数据脱敏自动化（真实数据清零）；软件成分分析（SCA）与开源组件风险管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：《安全基线检测规则定制化报告》、SAST/DAST扫描闭环整改台账、《SDLC安全门禁执行报告》、测试数据脱敏验证报告、DevSecOps覆盖率统计报告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战役五：IT运行管理深化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对应评级维度：D5 信息科技运行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在ITMIS平台已运行的基础上，聚焦提升平台内数据质量与流程执行深度；覆盖事件管理、问题管理、CMDB、容量管理、监控告警、批处理与日志六个子方向，以连续完整的执行记录为迎检基础（证据链不可中断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：信息科技部·系统运行；协同：信息科技部·应用支持（应用层事件协同）、信息科技部·风险管理-制度处、风险管理部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ITMIS六子方向全面提升；事件工单台账连续积累≥6个月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CMDB实时同步准确率≥98%；问题管理机制成熟化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基础设施巡检自动化覆盖率≥90%；MTTR较基准降低30%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赋能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AIOps方向探索；MTTR较基准降低40%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核心系统可用率≥99.99%；运维自动化成熟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P1/P2事件RCA执行质量管控（5个工作日内完成）；问题管理独立于事件管理运作（重复故障须追溯根因消除）；CMDB自动发现与实时同步；容量趋势预警与月报；监控告警质量优化（虚假告警率≤5%）；批处理作业异常全量监控；日志集中采集与保留策略合规（核心系统≥1年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：事件工单台账（月度积累）、RCA报告集、问题工单台账及月度分析报告、CMDB提升验收报告、容量分析月报、批处理监控清单、日志覆盖率验收报告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战役六：业务连续性与灾备实战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对应评级维度：D6 业务连续性管理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以演练质量的跃升为核心重点突破方向——从"重大灾难全切换"的脚本式演练，升级为场景化重大故障应急：针对数据库单点、核心中间件崩溃、网络分区、关键外部接口（支付清算/央行）断连等真实高发场景，分别设计独立演练，覆盖比全灾演练更宽的故障谱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：信息科技部·系统运行；协同：信息科技部·风险管理-制度处、风险管理部、数据管理部、各业务部门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重点突破候选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场景化演练首次落地（≥3个独立场景）；BIA完成；备份数据可恢复性验证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演练场景制度化；新增应用层/存储层场景；RTO/RPO达标率≥90%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全年演练≥6个场景；RTO/RPO 100%达标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场景全面扩展；与外部系统联合演练常态化（≥2次/年）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场景化演练覆盖完整故障谱；BCM体系长效运转成熟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业务影响分析（BIA）的年度复核（更新RTO/RPO目标）；场景化应急方案的设计与演练（独立场景，非全灾脚本）；备份数据完整性与可恢复性年度验证；审计部现场见证（防止脚本式演练）；与支付清算、央行等外部系统的联合演练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：《BIA报告》（年度）、各场景《应急演练复盘报告》、《业务连续性总体预案》（年度修订）、《演练鉴证报告》（审计部出具）、《备份数据校验报告》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战役七：供应链安全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对应评级维度：D7 外包管理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：外包基础制度框架成熟，例行维持即可；本战役聚焦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供应链安全</w:t>
      </w:r>
      <w:r>
        <w:rPr>
          <w:rFonts w:ascii="FangSong" w:cs="FangSong" w:eastAsia="FangSong" w:hAnsi="FangSong"/>
          <w:sz w:val="30"/>
          <w:szCs w:val="30"/>
        </w:rPr>
        <w:t xml:space="preserve">——软件供应链（开源组件漏洞、商业软件安全风险、第三方库依赖）、服务供应链（关键第三方API/数据服务的依赖深度与可替代性）是当前管控能力相对薄弱的真实风险所在，也是近年重大安全事件（Log4j类）的高频根源。外包基础管理（分级/集中度/人员操作细节）作为例行合规项持续维持，不作为本战役的主攻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：信息科技部·规划/科技资源；协同：信息科技部·网络安全（供应链安全评估）、信息科技部·风险管理-制度处、风险管理部、信息科技部·应用支持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第三方软件与关键服务依赖清单首建；外包基本操作管控例行达标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供应链风险评估机制建立；关键依赖可替代性分析；高风险组件替换计划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软件供应链风险管控体系成熟（含SBOM）；供应商安全评级机制建立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深控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服务供应链依赖深度管控；核心功能外部依赖最小化专项评估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供应链安全治理体系成熟；自主可控能力持续提升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第三方软件与开源组件风险清单建立与动态维护（与战役四SCA协同）；商业软件供应商安全基线评估；关键第三方API/数据服务依赖清单与可替代性评估；新引入第三方组件安全审查前置；软件物料清单（SBOM）逐步建立；外包基础管理例行维持（分级评估、集中度监控、离场权限回收核验、代码安全审查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：《第三方软件与服务依赖清单》、《供应链风险评估报告》（年度）、《高风险组件替换计划》、《SBOM软件物料清单》（逐步完善）、外包例行管理台账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战役八：数据治理与隐私保护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对应维度：数据治理（综合监管评级独立要素）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数据治理是否仍存在基础性缺口有待确认（据了解2025年部分基础工作已启动但尚未落实到系统层面）。若确认缺口存在，2026年完成数据资产目录系统落地；若已基本具备，则同样面临质量标尺偏低的问题，重点转向数据分类分级的精细度与数据质量管控的实质有效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：数据管理部；主建：信息科技部·开发测试（技术改造）、信息科技部·应用支持（脱敏执行）；协同：信息科技部·风险管理-制度处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待确认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确认数据治理基础缺口；数据资产目录落地（若需）；数据分类分级双规对齐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数据资产目录持续维护；数据分类分级精细度提升；血缘追踪完善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数据安全审计机制成熟；数据质量管控实质化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监管数据实时对接接口（数据侧，与战役二科技风险数据接口互补）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引领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数据治理成熟度成政策性银行行业参考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全行数据资产目录的建立（或质量提升）与年度动态维护；数据分类分级标注（以双规为标准，超越"打标签"走向精细化管理）；个人信息保护合规年度审计；测试环境数据脱敏自动化（真实数据清零）；数据血缘追踪系统；数据质量月度检核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：《全行数据资产目录》（年度维护）、《数据分类分级方案》、《数据质量检核报告》（月度）、《数据治理专项审计报告》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战役九：新技术应用与AI安全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对应维度：前瞻性风险防范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：防范AI、云等新技术应用带来的新型风险，建立新技术风险管控基础框架，满足AI算法风险监管的前瞻性要求；随AI治理标准成熟，逐步深化为行业可参考的实践成果。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风险管理部（全行层面）；主建：信息科技部·开发测试（AI技术）、信息科技部·系统运行（基础设施层）；协同：数据管理部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新技术风险评估框架发布；AI模型上线前100%评估；基础管控框架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AI风险框架落地深化；算法审计标准探索；云应用安全评估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AI治理合规性专项评估；新技术风险管控成熟度提升；算法审计机制完善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科技风险量化评估模型建设（与战役二协同）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输出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参与行业标准制定；AI治理框架输出行业参考；信创按计划推进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新技术风险评估框架的制定与执行（AI上线前100%评估）；AI模型全生命周期管理（准入—运行—验证—退出）；AI模型安全测试（含对抗样本、数据投毒测试）；算法可解释性与审计路径探索；AI训练数据的代表性与合规性评估；云应用安全评估机制建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：《新技术风险评估框架》、AI模型全生命周期管理制度、《AI模型安全测试报告》、《AI数据合规评估报告》、《算法审计报告》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战役十：人才队伍与文化培育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对应维度：跨维度支撑（D1治理中的人才要求+全行风险文化建设）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：对于国有大行，人员规模、学历层次与稳定性均不构成制约，监管底线问题在于信息科技人员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占比</w:t>
      </w:r>
      <w:r>
        <w:rPr>
          <w:rFonts w:ascii="FangSong" w:cs="FangSong" w:eastAsia="FangSong" w:hAnsi="FangSong"/>
          <w:sz w:val="30"/>
          <w:szCs w:val="30"/>
        </w:rPr>
        <w:t xml:space="preserve">是否达标；真正的挑战在于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激活效能与建立风险文化</w:t>
      </w:r>
      <w:r>
        <w:rPr>
          <w:rFonts w:ascii="FangSong" w:cs="FangSong" w:eastAsia="FangSong" w:hAnsi="FangSong"/>
          <w:sz w:val="30"/>
          <w:szCs w:val="30"/>
        </w:rPr>
        <w:t xml:space="preserve">——将科技风险意识从培训覆盖推向行为改变，以钓鱼演练点击率、年度培训完成率、安全事件重复发生率等可量化指标衡量文化成效。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：信息科技部；协同：风险管理部、数据管理部、人力资源部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人员占比达标；全员培训完成率≥95%；关键岗位年度能力评估完成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双向挂职落实（≥2人）；钓鱼演练点击率≤8%；培训后行为改变可测量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安全事件重复发生率≤10%（文化成效可量化）；科技人才体系稳定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数据安全治理文化成熟度评估；科技风险知识体系深化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科技风险文化与人才体系达行业先进；知识体系可对外输出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信息科技人员占比年度监控与达标管理；关键岗位专项方向培训（信息安全：CISP/CISSP方向；审计：CISA方向；数据安全方向等，以学习内容为目标，不强制要求持证）；全员信息安全意识培训（≥1次/半年，完成率纳入绩效考核）；钓鱼邮件模拟演练（≥2次/年，点击率逐次下降）；科技风险KPI纳入全行绩效考核；双向挂职（风险←→科技）；数据安全全员培训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：《科技风险绩效考核办法》、《年度培训完成率报告》、《关键岗位能力评估记录》、《全员安全培训记录》、钓鱼邮件演练报告（含点击率统计）、《数据安全培训记录》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第六章 2026年作战计划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本章规定2026年各战役的年度执行计划。各战役定位、职责分工及五年演进框架见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；本章仅列本年强度定位、具体执行动作与年度验收标准。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：突破底线思维，激活现有能力；补齐唯一真正空白；以重点突破驱动评级跨档。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年度重点突破候选</w:t>
      </w:r>
      <w:r>
        <w:rPr>
          <w:rFonts w:ascii="FangSong" w:cs="FangSong" w:eastAsia="FangSong" w:hAnsi="FangSong"/>
          <w:sz w:val="30"/>
          <w:szCs w:val="30"/>
        </w:rPr>
        <w:t xml:space="preserve">（两个并行，择优推进）：战役二（风险指标与报告体系质量）、战役三（安全产品能力激活）；战役六（场景化重大故障应急）若执行质量充分可并行为重点突破方向。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数据治理（待确认）</w:t>
      </w:r>
      <w:r>
        <w:rPr>
          <w:rFonts w:ascii="FangSong" w:cs="FangSong" w:eastAsia="FangSong" w:hAnsi="FangSong"/>
          <w:sz w:val="30"/>
          <w:szCs w:val="30"/>
        </w:rPr>
        <w:t xml:space="preserve">：战役八——数据治理基础缺口范围有待确认，2026年首要任务是评估现状并确定工作方向。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底线保障</w:t>
      </w:r>
      <w:r>
        <w:rPr>
          <w:rFonts w:ascii="FangSong" w:cs="FangSong" w:eastAsia="FangSong" w:hAnsi="FangSong"/>
          <w:sz w:val="30"/>
          <w:szCs w:val="30"/>
        </w:rPr>
        <w:t xml:space="preserve">：战役一、四、五、七、九、十——以不失分为目标，关键红线不破。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Q1基础工程（全战役前提）</w:t>
      </w:r>
      <w:r>
        <w:rPr>
          <w:rFonts w:ascii="FangSong" w:cs="FangSong" w:eastAsia="FangSong" w:hAnsi="FangSong"/>
          <w:sz w:val="30"/>
          <w:szCs w:val="30"/>
        </w:rPr>
        <w:t xml:space="preserve">：依托现有科委会授权启动本计划治理机制、三大协作机制发布（详见第十一章）、整改销号平台上线。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（二）年度战役执行计划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战役二（攻坚·重点突破）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（详见第五章战役二）：KRI体系双维度完善（指标质量提升+自动采集率≥60%）；ITMIS/SOC平台功能激活；全行风险评估覆盖率100%。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Q1：修订完善《信息科技风险管理框架》；启动KRI指标体系优化（逐一明确采集路径，改造高频人工报送指标）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Q2：组织全行信息系统RCSA风险评估（覆盖率100%）；完善分层分级风险报告制度（各层级按频次输出）；深化ITMIS/SOC平台告警与KRI指标的自动关联规则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Q3：完善ITMIS风险事件管理与损失记录模块，规范事件分类标准；SOC关联分析规则扩展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Q4：年度成果收尾；KRI自动采集覆盖率验收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：KRI指标≥30个，自动采集覆盖率≥60%；年度风险评估覆盖率100%；各层级报告按频次完整输出；风险事件数据库纳入历史数据。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战役三（攻坚·重点突破）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（详见第五章战役三）：安全产品功能系统性激活；PAM精细化管控；安全基线自动化；零信任架构启动；红蓝对抗。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Q1：完成全行安全产品已购功能与实际启用率全面梳理，形成《安全产品功能激活路线图》；完成数据安全双规合规差距分析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Q2：按路线图分批推进未启用功能落地；深化PAM全链路管控（共享账号清零，特权账号行为100%可审计）；强化安全基线自动化检测（核心系统≥95%）；完成核心数据库加密整改计划；零信任核心组件POC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Q3：零信任覆盖核心业务系统；开展红蓝对抗实战演练（无预告）；加强安全事件响应自动化，P1级30分钟响应达标率提升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Q4：各主要安全产品核心功能启用率验收（≥采购承诺水平80%）；零信任扩展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：安全产品核心功能启用率≥80%；共享账号清零；特权账号行为可审计率100%；安全基线自动化检测覆盖率≥95%；红蓝对抗无未修复高危漏洞；P1级事件响应达标率≥90%。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战役六（重点突破候选）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（详见第五章战役六）：场景化重大故障应急演练首次落地（≥3个独立场景）；BIA完成；备份数据可恢复性验证。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Q1：联合业务部门开展BIA，确定各系统RTO/RPO目标并经高管层审批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Q2：根据BIA完成《灾备能力差距分析报告》；设计独立场景应急方案（数据库单点、网络分区、核心中间件崩溃）；启动场景演练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Q3：执行≥3个独立故障场景演练；验证备份数据完整性与可恢复性；审计部现场见证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Q4：与外部系统（支付清算、央行等）联合应急演练≥1次；修订《业务连续性总体预案》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：BIA覆盖率100%；场景化演练≥3个独立场景；核心系统RTO/RPO演练验证通过；备份数据可恢复性验证通过；审计鉴证认可演练有效性；联合演练≥1次。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战役八（待确认强度）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（详见第五章战役八）：确认数据治理基础缺口；数据资产目录落地或质量提升；数据分类分级双规对齐；测试数据清零。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Q1：评估数据治理现状（确认缺口范围）；制定数据分类分级标准（以双规为准）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Q2：数据资产目录落地或质量提升（≥95%覆盖）；完成数据分类分级标注；数据风险指标纳入KRI体系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Q3：建立数据血缘追踪系统；完成个人信息保护合规差距分析；测试数据脱敏自动化（清零目标）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Q4：审计部穿透式检查数据资产目录质量与分类分级准确性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：数据资产目录覆盖率≥95%；数据分类分级对齐双规要求≥95%；测试环境真实客户数据清零。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底线保障战役年度要点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以下6个战役2026年以底线保障为目标，完整战役框架见第五章相应章节。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2026年目标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关键红线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关键交付物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基础治理达标，以迎检通过为目标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CIO履职记录完整；开发测试人员零生产权限；IT战略规划经董事会审批；委员会≥4次/年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《岗位分离矩阵》、IT委员会纪要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安全基线质量标尺提升，检测规则超越默认配置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SAST/DAST扫描闭环整改率≥90%；核心系统上线前安全测试100%；测试数据清零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《安全基线检测规则定制化报告》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ITMIS六子方向全面提升，事件台账积累≥6个月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 RCA完成率100%（5工作日内）；CMDB准确率≥95%；批处理监控覆盖率100%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事件工单台账（月度积累）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供应链依赖清单首建；外包基础管理例行达标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离场权限48小时内回收率100%；代码安全审查100%；第三方依赖清单完成初版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《第三方依赖清单》、外包管理台账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新技术风险评估基础框架发布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新技术风险框架经高管层审批；AI模型上线前100%评估；无新技术引发重大事件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《新技术风险评估框架》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人员占比达标；全员培训完成率≥95%；关键岗位能力评估完成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信息科技人员占比满足监管要求；全员培训完成率≥95%；钓鱼演练点击率逐次下降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《年度培训完成率报告》、《培训记录》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（三）年度实施路线图（Q1—Q4）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Q1（机制启动·基础先行）</w:t>
      </w:r>
      <w:r>
        <w:rPr>
          <w:rFonts w:ascii="FangSong" w:cs="FangSong" w:eastAsia="FangSong" w:hAnsi="FangSong"/>
          <w:sz w:val="30"/>
          <w:szCs w:val="30"/>
        </w:rPr>
        <w:t xml:space="preserve">：依托现有科委会授权，发布三大协作机制及审计独立性保障机制（详见第十一章）；搭建整改销号平台；各部门开展监管评级模拟自测，完成差距分析；优先启动战役二（KRI体系优化启动）、战役三（安全产品清单梳理）、战役四（安全基线检测规则梳理）、战役五（事件管理机制强化并积累台账）、战役八（数据治理现状评估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Q2-Q3（全力攻坚·成果积累）</w:t>
      </w:r>
      <w:r>
        <w:rPr>
          <w:rFonts w:ascii="FangSong" w:cs="FangSong" w:eastAsia="FangSong" w:hAnsi="FangSong"/>
          <w:sz w:val="30"/>
          <w:szCs w:val="30"/>
        </w:rPr>
        <w:t xml:space="preserve">：按战役组建"专项工作组"，实行"周通报、月调度"；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Q2核心</w:t>
      </w:r>
      <w:r>
        <w:rPr>
          <w:rFonts w:ascii="FangSong" w:cs="FangSong" w:eastAsia="FangSong" w:hAnsi="FangSong"/>
          <w:sz w:val="30"/>
          <w:szCs w:val="30"/>
        </w:rPr>
        <w:t xml:space="preserve">：战役二（KRI完善、全行风险评估）、战役三（安全产品激活推进、PAM深化、安全基线）、战役六（BIA完成、场景演练设计）、战役八（数据资产目录落地或质量提升）；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Q3核心</w:t>
      </w:r>
      <w:r>
        <w:rPr>
          <w:rFonts w:ascii="FangSong" w:cs="FangSong" w:eastAsia="FangSong" w:hAnsi="FangSong"/>
          <w:sz w:val="30"/>
          <w:szCs w:val="30"/>
        </w:rPr>
        <w:t xml:space="preserve">：战役三（红蓝对抗、数据库加密）、战役六（场景化演练执行≥3个场景）、战役八（数据血缘追踪、个人信息保护差距分析）；审计部同步开展Q2、Q3过程审计。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Q4（固化迎检·证据冲刺）</w:t>
      </w:r>
      <w:r>
        <w:rPr>
          <w:rFonts w:ascii="FangSong" w:cs="FangSong" w:eastAsia="FangSong" w:hAnsi="FangSong"/>
          <w:sz w:val="30"/>
          <w:szCs w:val="30"/>
        </w:rPr>
        <w:t xml:space="preserve">：完成所有战役任务，整理证据链档案；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重点核查</w:t>
      </w:r>
      <w:r>
        <w:rPr>
          <w:rFonts w:ascii="FangSong" w:cs="FangSong" w:eastAsia="FangSong" w:hAnsi="FangSong"/>
          <w:sz w:val="30"/>
          <w:szCs w:val="30"/>
        </w:rPr>
        <w:t xml:space="preserve">：战役四（安全基线闭环整改台账）和战役五（事件工单台账）须连续完整≥6个月；审计部开展"整改回头看"全面审计；聘请外部审计机构对高风险领域独立复核；模拟监管进场访谈；向董事会汇报全年成效。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第七章 2027年作战计划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本章规定2027年各战役的年度执行计划；各战役框架见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：深化体系，工具成熟，重点成果成型。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：战役四（DevSecOps安全左移成效可量化）——DevSecOps覆盖主要项目≥60%，上线后缺陷逃逸率较2026基准下降≥30%。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2027年重点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IT管理委员会运作规范化；三道防线履职质量提升（见第五章战役一）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年度履职有效性评估达标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KRI自动采集率达≥80%；风险量化方法论引入（见第五章战役二）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KRI自动采集率≥80%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零信任覆盖核心系统；漏洞修复周期≤15天（见第五章战役三）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漏洞修复周期≤15天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DevSecOps覆盖≥60%（重点突破）；SCA引入；密评适配改造（见第五章战役四）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DevSecOps覆盖率≥60%（重点突破）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CMDB实时同步准确率≥98%；问题管理机制成熟化（见第五章战役五）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CMDB准确率≥98%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场景演练制度化，新增场景（应用层/存储层）；RTO/RPO达标率≥90%（见第五章战役六）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演练≥4个场景/年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供应链风险评估机制建立；关键依赖可替代性分析；高风险组件替换计划启动（见第五章战役七）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供应链风险评估覆盖关键依赖100%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数据资产目录持续维护；数据分类分级精细度提升（见第五章战役八）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数据质量检核通过率≥95%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AI风险框架落地深化；算法审计标准探索（见第五章战役九）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AI上线评估覆盖率100%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双向挂职落实（≥2人）；钓鱼演练点击率≤8%；培训后行为改变可测量（见第五章战役十）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钓鱼演练点击率≤8%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第八章 2028年作战计划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本章规定2028年各战役的年度执行计划；各战役框架见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：体系全面成熟，争创优良评级。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：无重大缺口。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：战役二（内部模拟检查里程碑）——内部监管模拟检查机制建立并完成首次全面运作，整改完成率≥95%，以可核验的数据支撑争创优良。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信息科技管理体系3年综合评估；AI治理专章纳入框架（见第五章战役一）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治理成熟度评估达标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内部模拟检查机制建立运作（重点突破）；科技风险全景地图（见第五章战役二）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模拟检查整改完成率≥95%（重点突破）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AI模型安全管控框架完善；攻防演练常态化≥2次（见第五章战役三）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攻防演练≥2次/年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DevSecOps覆盖率≥80%（成果巩固）；密评覆盖核心系统；推进CMMi Level 4评估（见第五章战役四）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巡检自动化≥90%；MTTR较基准降低30%（见第五章战役五）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MTTR较基准降低30%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全年演练≥6个场景；RTO/RPO 100%达标（见第五章战役六）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RTO/RPO达标率100%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软件供应链风险管控体系成熟（含SBOM）；供应商安全评级机制建立（见第五章战役七）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SBOM覆盖核心系统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数据血缘追踪完善；数据质量管控实质化（见第五章战役八）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数据质量检核通过率≥99%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AI治理合规性专项评估；新技术风险管控成熟度提升（见第五章战役九）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AI治理合规评估完成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安全事件重复发生率≤10%（文化成效可量化）（见第五章战役十）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重复安全事件率≤10%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第九章 2029年作战计划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本章规定2029年各战役的年度执行计划；各战役框架见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：数字赋能，智能管控，监管接口打通。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：战役二（监管数据实时自动采集接口上线）——实现从人工报送到系统直连监管机构的跨越，力争在政策性银行同业中形成领先；并为2030年量化预测模型建设打好数据基础。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2029年重点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AI治理专章纳入IT治理框架；应对监管指引可能修订（见第五章战役一）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治理架构适应新监管要求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监管数据自动化实时接口上线（重点突破）；量化预测模型建设启动（见第五章战役二）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实时采集接口上线（重点突破）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SOC关联规则场景大幅扩展；UEBA引入；威胁响应时效较基准-50%（见第五章战役三）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威胁响应时效较基准-50%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AI辅助测试引入；安全左移效果持续优化（见第五章战役四）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AI辅助测试覆盖率≥30%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AIOps探索；MTTR较基准降低40%（见第五章战役五）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MTTR较基准降低40%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场景全面扩展；联合演练常态化≥2次/年（见第五章战役六）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联合演练≥2次/年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服务供应链依赖深度管控；核心功能外部依赖最小化专项评估（见第五章战役七）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核心功能外部依赖最小化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监管数据实时对接接口（数据侧，与战役二互补）（见第五章战役八）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数据侧实时接口上线验证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科技风险量化评估模型建设推进（与战役二协同）（见第五章战役九）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量化模型初版完成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数据安全治理文化成熟度评估（见第五章战役十）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全员数据安全意识测评达标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第十章 2030年作战计划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本章规定2030年各战役的年度执行计划；各战役框架见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：持续优化，长效治理，量化成果验证。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科技风险量化预测模型成熟验证）——基于2026年起建立的高质量KRI数据和事件历史，四年数据积累形成可训练的量化模型；从"描述已发生的风险"跨越到"预测将要发生的风险"；形成五年"播种—积累—收获"的完整闭环叙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信创说明</w:t>
      </w:r>
      <w:r>
        <w:rPr>
          <w:rFonts w:ascii="FangSong" w:cs="FangSong" w:eastAsia="FangSong" w:hAnsi="FangSong"/>
          <w:sz w:val="30"/>
          <w:szCs w:val="30"/>
        </w:rPr>
        <w:t xml:space="preserve">：信创作为合规必做项，按计划持续推进，不作为本年重点突破定位。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治理成熟度综合评估；治理架构长效机制固化（见第五章战役一）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治理成熟度达行业先进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量化预测模型成熟验证（重点突破）；最佳实践文档化（见第五章战役二）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量化预测模型可验证（重点突破）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AI伦理审查机制建立；安全事件重复率≤5%（见第五章战役三）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重复安全事件率≤5%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缺陷逃逸率≤0.5%；AI辅助测试规模化（见第五章战役四）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核心系统可用率≥99.99%；运维自动化成熟（见第五章战役五）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场景化演练覆盖完整故障谱；BCM长效运转（见第五章战役六）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演练故障谱覆盖完整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供应链安全治理体系成熟；自主可控能力持续提升（见第五章战役七）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供应链安全治理达行业先进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数据治理成熟度成政策性银行行业参考（见第五章战役八）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数据质量长期稳定优良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参与行业标准制定；AI治理框架输出行业参考（见第五章战役九）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AI治理成果行业交流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科技风险文化与人才体系达行业先进（见第五章战役十）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人才与文化体系达行业先进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第十一章 分工协作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（一）参与部门分工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信息科技部内部专业板块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信息科技部下设七个专业板块，各板块主责战役分工如下。板块名称全称加"信息科技部·"前缀，以区别于全行同名职能部门。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专业板块（全称）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核心职责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信息科技部·系统运行（含基础设施）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数据中心运营、网络主机、生产调度、变更管理、容量、灾备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战役五、战役六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信息科技部·应用支持（业务层及需求）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业务需求受理、应用运维支持、用户权限管理、外包应用监督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战役四（运维侧）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软件开发规范、测试质量管控、DevSecOps体系、代码安全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战役四（开发侧）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网络安全体系、数据安全、访问控制、漏洞管理、安全运营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科技风险识别评估、KRI监测、监管报送合规、自评估管理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战役一、战役二、战役九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IT规划管理、科技资源统筹、供应商与外包管理、科技预算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</w:tbl>
    <w:p>
      <w:pPr>
        <w:spacing w:after="120" w:before="60" w:line="420" w:lineRule="atLeast"/>
      </w:pP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外部协同部门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以下部门作为外部协同方，在各战役中承担监督、指导或专业职能：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外部协同部门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在本计划中的角色定位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主要参与战役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第二道防线，制定科技风险政策、独立监督、跨条线协调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战役一、二、六、七、九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第三道防线，独立鉴证整改成效，不参与战役执行决策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贯穿全部战役（独立验证）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数据Owner体系建设、数据标准与资产目录、数据安全合规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战役八、战役三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人力资源部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科技人才引进计划、双向挂职安排、绩效考核机制落地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各业务条线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业务影响分析（BIA）、数据Owner确认、关键业务场景演练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战役六、战役八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三道防线说明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第一道防线</w:t>
      </w:r>
      <w:r>
        <w:rPr>
          <w:rFonts w:ascii="FangSong" w:cs="FangSong" w:eastAsia="FangSong" w:hAnsi="FangSong"/>
          <w:sz w:val="30"/>
          <w:szCs w:val="30"/>
        </w:rPr>
        <w:t xml:space="preserve">职责；风险管理部承担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第二道防线</w:t>
      </w:r>
      <w:r>
        <w:rPr>
          <w:rFonts w:ascii="FangSong" w:cs="FangSong" w:eastAsia="FangSong" w:hAnsi="FangSong"/>
          <w:sz w:val="30"/>
          <w:szCs w:val="30"/>
        </w:rPr>
        <w:t xml:space="preserve">职责；审计部承担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第三道防线</w:t>
      </w:r>
      <w:r>
        <w:rPr>
          <w:rFonts w:ascii="FangSong" w:cs="FangSong" w:eastAsia="FangSong" w:hAnsi="FangSong"/>
          <w:sz w:val="30"/>
          <w:szCs w:val="30"/>
        </w:rPr>
        <w:t xml:space="preserve">职责。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（二）"风险—科技—数据"三角联席工作制（核心执行机制）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定位</w:t>
      </w:r>
      <w:r>
        <w:rPr>
          <w:rFonts w:ascii="FangSong" w:cs="FangSong" w:eastAsia="FangSong" w:hAnsi="FangSong"/>
          <w:sz w:val="30"/>
          <w:szCs w:val="30"/>
        </w:rPr>
        <w:t xml:space="preserve">：本计划的核心日常执行机制。三方分工明确——风险管理部定标准、信息科技部落执行、数据管理部保质量；通过标准化的事前会签、事中监控、事后评价，将科技风险管控嵌入具体业务场景，解决"事前谁定标、事中谁监控、事后谁评价"的落地难题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适用场景</w:t>
      </w:r>
      <w:r>
        <w:rPr>
          <w:rFonts w:ascii="FangSong" w:cs="FangSong" w:eastAsia="FangSong" w:hAnsi="FangSong"/>
          <w:sz w:val="30"/>
          <w:szCs w:val="30"/>
        </w:rPr>
        <w:t xml:space="preserve">：重大系统上线、新业务投产、监管新规落地、新技术（AI/云）应用、核心数据变更、年度风险评估等所有关键场景。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运作模式（三方会签制）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事前——数据管理部定义数据标准，信息科技部制定技术与安全设计，风险管理部审核合规性，三方会签方可立项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事中——信息科技部·系统运行保稳定，网络安全负责威胁监测，风险管理部实时监测KRI预警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事后——审计部独立后评价，结论反馈至下一轮三方会签改进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常设工作节奏</w:t>
      </w:r>
      <w:r>
        <w:rPr>
          <w:rFonts w:ascii="FangSong" w:cs="FangSong" w:eastAsia="FangSong" w:hAnsi="FangSong"/>
          <w:sz w:val="30"/>
          <w:szCs w:val="30"/>
        </w:rPr>
        <w:t xml:space="preserve">：双周例会（三方碰头，通报进展、消解摩擦）；月度联合风险报告（三方共同输出，上报科委会备案）。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（三）科委会（高层治理背书）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定位</w:t>
      </w:r>
      <w:r>
        <w:rPr>
          <w:rFonts w:ascii="FangSong" w:cs="FangSong" w:eastAsia="FangSong" w:hAnsi="FangSong"/>
          <w:sz w:val="30"/>
          <w:szCs w:val="30"/>
        </w:rPr>
        <w:t xml:space="preserve">：依托全行现有科技委员会（科委会）作为高层治理背书机制，无需新设机构；职能限定于：批准年度资源方案、裁决跨部门重大争议、审议应急调整；日常执行由三角联席工作制承载，科委会不介入日常运营。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运作</w:t>
      </w:r>
      <w:r>
        <w:rPr>
          <w:rFonts w:ascii="FangSong" w:cs="FangSong" w:eastAsia="FangSong" w:hAnsi="FangSong"/>
          <w:sz w:val="30"/>
          <w:szCs w:val="30"/>
        </w:rPr>
        <w:t xml:space="preserve">：在科委会现有议事机制下，将本计划重大事项纳入科委会议程；常设办公室设在信息科技部·风险管理-制度处，负责日常督办与议题准备；紧急事项24小时内提请科委会审议。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（四）"问题整改销号"闭环机制（监督与问责层）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管理工具</w:t>
      </w:r>
      <w:r>
        <w:rPr>
          <w:rFonts w:ascii="FangSong" w:cs="FangSong" w:eastAsia="FangSong" w:hAnsi="FangSong"/>
          <w:sz w:val="30"/>
          <w:szCs w:val="30"/>
        </w:rPr>
        <w:t xml:space="preserve">：统一的"监管评级提升任务管理平台"（数字化看板），实现任务认领、进度跟踪、验证销号全线上化。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强制流程</w:t>
      </w:r>
      <w:r>
        <w:rPr>
          <w:rFonts w:ascii="FangSong" w:cs="FangSong" w:eastAsia="FangSong" w:hAnsi="FangSong"/>
          <w:sz w:val="30"/>
          <w:szCs w:val="30"/>
        </w:rPr>
        <w:t xml:space="preserve">：发起（信息科技部·风险管理-制度处生成《问题整改清单》）→ 认领（3个工作日内，制定整改措施和SLA）→ 验证（审计部非现场+现场穿透测试）→ 销号（仅审计部出具"验证通过"意见后方可销号）。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红线原则</w:t>
      </w:r>
      <w:r>
        <w:rPr>
          <w:rFonts w:ascii="FangSong" w:cs="FangSong" w:eastAsia="FangSong" w:hAnsi="FangSong"/>
          <w:sz w:val="30"/>
          <w:szCs w:val="30"/>
        </w:rPr>
        <w:t xml:space="preserve">：未通过审计验证严禁销号；逾期未完成自动升级至科委会督办，与绩效考核挂钩。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（五）IT审计独立性保障机制（对应D8评级维度）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审计部不参与科委会决策表决；不参与三角联席的事前会签和事中监控；不参与整改标准制定；有权对任何战役整改成效提出独立质疑。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审计工作体系</w:t>
      </w:r>
      <w:r>
        <w:rPr>
          <w:rFonts w:ascii="FangSong" w:cs="FangSong" w:eastAsia="FangSong" w:hAnsi="FangSong"/>
          <w:sz w:val="30"/>
          <w:szCs w:val="30"/>
        </w:rPr>
        <w:t xml:space="preserve">：每年Q1制定年度审计计划；三年滚动IT审计计划；全年≥3次专项审计（Q2/Q3过程审计，Q4"整改回头看"）；高风险领域聘请外部审计机构独立复核。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第十二章 保障机制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（一）组织保障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"风险—科技—数据"三角联席工作制（详见第十一章）为主要执行抓手，常设办公室（信息科技部·风险管理-制度处）负责日常督办、每周汇总各专业板块进展；各战役"专项工作组"明确牵头人，确保执行到位。科委会作为高层资源保障与争议裁决机制，按季度频率运转。各业务部门指定固定联络人参与BIA、数据Owner确认等协同工作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（二）资源保障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专项整改预算优先保障，重点用于安全能力提升工具、CMDB/ITMIS平台升级、SAST/DAST工具采购、第三方审计/测试等；人力资源部优先落实关键岗位招聘和双向挂职计划；跨部门人力借调由科委会统一审批。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五年预算规划原则：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刚性优先保障：灾备建设、安全运营、监管合规相关投入不得以预算压缩为由延期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年度滚动预算：依据当年评估结论动态调整投入重点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四类投入：工具平台采购与建设、系统改造升级、外部咨询与审计、人员培训与能力建设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（三）考核与激励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双向打分制</w:t>
      </w:r>
      <w:r>
        <w:rPr>
          <w:rFonts w:ascii="FangSong" w:cs="FangSong" w:eastAsia="FangSong" w:hAnsi="FangSong"/>
          <w:sz w:val="30"/>
          <w:szCs w:val="30"/>
        </w:rPr>
        <w:t xml:space="preserve">：信息科技部（含各专业板块）绩效，30%由风险管理部打分；风险管理部绩效，20%由信息科技部打分；审计部绩效由审计委员会独立评价，不纳入双向打分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红线问责</w:t>
      </w:r>
      <w:r>
        <w:rPr>
          <w:rFonts w:ascii="FangSong" w:cs="FangSong" w:eastAsia="FangSong" w:hAnsi="FangSong"/>
          <w:sz w:val="30"/>
          <w:szCs w:val="30"/>
        </w:rPr>
        <w:t xml:space="preserve">：因部门推诿导致评级下降或发生重大风险事件的，部门负责人年度绩效一票否决；审计验证发现"虚假整改"的，直接移交纪检监察部门处理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激励机制</w:t>
      </w:r>
      <w:r>
        <w:rPr>
          <w:rFonts w:ascii="FangSong" w:cs="FangSong" w:eastAsia="FangSong" w:hAnsi="FangSong"/>
          <w:sz w:val="30"/>
          <w:szCs w:val="30"/>
        </w:rPr>
        <w:t xml:space="preserve">：对战役攻坚成效显著、按时完成任务的板块和个人，给予绩效加分和评优表彰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（四）沟通联动保障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主动对接监管机构，及时了解最新监管评级要求，主动汇报工作进展；发生重大科技事件须按监管要求时限完成事件报告；加强政策性银行同业交流，借鉴先进经验为后续年度计划提供参考。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（五）应急调整机制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计划降级预案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触发场景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应急响应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资源调整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重大信息安全事件（数据泄露/勒索）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24小时内召开紧急会议，暂停非核心战役，资源集中处置与根因整改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战役九、十降级为维持性任务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监管专项检查/突击检查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48小时内成立专项应对小组，对检查涉及维度优先完善证据链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根据检查范围动态调整战役优先级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关键供应商重大事故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启动外包退出应急预案，评估对灾备和运行的影响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战役七升级为最高优先级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监管评级标准重大调整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一周内完成新标准与十大战役映射分析，调整覆盖方案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视影响范围新增或调整战役内容</w:t>
            </w:r>
          </w:p>
        </w:tc>
      </w:tr>
    </w:tbl>
    <w:p>
      <w:pPr>
        <w:spacing w:after="120" w:before="60" w:line="420" w:lineRule="atLeast"/>
      </w:pP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优先级保底原则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无论发生何种冲击，以下"保底四战役"的执行不得中断：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战役三（信息安全）——一级关注领域，直接决定评级底线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战役四（开发测试）——证据链不可中断，一旦断裂无法补救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战役五（运行管理）——证据链不可中断，一旦断裂无法补救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战役六（业务连续性）——一级关注领域，直接决定评级底线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第十三章 附则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本计划自发布之日起实施，由科委会负责解释。各部门及专业板块需根据本计划制定具体实施细则，确保任务落地到岗、责任到人。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本计划每年12月由科委会组织年度复盘，结合监管政策变化和战役推进情况，适时调整优化五年路线图和年度重点工作。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附录一：扣分全景台账（模板）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本台账应在Q1模拟自测后填入实际数据，作为十大战役精准整改的依据。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>
        <w:trPr>
          <w:tblHeader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评级维度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具体扣分项描述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扣分分值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整改措施编号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责任板块/部门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计划完成时限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D1 治理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D2 风险管理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D3 信息安全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D4 开发测试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D5 运行管理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D6 业务连续性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D7 外包管理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D8 审计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审计保障机制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**[总扣分]**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附录二：战役与监管条文映射表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监管文件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关键条款/章节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第二章（信息科技治理）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三道防线、CIO设置、IT管理委员会、岗位分离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银监发〔2016〕44号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第三章（治理架构）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科技风险纳入全面风险管理框架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第三章（信息科技风险管理）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风险识别、评估、监测、报告的系统要求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银监发〔2016〕44号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第四章（风险偏好）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风险偏好声明与容忍度设定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第四章（信息安全）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访问控制、网络安全、应急响应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金规〔2024〕24号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全文（数据安全管理）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数据分类分级强制化、全生命周期管控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人民银行令〔2025〕第3号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全文（央行业务领域数据安全）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支付清算等业务数据的安全保护要求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22239—2019（等保2.0）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安全通用要求各级别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二级及以上系统等保测评要求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39786—2021（密评）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安全要求各环节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核心系统商用密码应用安全性评估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第五章（信息系统开发、测试和维护）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SDLC管理、测试充分性、变更审批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银保监办发〔2022〕2号（数字化转型）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第三章（技术能力建设）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DevSecOps、安全开发、自动化测试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第六章（信息科技运行）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事件管理、问题管理、容量管理、配置管理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第七章（业务连续性管理）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BCM体系、应急预案、演练要求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20988—2007（灾难恢复规范）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灾难恢复能力等级划分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RTO/RPO目标设定参考标准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银保监办发〔2021〕141号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全文（信息科技外包风险监管办法）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准入、集中度（≤50%）、持续监督、退出机制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银保监发〔2018〕22号（数据治理指引）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数据质量、数据管控、数据价值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金规〔2024〕24号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数据分类分级、数据处理活动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分类分级强制落地、问责机制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JR/T 0197—2020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数据安全分级指南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金融数据分类分级方法论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银保监办发〔2022〕2号（数字化转型）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第四章（数据能力建设）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新技术风险管控、AI应用治理前瞻要求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2025年AI算法风险监管趋势（见第三章）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大模型备案管理、算法审计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预期出台监管文件，作为前瞻性合规依据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第二章（信息科技治理—人才要求）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科技人员占比、专业能力要求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说明：本表以公开监管文件为依据，具体合规要求以监管机构正式发文为准；2025—2026年预期出台的监管文件落地后，应及时更新本表并调整对应战役任务。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修订记录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版本号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日期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修订内容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修订人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合并 R.01—R.17：初稿→五年计划扩展→整体重构→评审修订→一致性对齐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结构：五年演进框架/KPI矩阵；第五章十大战役框架（单一来源）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内容：现状基础/核心问题诊断/战役定位改写/组织保障重构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对齐：牵头部门统一；科委会替换联防联控委员会；评审意见全量修订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全文结构重组：总则→综述；现状诊断/分工协作独立成章；应急并入保障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新增摘要；第二章核心问题诊断精简；第四章导入句调整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核心定焦：质量标尺偏低为唯一核心问题；删除EAST/变更管理独立展开；战役四→安全基线提升；战役八→待确认强度；KPI/原则/年度计划同步调整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</w:tbl>
    <w:p>
      <w:pPr>
        <w:spacing w:after="120" w:before="60" w:line="420" w:lineRule="atLeas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20" w:lineRule="atLeast"/>
      <w:jc w:val="center"/>
    </w:pPr>
    <w:r>
      <w:rPr>
        <w:rFonts w:ascii="FangSong" w:cs="FangSong" w:eastAsia="FangSong" w:hAnsi="FangSong"/>
        <w:sz w:val="30"/>
        <w:szCs w:val="30"/>
      </w:rPr>
      <w:t xml:space="preserve">- </w:t>
    </w:r>
    <w:r>
      <w:rPr>
        <w:rFonts w:ascii="FangSong" w:cs="FangSong" w:eastAsia="FangSong" w:hAnsi="FangSong"/>
        <w:sz w:val="30"/>
        <w:szCs w:val="30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30"/>
        <w:szCs w:val="3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20" w:lineRule="atLeast"/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120" w:before="60" w:line="420" w:lineRule="atLeast"/>
        <w:ind w:left="567" w:hanging="567"/>
      </w:pPr>
      <w:rPr>
        <w:rFonts w:ascii="FangSong" w:cs="FangSong" w:eastAsia="FangSong" w:hAnsi="FangSong"/>
        <w:sz w:val="30"/>
        <w:szCs w:val="30"/>
      </w:rPr>
    </w:lvl>
    <w:lvl w:ilvl="1" w15:tentative="1">
      <w:start w:val="1"/>
      <w:numFmt w:val="bullet"/>
      <w:lvlText w:val="-"/>
      <w:lvlJc w:val="left"/>
      <w:pPr>
        <w:spacing w:after="120" w:before="60" w:line="420" w:lineRule="atLeast"/>
        <w:ind w:left="1134" w:hanging="567"/>
      </w:pPr>
      <w:rPr>
        <w:rFonts w:ascii="FangSong" w:cs="FangSong" w:eastAsia="FangSong" w:hAnsi="FangSong"/>
        <w:sz w:val="30"/>
        <w:szCs w:val="30"/>
      </w:rPr>
    </w:lvl>
    <w:lvl w:ilvl="2" w15:tentative="1">
      <w:start w:val="1"/>
      <w:numFmt w:val="bullet"/>
      <w:lvlText w:val="-"/>
      <w:lvlJc w:val="left"/>
      <w:pPr>
        <w:spacing w:after="120" w:before="60" w:line="420" w:lineRule="atLeast"/>
        <w:ind w:left="1701" w:hanging="567"/>
      </w:pPr>
      <w:rPr>
        <w:rFonts w:ascii="FangSong" w:cs="FangSong" w:eastAsia="FangSong" w:hAnsi="FangSong"/>
        <w:sz w:val="30"/>
        <w:szCs w:val="30"/>
      </w:rPr>
    </w:lvl>
    <w:lvl w:ilvl="3" w15:tentative="1">
      <w:start w:val="1"/>
      <w:numFmt w:val="bullet"/>
      <w:lvlText w:val="-"/>
      <w:lvlJc w:val="left"/>
      <w:pPr>
        <w:spacing w:after="120" w:before="60" w:line="420" w:lineRule="atLeast"/>
        <w:ind w:left="2268" w:hanging="567"/>
      </w:pPr>
      <w:rPr>
        <w:rFonts w:ascii="FangSong" w:cs="FangSong" w:eastAsia="FangSong" w:hAnsi="FangSong"/>
        <w:sz w:val="30"/>
        <w:szCs w:val="30"/>
      </w:rPr>
    </w:lvl>
    <w:lvl w:ilvl="4" w15:tentative="1">
      <w:start w:val="1"/>
      <w:numFmt w:val="bullet"/>
      <w:lvlText w:val="-"/>
      <w:lvlJc w:val="left"/>
      <w:pPr>
        <w:spacing w:after="120" w:before="60" w:line="420" w:lineRule="atLeast"/>
        <w:ind w:left="2835" w:hanging="567"/>
      </w:pPr>
      <w:rPr>
        <w:rFonts w:ascii="FangSong" w:cs="FangSong" w:eastAsia="FangSong" w:hAnsi="FangSong"/>
        <w:sz w:val="30"/>
        <w:szCs w:val="30"/>
      </w:rPr>
    </w:lvl>
    <w:lvl w:ilvl="5" w15:tentative="1">
      <w:start w:val="1"/>
      <w:numFmt w:val="bullet"/>
      <w:lvlText w:val="-"/>
      <w:lvlJc w:val="left"/>
      <w:pPr>
        <w:spacing w:after="120" w:before="60" w:line="420" w:lineRule="atLeast"/>
        <w:ind w:left="3402" w:hanging="567"/>
      </w:pPr>
      <w:rPr>
        <w:rFonts w:ascii="FangSong" w:cs="FangSong" w:eastAsia="FangSong" w:hAnsi="FangSong"/>
        <w:sz w:val="30"/>
        <w:szCs w:val="30"/>
      </w:rPr>
    </w:lvl>
    <w:lvl w:ilvl="6" w15:tentative="1">
      <w:start w:val="1"/>
      <w:numFmt w:val="bullet"/>
      <w:lvlText w:val="-"/>
      <w:lvlJc w:val="left"/>
      <w:pPr>
        <w:spacing w:after="120" w:before="60" w:line="420" w:lineRule="atLeast"/>
        <w:ind w:left="3969" w:hanging="567"/>
      </w:pPr>
      <w:rPr>
        <w:rFonts w:ascii="FangSong" w:cs="FangSong" w:eastAsia="FangSong" w:hAnsi="FangSong"/>
        <w:sz w:val="30"/>
        <w:szCs w:val="30"/>
      </w:rPr>
    </w:lvl>
    <w:lvl w:ilvl="7" w15:tentative="1">
      <w:start w:val="1"/>
      <w:numFmt w:val="bullet"/>
      <w:lvlText w:val="-"/>
      <w:lvlJc w:val="left"/>
      <w:pPr>
        <w:spacing w:after="120" w:before="60" w:line="420" w:lineRule="atLeast"/>
        <w:ind w:left="4536" w:hanging="567"/>
      </w:pPr>
      <w:rPr>
        <w:rFonts w:ascii="FangSong" w:cs="FangSong" w:eastAsia="FangSong" w:hAnsi="FangSong"/>
        <w:sz w:val="30"/>
        <w:szCs w:val="30"/>
      </w:rPr>
    </w:lvl>
    <w:lvl w:ilvl="8" w15:tentative="1">
      <w:start w:val="1"/>
      <w:numFmt w:val="bullet"/>
      <w:lvlText w:val="-"/>
      <w:lvlJc w:val="left"/>
      <w:pPr>
        <w:spacing w:after="120" w:before="60" w:line="420" w:lineRule="atLeast"/>
        <w:ind w:left="5103" w:hanging="567"/>
      </w:pPr>
      <w:rPr>
        <w:rFonts w:ascii="FangSong" w:cs="FangSong" w:eastAsia="FangSong" w:hAnsi="FangSong"/>
        <w:sz w:val="30"/>
        <w:szCs w:val="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1" w15:tentative="1">
      <w:start w:val="1"/>
      <w:numFmt w:val="decimal"/>
      <w:lvlText w:val="%1.%2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2" w15:tentative="1">
      <w:start w:val="1"/>
      <w:numFmt w:val="decimal"/>
      <w:lvlText w:val="%1.%2.%3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3" w15:tentative="1">
      <w:start w:val="1"/>
      <w:numFmt w:val="decimal"/>
      <w:lvlText w:val="%1.%2.%3.%4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4" w15:tentative="1">
      <w:start w:val="1"/>
      <w:numFmt w:val="decimal"/>
      <w:lvlText w:val="%1.%2.%3.%4.%5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5" w15:tentative="1">
      <w:start w:val="1"/>
      <w:numFmt w:val="decimal"/>
      <w:lvlText w:val="%1.%2.%3.%4.%5.%6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30"/>
        <w:szCs w:val="30"/>
      </w:rPr>
    </w:rPrDefault>
    <w:pPrDefault>
      <w:pPr>
        <w:spacing w:after="120" w:before="60" w:line="42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60" w:line="420" w:lineRule="atLeast"/>
      <w:jc w:val="center"/>
    </w:pPr>
    <w:rPr>
      <w:rFonts w:ascii="FangSong" w:cs="FangSong" w:eastAsia="FangSong" w:hAnsi="FangSong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60" w:line="420" w:lineRule="atLeast"/>
      <w:outlineLvl w:val="0"/>
    </w:pPr>
    <w:rPr>
      <w:rFonts w:ascii="FangSong" w:cs="FangSong" w:eastAsia="FangSong" w:hAnsi="FangSong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60" w:line="420" w:lineRule="atLeast"/>
      <w:outlineLvl w:val="1"/>
    </w:pPr>
    <w:rPr>
      <w:rFonts w:ascii="FangSong" w:cs="FangSong" w:eastAsia="FangSong" w:hAnsi="FangSong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60" w:line="420" w:lineRule="atLeast"/>
      <w:outlineLvl w:val="2"/>
    </w:pPr>
    <w:rPr>
      <w:rFonts w:ascii="FangSong" w:cs="FangSong" w:eastAsia="FangSong" w:hAnsi="FangSong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20" w:before="60" w:line="420" w:lineRule="atLeast"/>
      <w:outlineLvl w:val="3"/>
    </w:pPr>
    <w:rPr>
      <w:rFonts w:ascii="FangSong" w:cs="FangSong" w:eastAsia="FangSong" w:hAnsi="FangSong"/>
      <w:b/>
      <w:bCs/>
      <w:sz w:val="30"/>
      <w:szCs w:val="30"/>
    </w:rPr>
  </w:style>
  <w:style w:type="paragraph" w:styleId="Heading5">
    <w:name w:val="Heading 5"/>
    <w:basedOn w:val="Normal"/>
    <w:next w:val="Normal"/>
    <w:qFormat/>
    <w:pPr>
      <w:spacing w:after="120" w:before="60" w:line="420" w:lineRule="atLeast"/>
      <w:outlineLvl w:val="4"/>
    </w:pPr>
    <w:rPr>
      <w:rFonts w:ascii="FangSong" w:cs="FangSong" w:eastAsia="FangSong" w:hAnsi="FangSong"/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spacing w:after="120" w:before="60" w:line="420" w:lineRule="atLeast"/>
      <w:outlineLvl w:val="5"/>
    </w:pPr>
    <w:rPr>
      <w:rFonts w:ascii="FangSong" w:cs="FangSong" w:eastAsia="FangSong" w:hAnsi="FangSong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f15d105c461bcc1d216eb3d917704384e382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2026-03-08T08:45:30.255Z</dcterms:created>
  <dcterms:modified xsi:type="dcterms:W3CDTF">2026-03-08T08:45:30.255Z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