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0852" w14:textId="47CD255C" w:rsidR="00275EB6" w:rsidRPr="00275EB6" w:rsidRDefault="00275EB6" w:rsidP="001033A0">
      <w:pPr>
        <w:pStyle w:val="Title"/>
        <w:jc w:val="both"/>
        <w:rPr>
          <w:b/>
          <w:bCs/>
        </w:rPr>
      </w:pPr>
      <w:r w:rsidRPr="00275EB6">
        <w:rPr>
          <w:rFonts w:hint="eastAsia"/>
          <w:b/>
          <w:bCs/>
        </w:rPr>
        <w:t>RESEARCH PROTOCOL</w:t>
      </w:r>
    </w:p>
    <w:p w14:paraId="508769C6" w14:textId="54A757CB" w:rsidR="00275EB6" w:rsidRPr="00762996" w:rsidRDefault="00275EB6" w:rsidP="001033A0">
      <w:pPr>
        <w:jc w:val="both"/>
        <w:rPr>
          <w:sz w:val="16"/>
          <w:szCs w:val="16"/>
        </w:rPr>
      </w:pPr>
      <w:r w:rsidRPr="00762996">
        <w:rPr>
          <w:rFonts w:hint="eastAsia"/>
          <w:sz w:val="16"/>
          <w:szCs w:val="16"/>
        </w:rPr>
        <w:t>Version: 0.0.</w:t>
      </w:r>
      <w:r w:rsidR="00762996" w:rsidRPr="00762996">
        <w:rPr>
          <w:rFonts w:hint="eastAsia"/>
          <w:sz w:val="16"/>
          <w:szCs w:val="16"/>
        </w:rPr>
        <w:t>3</w:t>
      </w:r>
    </w:p>
    <w:p w14:paraId="3ACC557C" w14:textId="32004D5A" w:rsidR="00275EB6" w:rsidRPr="00762996" w:rsidRDefault="00762996" w:rsidP="001033A0">
      <w:pPr>
        <w:jc w:val="both"/>
        <w:rPr>
          <w:b/>
          <w:bCs/>
        </w:rPr>
      </w:pPr>
      <w:r w:rsidRPr="00762996">
        <w:rPr>
          <w:b/>
          <w:bCs/>
        </w:rPr>
        <w:t>Use of GLP-1 receptor agonists and subsequent risk of acute liver injury – A self-controlled case series (SCCS) analyses in the OMOP CDM (GLP1-</w:t>
      </w:r>
      <w:r w:rsidRPr="00762996">
        <w:rPr>
          <w:rFonts w:hint="eastAsia"/>
          <w:b/>
          <w:bCs/>
        </w:rPr>
        <w:t>DILI</w:t>
      </w:r>
      <w:r w:rsidRPr="00762996">
        <w:rPr>
          <w:b/>
          <w:bCs/>
        </w:rPr>
        <w:t>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16"/>
          <w:szCs w:val="16"/>
          <w:lang w:val="en-SG" w:eastAsia="zh-CN"/>
          <w14:ligatures w14:val="standardContextual"/>
        </w:rPr>
        <w:id w:val="-2073947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35393F" w14:textId="194C6B6D" w:rsidR="0030756D" w:rsidRDefault="0030756D" w:rsidP="001033A0">
          <w:pPr>
            <w:pStyle w:val="TOCHeading"/>
            <w:jc w:val="both"/>
            <w:rPr>
              <w:b/>
              <w:bCs/>
              <w:sz w:val="20"/>
              <w:szCs w:val="20"/>
            </w:rPr>
          </w:pPr>
          <w:r w:rsidRPr="00762996">
            <w:rPr>
              <w:b/>
              <w:bCs/>
              <w:sz w:val="20"/>
              <w:szCs w:val="20"/>
            </w:rPr>
            <w:t>Content</w:t>
          </w:r>
        </w:p>
        <w:p w14:paraId="4A722D9B" w14:textId="77777777" w:rsidR="00762996" w:rsidRPr="00762996" w:rsidRDefault="00762996" w:rsidP="001033A0">
          <w:pPr>
            <w:jc w:val="both"/>
            <w:rPr>
              <w:sz w:val="2"/>
              <w:szCs w:val="2"/>
              <w:lang w:val="en-US" w:eastAsia="en-US"/>
            </w:rPr>
          </w:pPr>
        </w:p>
        <w:p w14:paraId="68B95694" w14:textId="4AE8E210" w:rsidR="00136478" w:rsidRPr="00136478" w:rsidRDefault="0030756D">
          <w:pPr>
            <w:pStyle w:val="TOC1"/>
          </w:pPr>
          <w:r w:rsidRPr="0030756D">
            <w:rPr>
              <w:noProof w:val="0"/>
            </w:rPr>
            <w:fldChar w:fldCharType="begin"/>
          </w:r>
          <w:r w:rsidRPr="0030756D">
            <w:instrText xml:space="preserve"> TOC \o "1-3" \h \z \u </w:instrText>
          </w:r>
          <w:r w:rsidRPr="0030756D">
            <w:rPr>
              <w:noProof w:val="0"/>
            </w:rPr>
            <w:fldChar w:fldCharType="separate"/>
          </w:r>
          <w:hyperlink w:anchor="_Toc179138773" w:history="1">
            <w:r w:rsidR="00136478" w:rsidRPr="00136478">
              <w:rPr>
                <w:rStyle w:val="Hyperlink"/>
              </w:rPr>
              <w:t>Version Control</w:t>
            </w:r>
            <w:r w:rsidR="00136478" w:rsidRPr="00136478">
              <w:rPr>
                <w:webHidden/>
              </w:rPr>
              <w:tab/>
            </w:r>
            <w:r w:rsidR="00136478" w:rsidRPr="00136478">
              <w:rPr>
                <w:webHidden/>
              </w:rPr>
              <w:fldChar w:fldCharType="begin"/>
            </w:r>
            <w:r w:rsidR="00136478" w:rsidRPr="00136478">
              <w:rPr>
                <w:webHidden/>
              </w:rPr>
              <w:instrText xml:space="preserve"> PAGEREF _Toc179138773 \h </w:instrText>
            </w:r>
            <w:r w:rsidR="00136478" w:rsidRPr="00136478">
              <w:rPr>
                <w:webHidden/>
              </w:rPr>
            </w:r>
            <w:r w:rsidR="00136478" w:rsidRPr="00136478">
              <w:rPr>
                <w:webHidden/>
              </w:rPr>
              <w:fldChar w:fldCharType="separate"/>
            </w:r>
            <w:r w:rsidR="00136478" w:rsidRPr="00136478">
              <w:rPr>
                <w:webHidden/>
              </w:rPr>
              <w:t>2</w:t>
            </w:r>
            <w:r w:rsidR="00136478" w:rsidRPr="00136478">
              <w:rPr>
                <w:webHidden/>
              </w:rPr>
              <w:fldChar w:fldCharType="end"/>
            </w:r>
          </w:hyperlink>
        </w:p>
        <w:p w14:paraId="293B557E" w14:textId="65CF49EF" w:rsidR="00136478" w:rsidRPr="00136478" w:rsidRDefault="00136478">
          <w:pPr>
            <w:pStyle w:val="TOC1"/>
          </w:pPr>
          <w:hyperlink w:anchor="_Toc179138774" w:history="1">
            <w:r w:rsidRPr="00136478">
              <w:rPr>
                <w:rStyle w:val="Hyperlink"/>
              </w:rPr>
              <w:t>List of Abbreviations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_Toc179138774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3</w:t>
            </w:r>
            <w:r w:rsidRPr="00136478">
              <w:rPr>
                <w:webHidden/>
              </w:rPr>
              <w:fldChar w:fldCharType="end"/>
            </w:r>
          </w:hyperlink>
        </w:p>
        <w:p w14:paraId="644B8190" w14:textId="3ED8A401" w:rsidR="00136478" w:rsidRPr="00136478" w:rsidRDefault="00136478">
          <w:pPr>
            <w:pStyle w:val="TOC1"/>
          </w:pPr>
          <w:hyperlink w:anchor="_Toc179138775" w:history="1">
            <w:r w:rsidRPr="00136478">
              <w:rPr>
                <w:rStyle w:val="Hyperlink"/>
              </w:rPr>
              <w:t>Responsible Parties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_Toc179138775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4</w:t>
            </w:r>
            <w:r w:rsidRPr="00136478">
              <w:rPr>
                <w:webHidden/>
              </w:rPr>
              <w:fldChar w:fldCharType="end"/>
            </w:r>
          </w:hyperlink>
        </w:p>
        <w:p w14:paraId="3FB65365" w14:textId="7BAEA3D9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76" w:history="1">
            <w:r w:rsidRPr="00136478">
              <w:rPr>
                <w:rStyle w:val="Hyperlink"/>
                <w:noProof/>
                <w:sz w:val="16"/>
                <w:szCs w:val="16"/>
              </w:rPr>
              <w:t>Investigators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_Toc179138776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4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AA1A9D" w14:textId="3823DDEC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77" w:history="1">
            <w:r w:rsidRPr="00136478">
              <w:rPr>
                <w:rStyle w:val="Hyperlink"/>
                <w:noProof/>
                <w:sz w:val="16"/>
                <w:szCs w:val="16"/>
              </w:rPr>
              <w:t>Disclosures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_Toc179138777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4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8CBD978" w14:textId="5450ADBD" w:rsidR="00136478" w:rsidRPr="00136478" w:rsidRDefault="00136478">
          <w:pPr>
            <w:pStyle w:val="TOC1"/>
          </w:pPr>
          <w:hyperlink w:anchor="_Toc179138778" w:history="1">
            <w:r w:rsidRPr="00136478">
              <w:rPr>
                <w:rStyle w:val="Hyperlink"/>
              </w:rPr>
              <w:t>Abstract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_Toc179138778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5</w:t>
            </w:r>
            <w:r w:rsidRPr="00136478">
              <w:rPr>
                <w:webHidden/>
              </w:rPr>
              <w:fldChar w:fldCharType="end"/>
            </w:r>
          </w:hyperlink>
        </w:p>
        <w:p w14:paraId="2F62A1AB" w14:textId="18171198" w:rsidR="00136478" w:rsidRPr="00136478" w:rsidRDefault="00136478">
          <w:pPr>
            <w:pStyle w:val="TOC1"/>
          </w:pPr>
          <w:hyperlink w:anchor="_Toc179138779" w:history="1">
            <w:r w:rsidRPr="00136478">
              <w:rPr>
                <w:rStyle w:val="Hyperlink"/>
              </w:rPr>
              <w:t>Amendments and Updates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_Toc179138779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6</w:t>
            </w:r>
            <w:r w:rsidRPr="00136478">
              <w:rPr>
                <w:webHidden/>
              </w:rPr>
              <w:fldChar w:fldCharType="end"/>
            </w:r>
          </w:hyperlink>
        </w:p>
        <w:p w14:paraId="75E0E520" w14:textId="6B823691" w:rsidR="00136478" w:rsidRPr="00136478" w:rsidRDefault="00136478">
          <w:pPr>
            <w:pStyle w:val="TOC1"/>
          </w:pPr>
          <w:hyperlink w:anchor="_Toc179138780" w:history="1">
            <w:r w:rsidRPr="00136478">
              <w:rPr>
                <w:rStyle w:val="Hyperlink"/>
              </w:rPr>
              <w:t>Milestones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_Toc179138780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7</w:t>
            </w:r>
            <w:r w:rsidRPr="00136478">
              <w:rPr>
                <w:webHidden/>
              </w:rPr>
              <w:fldChar w:fldCharType="end"/>
            </w:r>
          </w:hyperlink>
        </w:p>
        <w:p w14:paraId="4FC2EBD1" w14:textId="7A8B3E3F" w:rsidR="00136478" w:rsidRPr="00136478" w:rsidRDefault="00136478">
          <w:pPr>
            <w:pStyle w:val="TOC1"/>
          </w:pPr>
          <w:hyperlink w:anchor="_Toc179138781" w:history="1">
            <w:r w:rsidRPr="00136478">
              <w:rPr>
                <w:rStyle w:val="Hyperlink"/>
              </w:rPr>
              <w:t>Rationale and Background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_Toc179138781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8</w:t>
            </w:r>
            <w:r w:rsidRPr="00136478">
              <w:rPr>
                <w:webHidden/>
              </w:rPr>
              <w:fldChar w:fldCharType="end"/>
            </w:r>
          </w:hyperlink>
        </w:p>
        <w:p w14:paraId="03DDA00C" w14:textId="30DD27AD" w:rsidR="00136478" w:rsidRPr="00136478" w:rsidRDefault="00136478">
          <w:pPr>
            <w:pStyle w:val="TOC1"/>
          </w:pPr>
          <w:hyperlink w:anchor="_Toc179138782" w:history="1">
            <w:r w:rsidRPr="00136478">
              <w:rPr>
                <w:rStyle w:val="Hyperlink"/>
              </w:rPr>
              <w:t>Study Objectives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_Toc179138782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9</w:t>
            </w:r>
            <w:r w:rsidRPr="00136478">
              <w:rPr>
                <w:webHidden/>
              </w:rPr>
              <w:fldChar w:fldCharType="end"/>
            </w:r>
          </w:hyperlink>
        </w:p>
        <w:p w14:paraId="6851AE25" w14:textId="0117E565" w:rsidR="00136478" w:rsidRPr="00136478" w:rsidRDefault="00136478">
          <w:pPr>
            <w:pStyle w:val="TOC1"/>
          </w:pPr>
          <w:hyperlink w:anchor="_Toc179138783" w:history="1">
            <w:r w:rsidRPr="00136478">
              <w:rPr>
                <w:rStyle w:val="Hyperlink"/>
              </w:rPr>
              <w:t>Research Methods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_Toc179138783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10</w:t>
            </w:r>
            <w:r w:rsidRPr="00136478">
              <w:rPr>
                <w:webHidden/>
              </w:rPr>
              <w:fldChar w:fldCharType="end"/>
            </w:r>
          </w:hyperlink>
        </w:p>
        <w:p w14:paraId="2092ADB7" w14:textId="755B9FB2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4" w:history="1">
            <w:r w:rsidRPr="00136478">
              <w:rPr>
                <w:rStyle w:val="Hyperlink"/>
                <w:noProof/>
                <w:sz w:val="16"/>
                <w:szCs w:val="16"/>
              </w:rPr>
              <w:t>Study Design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_Toc179138784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10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61F0B04" w14:textId="634FCD45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5" w:history="1">
            <w:r w:rsidRPr="00136478">
              <w:rPr>
                <w:rStyle w:val="Hyperlink"/>
                <w:noProof/>
                <w:sz w:val="16"/>
                <w:szCs w:val="16"/>
              </w:rPr>
              <w:t>Data Sources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_Toc179138785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10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FF66182" w14:textId="12759919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6" w:history="1">
            <w:r w:rsidRPr="00136478">
              <w:rPr>
                <w:rStyle w:val="Hyperlink"/>
                <w:noProof/>
                <w:sz w:val="16"/>
                <w:szCs w:val="16"/>
              </w:rPr>
              <w:t>Study Population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_Toc179138786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10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0795E4" w14:textId="71BBC36D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7" w:history="1">
            <w:r w:rsidRPr="00136478">
              <w:rPr>
                <w:rStyle w:val="Hyperlink"/>
                <w:noProof/>
                <w:sz w:val="16"/>
                <w:szCs w:val="16"/>
              </w:rPr>
              <w:t>Exposures and Comparators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_Toc179138787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11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0E0140" w14:textId="148802FD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8" w:history="1">
            <w:r w:rsidRPr="00136478">
              <w:rPr>
                <w:rStyle w:val="Hyperlink"/>
                <w:noProof/>
                <w:sz w:val="16"/>
                <w:szCs w:val="16"/>
              </w:rPr>
              <w:t>Outcomes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_Toc179138788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12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452E1A6" w14:textId="7DD8B4F9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89" w:history="1">
            <w:r w:rsidRPr="00136478">
              <w:rPr>
                <w:rStyle w:val="Hyperlink"/>
                <w:noProof/>
                <w:sz w:val="16"/>
                <w:szCs w:val="16"/>
              </w:rPr>
              <w:t>Covariates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_Toc179138789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14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AA75846" w14:textId="10041B7A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90" w:history="1">
            <w:r w:rsidRPr="00136478">
              <w:rPr>
                <w:rStyle w:val="Hyperlink"/>
                <w:noProof/>
                <w:sz w:val="16"/>
                <w:szCs w:val="16"/>
              </w:rPr>
              <w:t>Negative Controls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_Toc179138790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14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0F24D66" w14:textId="0477A9FB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91" w:history="1">
            <w:r w:rsidRPr="00136478">
              <w:rPr>
                <w:rStyle w:val="Hyperlink"/>
                <w:noProof/>
                <w:sz w:val="16"/>
                <w:szCs w:val="16"/>
              </w:rPr>
              <w:t>Analysis Plan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_Toc179138791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14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A8FFEF9" w14:textId="443CA946" w:rsidR="00136478" w:rsidRPr="00136478" w:rsidRDefault="00136478">
          <w:pPr>
            <w:pStyle w:val="TOC1"/>
          </w:pPr>
          <w:hyperlink w:anchor="_Toc179138792" w:history="1">
            <w:r w:rsidRPr="00136478">
              <w:rPr>
                <w:rStyle w:val="Hyperlink"/>
              </w:rPr>
              <w:t>Study Diagnostic Thresholds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_Toc179138792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16</w:t>
            </w:r>
            <w:r w:rsidRPr="00136478">
              <w:rPr>
                <w:webHidden/>
              </w:rPr>
              <w:fldChar w:fldCharType="end"/>
            </w:r>
          </w:hyperlink>
        </w:p>
        <w:p w14:paraId="413563C9" w14:textId="251A7678" w:rsidR="00136478" w:rsidRPr="00136478" w:rsidRDefault="00136478">
          <w:pPr>
            <w:pStyle w:val="TOC1"/>
          </w:pPr>
          <w:hyperlink w:anchor="_Toc179138793" w:history="1">
            <w:r w:rsidRPr="00136478">
              <w:rPr>
                <w:rStyle w:val="Hyperlink"/>
              </w:rPr>
              <w:t>Strengths and Limitations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_Toc179138793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17</w:t>
            </w:r>
            <w:r w:rsidRPr="00136478">
              <w:rPr>
                <w:webHidden/>
              </w:rPr>
              <w:fldChar w:fldCharType="end"/>
            </w:r>
          </w:hyperlink>
        </w:p>
        <w:p w14:paraId="3841DAE1" w14:textId="656ECD17" w:rsidR="00136478" w:rsidRPr="00136478" w:rsidRDefault="00136478">
          <w:pPr>
            <w:pStyle w:val="TOC1"/>
          </w:pPr>
          <w:hyperlink w:anchor="_Toc179138794" w:history="1">
            <w:r w:rsidRPr="00136478">
              <w:rPr>
                <w:rStyle w:val="Hyperlink"/>
              </w:rPr>
              <w:t>Protection of Human Subjects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_Toc179138794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18</w:t>
            </w:r>
            <w:r w:rsidRPr="00136478">
              <w:rPr>
                <w:webHidden/>
              </w:rPr>
              <w:fldChar w:fldCharType="end"/>
            </w:r>
          </w:hyperlink>
        </w:p>
        <w:p w14:paraId="5176C0CE" w14:textId="1ECE41D2" w:rsidR="00136478" w:rsidRPr="00136478" w:rsidRDefault="00136478">
          <w:pPr>
            <w:pStyle w:val="TOC1"/>
          </w:pPr>
          <w:hyperlink w:anchor="_Toc179138795" w:history="1">
            <w:r w:rsidRPr="00136478">
              <w:rPr>
                <w:rStyle w:val="Hyperlink"/>
              </w:rPr>
              <w:t>Plans for Disseminating and Communicating Study Results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_Toc179138795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18</w:t>
            </w:r>
            <w:r w:rsidRPr="00136478">
              <w:rPr>
                <w:webHidden/>
              </w:rPr>
              <w:fldChar w:fldCharType="end"/>
            </w:r>
          </w:hyperlink>
        </w:p>
        <w:p w14:paraId="53CF7B39" w14:textId="33905F2C" w:rsidR="00136478" w:rsidRPr="00136478" w:rsidRDefault="00136478">
          <w:pPr>
            <w:pStyle w:val="TOC1"/>
          </w:pPr>
          <w:hyperlink w:anchor="_Toc179138796" w:history="1">
            <w:r w:rsidRPr="00136478">
              <w:rPr>
                <w:rStyle w:val="Hyperlink"/>
              </w:rPr>
              <w:t>Appendix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_Toc179138796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18</w:t>
            </w:r>
            <w:r w:rsidRPr="00136478">
              <w:rPr>
                <w:webHidden/>
              </w:rPr>
              <w:fldChar w:fldCharType="end"/>
            </w:r>
          </w:hyperlink>
        </w:p>
        <w:p w14:paraId="59B7121F" w14:textId="469636BE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97" w:history="1">
            <w:r w:rsidRPr="00136478">
              <w:rPr>
                <w:rStyle w:val="Hyperlink"/>
                <w:noProof/>
                <w:sz w:val="16"/>
                <w:szCs w:val="16"/>
              </w:rPr>
              <w:t>Cohort Definitions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_Toc179138797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18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F3F15FD" w14:textId="6B65FFAA" w:rsidR="00136478" w:rsidRPr="00136478" w:rsidRDefault="00136478">
          <w:pPr>
            <w:pStyle w:val="TOC2"/>
            <w:tabs>
              <w:tab w:val="right" w:leader="dot" w:pos="9016"/>
            </w:tabs>
            <w:rPr>
              <w:noProof/>
              <w:sz w:val="16"/>
              <w:szCs w:val="16"/>
            </w:rPr>
          </w:pPr>
          <w:hyperlink w:anchor="_Toc179138798" w:history="1">
            <w:r w:rsidRPr="00136478">
              <w:rPr>
                <w:rStyle w:val="Hyperlink"/>
                <w:noProof/>
                <w:sz w:val="16"/>
                <w:szCs w:val="16"/>
              </w:rPr>
              <w:t>Negative Controls</w:t>
            </w:r>
            <w:r w:rsidRPr="00136478">
              <w:rPr>
                <w:noProof/>
                <w:webHidden/>
                <w:sz w:val="16"/>
                <w:szCs w:val="16"/>
              </w:rPr>
              <w:tab/>
            </w:r>
            <w:r w:rsidRPr="00136478">
              <w:rPr>
                <w:noProof/>
                <w:webHidden/>
                <w:sz w:val="16"/>
                <w:szCs w:val="16"/>
              </w:rPr>
              <w:fldChar w:fldCharType="begin"/>
            </w:r>
            <w:r w:rsidRPr="00136478">
              <w:rPr>
                <w:noProof/>
                <w:webHidden/>
                <w:sz w:val="16"/>
                <w:szCs w:val="16"/>
              </w:rPr>
              <w:instrText xml:space="preserve"> PAGEREF _Toc179138798 \h </w:instrText>
            </w:r>
            <w:r w:rsidRPr="00136478">
              <w:rPr>
                <w:noProof/>
                <w:webHidden/>
                <w:sz w:val="16"/>
                <w:szCs w:val="16"/>
              </w:rPr>
            </w:r>
            <w:r w:rsidRPr="00136478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36478">
              <w:rPr>
                <w:noProof/>
                <w:webHidden/>
                <w:sz w:val="16"/>
                <w:szCs w:val="16"/>
              </w:rPr>
              <w:t>18</w:t>
            </w:r>
            <w:r w:rsidRPr="00136478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3B65E0" w14:textId="0090F81E" w:rsidR="00136478" w:rsidRPr="00136478" w:rsidRDefault="00136478">
          <w:pPr>
            <w:pStyle w:val="TOC1"/>
          </w:pPr>
          <w:hyperlink w:anchor="_Toc179138799" w:history="1">
            <w:r w:rsidRPr="00136478">
              <w:rPr>
                <w:rStyle w:val="Hyperlink"/>
              </w:rPr>
              <w:t>References</w:t>
            </w:r>
            <w:r w:rsidRPr="00136478">
              <w:rPr>
                <w:webHidden/>
              </w:rPr>
              <w:tab/>
            </w:r>
            <w:r w:rsidRPr="00136478">
              <w:rPr>
                <w:webHidden/>
              </w:rPr>
              <w:fldChar w:fldCharType="begin"/>
            </w:r>
            <w:r w:rsidRPr="00136478">
              <w:rPr>
                <w:webHidden/>
              </w:rPr>
              <w:instrText xml:space="preserve"> PAGEREF _Toc179138799 \h </w:instrText>
            </w:r>
            <w:r w:rsidRPr="00136478">
              <w:rPr>
                <w:webHidden/>
              </w:rPr>
            </w:r>
            <w:r w:rsidRPr="00136478">
              <w:rPr>
                <w:webHidden/>
              </w:rPr>
              <w:fldChar w:fldCharType="separate"/>
            </w:r>
            <w:r w:rsidRPr="00136478">
              <w:rPr>
                <w:webHidden/>
              </w:rPr>
              <w:t>19</w:t>
            </w:r>
            <w:r w:rsidRPr="00136478">
              <w:rPr>
                <w:webHidden/>
              </w:rPr>
              <w:fldChar w:fldCharType="end"/>
            </w:r>
          </w:hyperlink>
        </w:p>
        <w:p w14:paraId="35E1D026" w14:textId="0BC0097C" w:rsidR="0030756D" w:rsidRDefault="0030756D" w:rsidP="001033A0">
          <w:pPr>
            <w:jc w:val="both"/>
          </w:pPr>
          <w:r w:rsidRPr="0030756D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540F5E50" w14:textId="77777777" w:rsidR="00CE43A9" w:rsidRDefault="00CE43A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EA16384" w14:textId="7F6B57AC" w:rsidR="00EA1057" w:rsidRDefault="00EA1057" w:rsidP="001033A0">
      <w:pPr>
        <w:pStyle w:val="Heading1"/>
        <w:jc w:val="both"/>
      </w:pPr>
      <w:bookmarkStart w:id="0" w:name="_Toc179138773"/>
      <w:r>
        <w:rPr>
          <w:rFonts w:hint="eastAsia"/>
        </w:rPr>
        <w:lastRenderedPageBreak/>
        <w:t>Version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69"/>
      </w:tblGrid>
      <w:tr w:rsidR="00EA1057" w14:paraId="2194F202" w14:textId="77777777" w:rsidTr="00EA1057">
        <w:tc>
          <w:tcPr>
            <w:tcW w:w="990" w:type="dxa"/>
          </w:tcPr>
          <w:p w14:paraId="3A9ABF09" w14:textId="2955D2DD" w:rsidR="00EA1057" w:rsidRPr="00EA1057" w:rsidRDefault="00EA105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EA1057">
              <w:rPr>
                <w:rFonts w:hint="eastAsia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557" w:type="dxa"/>
          </w:tcPr>
          <w:p w14:paraId="5D9F84E0" w14:textId="7E011737" w:rsidR="00EA1057" w:rsidRPr="00EA1057" w:rsidRDefault="00EA1057" w:rsidP="001033A0">
            <w:pPr>
              <w:jc w:val="both"/>
              <w:rPr>
                <w:b/>
                <w:bCs/>
                <w:sz w:val="20"/>
                <w:szCs w:val="20"/>
              </w:rPr>
            </w:pPr>
            <w:r w:rsidRPr="00EA1057">
              <w:rPr>
                <w:rFonts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469" w:type="dxa"/>
          </w:tcPr>
          <w:p w14:paraId="4BB95F97" w14:textId="65A77B51" w:rsidR="00EA1057" w:rsidRPr="00EA1057" w:rsidRDefault="00EA105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EA1057">
              <w:rPr>
                <w:rFonts w:hint="eastAsia"/>
                <w:b/>
                <w:bCs/>
                <w:sz w:val="20"/>
                <w:szCs w:val="20"/>
              </w:rPr>
              <w:t>Changes</w:t>
            </w:r>
          </w:p>
        </w:tc>
      </w:tr>
      <w:tr w:rsidR="00EA1057" w14:paraId="3246CD75" w14:textId="77777777" w:rsidTr="00EA1057">
        <w:tc>
          <w:tcPr>
            <w:tcW w:w="990" w:type="dxa"/>
          </w:tcPr>
          <w:p w14:paraId="6A14FB82" w14:textId="2C506376" w:rsidR="00EA1057" w:rsidRP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0.0.1</w:t>
            </w:r>
          </w:p>
        </w:tc>
        <w:tc>
          <w:tcPr>
            <w:tcW w:w="1557" w:type="dxa"/>
          </w:tcPr>
          <w:p w14:paraId="4201A0B0" w14:textId="56DF0C4F" w:rsidR="00EA1057" w:rsidRP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 Sep 2024</w:t>
            </w:r>
          </w:p>
        </w:tc>
        <w:tc>
          <w:tcPr>
            <w:tcW w:w="6469" w:type="dxa"/>
          </w:tcPr>
          <w:p w14:paraId="537E6072" w14:textId="50683A00" w:rsidR="00EA1057" w:rsidRP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Set up basic document. Added study population, comparators, outcomes. </w:t>
            </w:r>
          </w:p>
        </w:tc>
      </w:tr>
      <w:tr w:rsidR="00EA1057" w14:paraId="01D0906B" w14:textId="77777777" w:rsidTr="00EA1057">
        <w:tc>
          <w:tcPr>
            <w:tcW w:w="990" w:type="dxa"/>
          </w:tcPr>
          <w:p w14:paraId="607A480D" w14:textId="51841DED" w:rsid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0.0.2</w:t>
            </w:r>
          </w:p>
        </w:tc>
        <w:tc>
          <w:tcPr>
            <w:tcW w:w="1557" w:type="dxa"/>
          </w:tcPr>
          <w:p w14:paraId="4E2B08CB" w14:textId="58D184B8" w:rsid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 Sep 2024</w:t>
            </w:r>
          </w:p>
        </w:tc>
        <w:tc>
          <w:tcPr>
            <w:tcW w:w="6469" w:type="dxa"/>
          </w:tcPr>
          <w:p w14:paraId="63FD2711" w14:textId="06499866" w:rsid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Edited during first </w:t>
            </w:r>
            <w:proofErr w:type="spellStart"/>
            <w:r>
              <w:rPr>
                <w:rFonts w:hint="eastAsia"/>
                <w:sz w:val="18"/>
                <w:szCs w:val="18"/>
              </w:rPr>
              <w:t>kickoff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meeting. Adjusted study population, comparators, outcomes.</w:t>
            </w:r>
          </w:p>
        </w:tc>
      </w:tr>
      <w:tr w:rsidR="00EA1057" w14:paraId="0E2AC3F4" w14:textId="77777777" w:rsidTr="00EA1057">
        <w:tc>
          <w:tcPr>
            <w:tcW w:w="990" w:type="dxa"/>
          </w:tcPr>
          <w:p w14:paraId="2B6753AB" w14:textId="0539D256" w:rsid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0.0.3</w:t>
            </w:r>
          </w:p>
        </w:tc>
        <w:tc>
          <w:tcPr>
            <w:tcW w:w="1557" w:type="dxa"/>
          </w:tcPr>
          <w:p w14:paraId="36018B15" w14:textId="7D2B95ED" w:rsidR="00EA1057" w:rsidRDefault="00EA1057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 Oct 2024</w:t>
            </w:r>
          </w:p>
        </w:tc>
        <w:tc>
          <w:tcPr>
            <w:tcW w:w="6469" w:type="dxa"/>
          </w:tcPr>
          <w:p w14:paraId="744174CD" w14:textId="47A425B3" w:rsidR="00EA1057" w:rsidRDefault="005D6CAE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Filled out </w:t>
            </w:r>
            <w:r w:rsidR="00375EB6">
              <w:rPr>
                <w:rFonts w:hint="eastAsia"/>
                <w:sz w:val="18"/>
                <w:szCs w:val="18"/>
              </w:rPr>
              <w:t>research methods section including rationale/background, design, data sources, population cohort definitions, exposures, outcomes, comparators, data analysis</w:t>
            </w:r>
            <w:r w:rsidR="00136478">
              <w:rPr>
                <w:rFonts w:hint="eastAsia"/>
                <w:sz w:val="18"/>
                <w:szCs w:val="18"/>
              </w:rPr>
              <w:t xml:space="preserve">, study diagnostic thresholds. </w:t>
            </w:r>
          </w:p>
        </w:tc>
      </w:tr>
    </w:tbl>
    <w:p w14:paraId="62B8B0BB" w14:textId="77777777" w:rsidR="00EA1057" w:rsidRPr="00EA1057" w:rsidRDefault="00EA1057" w:rsidP="001033A0">
      <w:pPr>
        <w:jc w:val="both"/>
      </w:pPr>
    </w:p>
    <w:p w14:paraId="377FCB8F" w14:textId="77777777" w:rsidR="00EA1057" w:rsidRDefault="00EA1057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D580DD" w14:textId="6260D2B1" w:rsidR="00275EB6" w:rsidRDefault="00275EB6" w:rsidP="001033A0">
      <w:pPr>
        <w:pStyle w:val="Heading1"/>
        <w:jc w:val="both"/>
      </w:pPr>
      <w:bookmarkStart w:id="1" w:name="_Toc179138774"/>
      <w:r>
        <w:rPr>
          <w:rFonts w:hint="eastAsia"/>
        </w:rPr>
        <w:lastRenderedPageBreak/>
        <w:t>List of Abbreviations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3825"/>
        <w:gridCol w:w="4201"/>
      </w:tblGrid>
      <w:tr w:rsidR="001033A0" w:rsidRPr="00EA1057" w14:paraId="0355DCD8" w14:textId="77777777" w:rsidTr="001033A0">
        <w:tc>
          <w:tcPr>
            <w:tcW w:w="990" w:type="dxa"/>
          </w:tcPr>
          <w:p w14:paraId="43963BA7" w14:textId="6D85EF6B" w:rsidR="001033A0" w:rsidRPr="00EA1057" w:rsidRDefault="001033A0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Abbr.</w:t>
            </w:r>
          </w:p>
        </w:tc>
        <w:tc>
          <w:tcPr>
            <w:tcW w:w="3825" w:type="dxa"/>
          </w:tcPr>
          <w:p w14:paraId="757B4983" w14:textId="1B6F535F" w:rsidR="001033A0" w:rsidRPr="00EA1057" w:rsidRDefault="001033A0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201" w:type="dxa"/>
          </w:tcPr>
          <w:p w14:paraId="15C00A3F" w14:textId="0B34A622" w:rsidR="001033A0" w:rsidRPr="00EA1057" w:rsidRDefault="001033A0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Notes</w:t>
            </w:r>
          </w:p>
        </w:tc>
      </w:tr>
      <w:tr w:rsidR="001033A0" w:rsidRPr="00EA1057" w14:paraId="52C70E52" w14:textId="77777777" w:rsidTr="001033A0">
        <w:tc>
          <w:tcPr>
            <w:tcW w:w="990" w:type="dxa"/>
          </w:tcPr>
          <w:p w14:paraId="100608AA" w14:textId="7E86632B" w:rsidR="001033A0" w:rsidRPr="00EA1057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DILI</w:t>
            </w:r>
          </w:p>
        </w:tc>
        <w:tc>
          <w:tcPr>
            <w:tcW w:w="3825" w:type="dxa"/>
          </w:tcPr>
          <w:p w14:paraId="52870C17" w14:textId="3E8885B6" w:rsidR="001033A0" w:rsidRPr="00EA1057" w:rsidRDefault="00E42C29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1033A0" w:rsidRPr="00E42C29">
              <w:rPr>
                <w:rFonts w:hint="eastAsia"/>
                <w:sz w:val="18"/>
                <w:szCs w:val="18"/>
              </w:rPr>
              <w:t>rug-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1033A0" w:rsidRPr="00E42C29">
              <w:rPr>
                <w:rFonts w:hint="eastAsia"/>
                <w:sz w:val="18"/>
                <w:szCs w:val="18"/>
              </w:rPr>
              <w:t xml:space="preserve">nduced </w:t>
            </w:r>
            <w:r>
              <w:rPr>
                <w:rFonts w:hint="eastAsia"/>
                <w:sz w:val="18"/>
                <w:szCs w:val="18"/>
              </w:rPr>
              <w:t>L</w:t>
            </w:r>
            <w:r w:rsidR="001033A0" w:rsidRPr="00E42C29">
              <w:rPr>
                <w:rFonts w:hint="eastAsia"/>
                <w:sz w:val="18"/>
                <w:szCs w:val="18"/>
              </w:rPr>
              <w:t xml:space="preserve">iver 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1033A0" w:rsidRPr="00E42C29">
              <w:rPr>
                <w:rFonts w:hint="eastAsia"/>
                <w:sz w:val="18"/>
                <w:szCs w:val="18"/>
              </w:rPr>
              <w:t>njury</w:t>
            </w:r>
          </w:p>
        </w:tc>
        <w:tc>
          <w:tcPr>
            <w:tcW w:w="4201" w:type="dxa"/>
          </w:tcPr>
          <w:p w14:paraId="21E7C040" w14:textId="6AC7B46D" w:rsidR="001033A0" w:rsidRPr="00EA1057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 w:rsidR="001033A0" w14:paraId="2C8D4843" w14:textId="77777777" w:rsidTr="001033A0">
        <w:tc>
          <w:tcPr>
            <w:tcW w:w="990" w:type="dxa"/>
          </w:tcPr>
          <w:p w14:paraId="397D4D09" w14:textId="42F0BB2E" w:rsidR="001033A0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GLP-1</w:t>
            </w:r>
          </w:p>
        </w:tc>
        <w:tc>
          <w:tcPr>
            <w:tcW w:w="3825" w:type="dxa"/>
          </w:tcPr>
          <w:p w14:paraId="170125AB" w14:textId="27A57659" w:rsidR="001033A0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  <w:r w:rsidRPr="00E42C29">
              <w:rPr>
                <w:sz w:val="18"/>
                <w:szCs w:val="18"/>
              </w:rPr>
              <w:t>Glucagon-</w:t>
            </w:r>
            <w:r w:rsidR="00E42C29">
              <w:rPr>
                <w:rFonts w:hint="eastAsia"/>
                <w:sz w:val="18"/>
                <w:szCs w:val="18"/>
              </w:rPr>
              <w:t>L</w:t>
            </w:r>
            <w:r w:rsidRPr="00E42C29">
              <w:rPr>
                <w:sz w:val="18"/>
                <w:szCs w:val="18"/>
              </w:rPr>
              <w:t xml:space="preserve">ike </w:t>
            </w:r>
            <w:r w:rsidR="00E42C29">
              <w:rPr>
                <w:rFonts w:hint="eastAsia"/>
                <w:sz w:val="18"/>
                <w:szCs w:val="18"/>
              </w:rPr>
              <w:t>P</w:t>
            </w:r>
            <w:r w:rsidRPr="00E42C29">
              <w:rPr>
                <w:sz w:val="18"/>
                <w:szCs w:val="18"/>
              </w:rPr>
              <w:t>eptide-1</w:t>
            </w:r>
          </w:p>
        </w:tc>
        <w:tc>
          <w:tcPr>
            <w:tcW w:w="4201" w:type="dxa"/>
          </w:tcPr>
          <w:p w14:paraId="220ECAF8" w14:textId="51BC92CA" w:rsidR="001033A0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 w:rsidR="001033A0" w14:paraId="12360940" w14:textId="77777777" w:rsidTr="001033A0">
        <w:tc>
          <w:tcPr>
            <w:tcW w:w="990" w:type="dxa"/>
          </w:tcPr>
          <w:p w14:paraId="5F7B32A7" w14:textId="1FAEFF78" w:rsidR="001033A0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T2DM</w:t>
            </w:r>
          </w:p>
        </w:tc>
        <w:tc>
          <w:tcPr>
            <w:tcW w:w="3825" w:type="dxa"/>
          </w:tcPr>
          <w:p w14:paraId="14531287" w14:textId="532B73E3" w:rsidR="001033A0" w:rsidRDefault="00E42C29" w:rsidP="001033A0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E42C29">
              <w:rPr>
                <w:sz w:val="18"/>
                <w:szCs w:val="18"/>
              </w:rPr>
              <w:t xml:space="preserve">ype 2 </w:t>
            </w:r>
            <w:r>
              <w:rPr>
                <w:rFonts w:hint="eastAsia"/>
                <w:sz w:val="18"/>
                <w:szCs w:val="18"/>
              </w:rPr>
              <w:t>D</w:t>
            </w:r>
            <w:r w:rsidRPr="00E42C29">
              <w:rPr>
                <w:sz w:val="18"/>
                <w:szCs w:val="18"/>
              </w:rPr>
              <w:t xml:space="preserve">iabetes </w:t>
            </w:r>
            <w:r>
              <w:rPr>
                <w:rFonts w:hint="eastAsia"/>
                <w:sz w:val="18"/>
                <w:szCs w:val="18"/>
              </w:rPr>
              <w:t>M</w:t>
            </w:r>
            <w:r w:rsidRPr="00E42C29">
              <w:rPr>
                <w:sz w:val="18"/>
                <w:szCs w:val="18"/>
              </w:rPr>
              <w:t>ellitus</w:t>
            </w:r>
          </w:p>
        </w:tc>
        <w:tc>
          <w:tcPr>
            <w:tcW w:w="4201" w:type="dxa"/>
          </w:tcPr>
          <w:p w14:paraId="51FA810F" w14:textId="77777777" w:rsidR="001033A0" w:rsidRDefault="001033A0" w:rsidP="001033A0"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</w:tbl>
    <w:p w14:paraId="5D7D3CBD" w14:textId="77777777" w:rsidR="001033A0" w:rsidRDefault="001033A0" w:rsidP="001033A0">
      <w:pPr>
        <w:jc w:val="both"/>
        <w:rPr>
          <w:rFonts w:hint="eastAsia"/>
        </w:rPr>
      </w:pPr>
    </w:p>
    <w:p w14:paraId="6FA7B045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240A8D" w14:textId="3B4C0D51" w:rsidR="00275EB6" w:rsidRPr="00275EB6" w:rsidRDefault="00275EB6" w:rsidP="001033A0">
      <w:pPr>
        <w:pStyle w:val="Heading1"/>
        <w:jc w:val="both"/>
      </w:pPr>
      <w:bookmarkStart w:id="2" w:name="_Toc179138775"/>
      <w:r>
        <w:rPr>
          <w:rFonts w:hint="eastAsia"/>
        </w:rPr>
        <w:lastRenderedPageBreak/>
        <w:t>Responsible Parties</w:t>
      </w:r>
      <w:bookmarkEnd w:id="2"/>
    </w:p>
    <w:p w14:paraId="2F1A2ED5" w14:textId="20A027FC" w:rsidR="00275EB6" w:rsidRDefault="00275EB6" w:rsidP="001033A0">
      <w:pPr>
        <w:pStyle w:val="Heading2"/>
        <w:jc w:val="both"/>
      </w:pPr>
      <w:bookmarkStart w:id="3" w:name="_Toc179138776"/>
      <w:r>
        <w:rPr>
          <w:rFonts w:hint="eastAsia"/>
        </w:rPr>
        <w:t>Investigators</w:t>
      </w:r>
      <w:bookmarkEnd w:id="3"/>
    </w:p>
    <w:p w14:paraId="30277C12" w14:textId="4FF4C10C" w:rsidR="00275EB6" w:rsidRDefault="001033A0" w:rsidP="001033A0">
      <w:pPr>
        <w:jc w:val="both"/>
        <w:rPr>
          <w:rFonts w:hint="eastAsia"/>
        </w:rPr>
      </w:pPr>
      <w:r>
        <w:rPr>
          <w:rFonts w:hint="eastAsia"/>
        </w:rPr>
        <w:t>Evelyn Goh (National University of Singapore, e0983111@u.nus.edu)</w:t>
      </w:r>
    </w:p>
    <w:p w14:paraId="5B281C8C" w14:textId="77777777" w:rsidR="001033A0" w:rsidRPr="00275EB6" w:rsidRDefault="001033A0" w:rsidP="001033A0">
      <w:pPr>
        <w:jc w:val="both"/>
      </w:pPr>
    </w:p>
    <w:p w14:paraId="3FAAF592" w14:textId="38182841" w:rsidR="00275EB6" w:rsidRDefault="00275EB6" w:rsidP="001033A0">
      <w:pPr>
        <w:pStyle w:val="Heading2"/>
        <w:jc w:val="both"/>
      </w:pPr>
      <w:bookmarkStart w:id="4" w:name="_Toc179138777"/>
      <w:r>
        <w:rPr>
          <w:rFonts w:hint="eastAsia"/>
        </w:rPr>
        <w:t>Disclosures</w:t>
      </w:r>
      <w:bookmarkEnd w:id="4"/>
    </w:p>
    <w:p w14:paraId="04C97BFD" w14:textId="77777777" w:rsidR="00275EB6" w:rsidRDefault="00275EB6" w:rsidP="001033A0">
      <w:pPr>
        <w:jc w:val="both"/>
      </w:pPr>
    </w:p>
    <w:p w14:paraId="2CCDC52A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870F0C1" w14:textId="0F222AB9" w:rsidR="00275EB6" w:rsidRDefault="00275EB6" w:rsidP="001033A0">
      <w:pPr>
        <w:pStyle w:val="Heading1"/>
        <w:jc w:val="both"/>
      </w:pPr>
      <w:bookmarkStart w:id="5" w:name="_Toc179138778"/>
      <w:r>
        <w:rPr>
          <w:rFonts w:hint="eastAsia"/>
        </w:rPr>
        <w:lastRenderedPageBreak/>
        <w:t>Abstract</w:t>
      </w:r>
      <w:bookmarkEnd w:id="5"/>
    </w:p>
    <w:p w14:paraId="2810CF0F" w14:textId="27E43583" w:rsidR="00E4325E" w:rsidRPr="00E4325E" w:rsidRDefault="00275EB6" w:rsidP="00E4325E">
      <w:pPr>
        <w:rPr>
          <w:b/>
          <w:bCs/>
        </w:rPr>
      </w:pPr>
      <w:r w:rsidRPr="00E4325E">
        <w:rPr>
          <w:rFonts w:hint="eastAsia"/>
          <w:b/>
          <w:bCs/>
        </w:rPr>
        <w:t>Background and Significance</w:t>
      </w:r>
    </w:p>
    <w:p w14:paraId="2B0127EC" w14:textId="0A9095A6" w:rsidR="00CA6BAE" w:rsidRPr="00E4325E" w:rsidRDefault="00275EB6" w:rsidP="00E4325E">
      <w:pPr>
        <w:rPr>
          <w:b/>
          <w:bCs/>
        </w:rPr>
      </w:pPr>
      <w:r w:rsidRPr="00E4325E">
        <w:rPr>
          <w:rFonts w:hint="eastAsia"/>
          <w:b/>
          <w:bCs/>
        </w:rPr>
        <w:t>Study Aims</w:t>
      </w:r>
    </w:p>
    <w:p w14:paraId="1DEC3314" w14:textId="70223F1E" w:rsidR="00275EB6" w:rsidRPr="00E4325E" w:rsidRDefault="00275EB6" w:rsidP="00E4325E">
      <w:pPr>
        <w:rPr>
          <w:b/>
          <w:bCs/>
        </w:rPr>
      </w:pPr>
      <w:r w:rsidRPr="00E4325E">
        <w:rPr>
          <w:rFonts w:hint="eastAsia"/>
          <w:b/>
          <w:bCs/>
        </w:rPr>
        <w:t>Study Description</w:t>
      </w:r>
    </w:p>
    <w:p w14:paraId="05C4FFB3" w14:textId="72231343" w:rsidR="006C6FC1" w:rsidRPr="00CA6BAE" w:rsidRDefault="00275EB6" w:rsidP="00E4325E">
      <w:pPr>
        <w:pStyle w:val="ListParagraph"/>
        <w:numPr>
          <w:ilvl w:val="0"/>
          <w:numId w:val="5"/>
        </w:numPr>
      </w:pPr>
      <w:r>
        <w:rPr>
          <w:rFonts w:hint="eastAsia"/>
        </w:rPr>
        <w:t>Population</w:t>
      </w:r>
    </w:p>
    <w:p w14:paraId="718E91D1" w14:textId="42DB4CEE" w:rsidR="00144887" w:rsidRPr="009E32E8" w:rsidRDefault="00275EB6" w:rsidP="00E4325E">
      <w:pPr>
        <w:pStyle w:val="ListParagraph"/>
        <w:numPr>
          <w:ilvl w:val="0"/>
          <w:numId w:val="5"/>
        </w:numPr>
      </w:pPr>
      <w:r>
        <w:rPr>
          <w:rFonts w:hint="eastAsia"/>
        </w:rPr>
        <w:t>Comparators</w:t>
      </w:r>
    </w:p>
    <w:p w14:paraId="5A14D592" w14:textId="007FD356" w:rsidR="00144887" w:rsidRPr="009E32E8" w:rsidRDefault="00275EB6" w:rsidP="00E4325E">
      <w:pPr>
        <w:pStyle w:val="ListParagraph"/>
        <w:numPr>
          <w:ilvl w:val="0"/>
          <w:numId w:val="5"/>
        </w:numPr>
      </w:pPr>
      <w:r>
        <w:rPr>
          <w:rFonts w:hint="eastAsia"/>
        </w:rPr>
        <w:t>Outcomes</w:t>
      </w:r>
    </w:p>
    <w:p w14:paraId="7F3D4446" w14:textId="55462ED7" w:rsidR="006C6773" w:rsidRPr="009E32E8" w:rsidRDefault="00275EB6" w:rsidP="00E4325E">
      <w:pPr>
        <w:pStyle w:val="ListParagraph"/>
        <w:numPr>
          <w:ilvl w:val="0"/>
          <w:numId w:val="5"/>
        </w:numPr>
      </w:pPr>
      <w:r>
        <w:rPr>
          <w:rFonts w:hint="eastAsia"/>
        </w:rPr>
        <w:t>Design</w:t>
      </w:r>
    </w:p>
    <w:p w14:paraId="0965138F" w14:textId="11772D1C" w:rsidR="00275EB6" w:rsidRPr="00275EB6" w:rsidRDefault="00275EB6" w:rsidP="00E4325E">
      <w:pPr>
        <w:pStyle w:val="ListParagraph"/>
        <w:numPr>
          <w:ilvl w:val="0"/>
          <w:numId w:val="5"/>
        </w:numPr>
      </w:pPr>
      <w:r>
        <w:rPr>
          <w:rFonts w:hint="eastAsia"/>
        </w:rPr>
        <w:t>Timeframe</w:t>
      </w:r>
    </w:p>
    <w:p w14:paraId="5C985D9B" w14:textId="1EE469FC" w:rsidR="00275EB6" w:rsidRDefault="00275EB6" w:rsidP="001033A0">
      <w:pPr>
        <w:jc w:val="both"/>
      </w:pPr>
    </w:p>
    <w:p w14:paraId="575EFE79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329BFAB" w14:textId="6D119A72" w:rsidR="00275EB6" w:rsidRDefault="00275EB6" w:rsidP="001033A0">
      <w:pPr>
        <w:pStyle w:val="Heading1"/>
        <w:jc w:val="both"/>
      </w:pPr>
      <w:bookmarkStart w:id="6" w:name="_Toc179138779"/>
      <w:r>
        <w:rPr>
          <w:rFonts w:hint="eastAsia"/>
        </w:rPr>
        <w:lastRenderedPageBreak/>
        <w:t>Amendments and Updates</w:t>
      </w:r>
      <w:bookmarkEnd w:id="6"/>
    </w:p>
    <w:p w14:paraId="014595EB" w14:textId="77777777" w:rsidR="00275EB6" w:rsidRDefault="00275EB6" w:rsidP="001033A0">
      <w:pPr>
        <w:jc w:val="both"/>
      </w:pPr>
    </w:p>
    <w:p w14:paraId="4F679723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FE7A58" w14:textId="725559EC" w:rsidR="00275EB6" w:rsidRDefault="00275EB6" w:rsidP="001033A0">
      <w:pPr>
        <w:pStyle w:val="Heading1"/>
        <w:jc w:val="both"/>
      </w:pPr>
      <w:bookmarkStart w:id="7" w:name="_Toc179138780"/>
      <w:r>
        <w:rPr>
          <w:rFonts w:hint="eastAsia"/>
        </w:rPr>
        <w:lastRenderedPageBreak/>
        <w:t>Milestones</w:t>
      </w:r>
      <w:bookmarkEnd w:id="7"/>
    </w:p>
    <w:p w14:paraId="225EFDEF" w14:textId="77777777" w:rsidR="00275EB6" w:rsidRDefault="00275EB6" w:rsidP="001033A0">
      <w:pPr>
        <w:jc w:val="both"/>
      </w:pPr>
    </w:p>
    <w:p w14:paraId="1E5FC5E1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6B809A" w14:textId="541E02D7" w:rsidR="00275EB6" w:rsidRDefault="00275EB6" w:rsidP="001033A0">
      <w:pPr>
        <w:pStyle w:val="Heading1"/>
        <w:jc w:val="both"/>
      </w:pPr>
      <w:bookmarkStart w:id="8" w:name="_Toc179138781"/>
      <w:r>
        <w:rPr>
          <w:rFonts w:hint="eastAsia"/>
        </w:rPr>
        <w:lastRenderedPageBreak/>
        <w:t>Rationale and Background</w:t>
      </w:r>
      <w:bookmarkEnd w:id="8"/>
    </w:p>
    <w:p w14:paraId="4020E04C" w14:textId="77777777" w:rsidR="00892E55" w:rsidRDefault="00892E55" w:rsidP="00892E55">
      <w:pPr>
        <w:jc w:val="both"/>
      </w:pPr>
      <w:r>
        <w:t xml:space="preserve">Glucagon-like peptide-1 (GLP-1) agonists are a class of medications used to treat type 2 diabetes mellitus (T2DM) and obesity. GLP-1 an endogenous hormone released in response to food consumption, lowering blood glucose through insulin secretion and glucagon inhibition, suppressing appetite, and delaying gastric emptying. </w:t>
      </w:r>
    </w:p>
    <w:p w14:paraId="4849998D" w14:textId="77777777" w:rsidR="00892E55" w:rsidRDefault="00892E55" w:rsidP="00892E55">
      <w:pPr>
        <w:jc w:val="both"/>
      </w:pPr>
      <w:r>
        <w:t xml:space="preserve">GLP-1 agonists were licensed in the last 20 years for use in overweight patients with T2DM because of benefits with reducing glycated </w:t>
      </w:r>
      <w:proofErr w:type="spellStart"/>
      <w:r>
        <w:t>hemoglobin</w:t>
      </w:r>
      <w:proofErr w:type="spellEnd"/>
      <w:r>
        <w:t xml:space="preserve"> A1c and facilitating weight loss. The US FDA approved the first GLP-1 agonist (exenatide) in 2005. </w:t>
      </w:r>
    </w:p>
    <w:p w14:paraId="4A949D2C" w14:textId="77777777" w:rsidR="00892E55" w:rsidRDefault="00892E55" w:rsidP="00892E55">
      <w:pPr>
        <w:jc w:val="both"/>
      </w:pPr>
      <w:r>
        <w:t xml:space="preserve">Currently, the types of GLP-1 agonists that are currently marketed globally are: </w:t>
      </w:r>
    </w:p>
    <w:p w14:paraId="425E90DA" w14:textId="77777777" w:rsidR="00892E55" w:rsidRDefault="00892E55" w:rsidP="00892E55">
      <w:pPr>
        <w:jc w:val="both"/>
      </w:pPr>
      <w:r>
        <w:t>Long-acting agonists:</w:t>
      </w:r>
    </w:p>
    <w:p w14:paraId="40E7DC4D" w14:textId="77777777" w:rsidR="00892E55" w:rsidRDefault="00892E55" w:rsidP="00892E55">
      <w:pPr>
        <w:pStyle w:val="ListParagraph"/>
        <w:numPr>
          <w:ilvl w:val="0"/>
          <w:numId w:val="3"/>
        </w:numPr>
        <w:jc w:val="both"/>
      </w:pPr>
      <w:r>
        <w:t>dulaglutide (Trulicity®)</w:t>
      </w:r>
    </w:p>
    <w:p w14:paraId="19FB5F66" w14:textId="77777777" w:rsidR="00892E55" w:rsidRDefault="00892E55" w:rsidP="00892E55">
      <w:pPr>
        <w:pStyle w:val="ListParagraph"/>
        <w:numPr>
          <w:ilvl w:val="0"/>
          <w:numId w:val="3"/>
        </w:numPr>
        <w:jc w:val="both"/>
      </w:pPr>
      <w:r>
        <w:t>exenatide extended-release (</w:t>
      </w:r>
      <w:proofErr w:type="spellStart"/>
      <w:r>
        <w:t>Bydureon</w:t>
      </w:r>
      <w:proofErr w:type="spellEnd"/>
      <w:r>
        <w:t>®)</w:t>
      </w:r>
    </w:p>
    <w:p w14:paraId="5B879555" w14:textId="77777777" w:rsidR="00892E55" w:rsidRDefault="00892E55" w:rsidP="00892E55">
      <w:pPr>
        <w:pStyle w:val="ListParagraph"/>
        <w:numPr>
          <w:ilvl w:val="0"/>
          <w:numId w:val="3"/>
        </w:numPr>
        <w:jc w:val="both"/>
      </w:pPr>
      <w:r>
        <w:t>liraglutide (Victoza®)</w:t>
      </w:r>
    </w:p>
    <w:p w14:paraId="7B78D071" w14:textId="77777777" w:rsidR="00892E55" w:rsidRDefault="00892E55" w:rsidP="00892E55">
      <w:pPr>
        <w:pStyle w:val="ListParagraph"/>
        <w:numPr>
          <w:ilvl w:val="0"/>
          <w:numId w:val="3"/>
        </w:numPr>
        <w:jc w:val="both"/>
      </w:pPr>
      <w:proofErr w:type="spellStart"/>
      <w:r>
        <w:t>semaglutide</w:t>
      </w:r>
      <w:proofErr w:type="spellEnd"/>
      <w:r>
        <w:t xml:space="preserve"> injection (Ozempic®)</w:t>
      </w:r>
    </w:p>
    <w:p w14:paraId="64E174D6" w14:textId="77777777" w:rsidR="00892E55" w:rsidRDefault="00892E55" w:rsidP="00892E55">
      <w:pPr>
        <w:pStyle w:val="ListParagraph"/>
        <w:numPr>
          <w:ilvl w:val="0"/>
          <w:numId w:val="3"/>
        </w:numPr>
        <w:jc w:val="both"/>
      </w:pPr>
      <w:proofErr w:type="spellStart"/>
      <w:r>
        <w:t>semaglutide</w:t>
      </w:r>
      <w:proofErr w:type="spellEnd"/>
      <w:r>
        <w:t xml:space="preserve"> tablets (</w:t>
      </w:r>
      <w:proofErr w:type="spellStart"/>
      <w:r>
        <w:t>Rybelsus</w:t>
      </w:r>
      <w:proofErr w:type="spellEnd"/>
      <w:r>
        <w:t>®)</w:t>
      </w:r>
    </w:p>
    <w:p w14:paraId="384C2443" w14:textId="77777777" w:rsidR="00892E55" w:rsidRDefault="00892E55" w:rsidP="00892E55">
      <w:pPr>
        <w:jc w:val="both"/>
      </w:pPr>
      <w:r>
        <w:t>Short-acting agonists:</w:t>
      </w:r>
    </w:p>
    <w:p w14:paraId="5C17F51B" w14:textId="77777777" w:rsidR="00892E55" w:rsidRDefault="00892E55" w:rsidP="00892E55">
      <w:pPr>
        <w:pStyle w:val="ListParagraph"/>
        <w:numPr>
          <w:ilvl w:val="0"/>
          <w:numId w:val="4"/>
        </w:numPr>
        <w:jc w:val="both"/>
      </w:pPr>
      <w:r>
        <w:t>exenatide (Byetta®)</w:t>
      </w:r>
    </w:p>
    <w:p w14:paraId="1E22F3B0" w14:textId="77777777" w:rsidR="00892E55" w:rsidRDefault="00892E55" w:rsidP="00892E55">
      <w:pPr>
        <w:pStyle w:val="ListParagraph"/>
        <w:numPr>
          <w:ilvl w:val="0"/>
          <w:numId w:val="4"/>
        </w:numPr>
        <w:jc w:val="both"/>
      </w:pPr>
      <w:proofErr w:type="spellStart"/>
      <w:r>
        <w:t>lixisenatide</w:t>
      </w:r>
      <w:proofErr w:type="spellEnd"/>
      <w:r>
        <w:t xml:space="preserve"> (</w:t>
      </w:r>
      <w:proofErr w:type="spellStart"/>
      <w:r>
        <w:t>Adlyxin</w:t>
      </w:r>
      <w:proofErr w:type="spellEnd"/>
      <w:r>
        <w:t>®)</w:t>
      </w:r>
    </w:p>
    <w:p w14:paraId="0B3A2C30" w14:textId="1314C2EE" w:rsidR="00892E55" w:rsidRDefault="00892E55" w:rsidP="00892E55">
      <w:pPr>
        <w:jc w:val="both"/>
      </w:pPr>
      <w:r>
        <w:t>Clinical trial data, as well as the US FDA Adverse Event Reporting System did not identify a risk of liver enzyme elevation with GLP-1 agonists</w:t>
      </w:r>
      <w:r w:rsidR="001360AD">
        <w:rPr>
          <w:rFonts w:hint="eastAsia"/>
        </w:rPr>
        <w:t xml:space="preserve"> despite </w:t>
      </w:r>
      <w:r>
        <w:t xml:space="preserve">US and Canadian product inserts of liraglutide-containing products lists “elevation of liver enzymes” as an adverse reaction under the </w:t>
      </w:r>
      <w:proofErr w:type="spellStart"/>
      <w:r>
        <w:t>Postmarketing</w:t>
      </w:r>
      <w:proofErr w:type="spellEnd"/>
      <w:r>
        <w:t xml:space="preserve"> Experience section. However, liraglutide-containing products in other countries do not carry any information on the risk of liver enzyme elevation. Likewise, not all GLP-1 agonists labels contain ‘elevation of liver enzymes’ as an adverse reaction as well. </w:t>
      </w:r>
    </w:p>
    <w:p w14:paraId="51BDF01F" w14:textId="29AFF2A3" w:rsidR="00892E55" w:rsidRDefault="00892E55" w:rsidP="00892E55">
      <w:pPr>
        <w:jc w:val="both"/>
        <w:rPr>
          <w:rFonts w:hint="eastAsia"/>
        </w:rPr>
      </w:pPr>
      <w:r>
        <w:t xml:space="preserve">Amidst this uncertainty, some case reports of </w:t>
      </w:r>
      <w:r w:rsidR="00D53274">
        <w:rPr>
          <w:rFonts w:hint="eastAsia"/>
        </w:rPr>
        <w:t xml:space="preserve">drug-induced liver injury (DILI) </w:t>
      </w:r>
      <w:r>
        <w:t>have appeared in the literature.</w:t>
      </w:r>
      <w:r>
        <w:rPr>
          <w:rFonts w:hint="eastAsia"/>
        </w:rPr>
        <w:t xml:space="preserve"> </w:t>
      </w:r>
      <w:r w:rsidRPr="00892E55">
        <w:t>Usage of some of these agents are increasing tremendously following recent findings of randomized trials and market approval for obesity. Understanding the safety profile of GLP-1 agonists is therefore ever more critical.</w:t>
      </w:r>
    </w:p>
    <w:p w14:paraId="081F179A" w14:textId="77777777" w:rsidR="00275EB6" w:rsidRPr="00275EB6" w:rsidRDefault="00275EB6" w:rsidP="001033A0">
      <w:pPr>
        <w:jc w:val="both"/>
      </w:pPr>
    </w:p>
    <w:p w14:paraId="67E3D6BC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D21631" w14:textId="5B36FF0F" w:rsidR="00275EB6" w:rsidRDefault="00275EB6" w:rsidP="001033A0">
      <w:pPr>
        <w:pStyle w:val="Heading1"/>
        <w:jc w:val="both"/>
      </w:pPr>
      <w:bookmarkStart w:id="9" w:name="_Toc179138782"/>
      <w:r>
        <w:rPr>
          <w:rFonts w:hint="eastAsia"/>
        </w:rPr>
        <w:lastRenderedPageBreak/>
        <w:t>Study Objectives</w:t>
      </w:r>
      <w:bookmarkEnd w:id="9"/>
    </w:p>
    <w:p w14:paraId="4BBEE336" w14:textId="667047B5" w:rsidR="00AE2DA6" w:rsidRDefault="00E43D66" w:rsidP="00AE2DA6">
      <w:pPr>
        <w:jc w:val="both"/>
        <w:rPr>
          <w:rFonts w:hint="eastAsia"/>
        </w:rPr>
      </w:pPr>
      <w:r>
        <w:rPr>
          <w:rFonts w:hint="eastAsia"/>
        </w:rPr>
        <w:t>T</w:t>
      </w:r>
      <w:r w:rsidRPr="00CA6BAE">
        <w:t xml:space="preserve">his study aims to evaluate the risk of </w:t>
      </w:r>
      <w:r>
        <w:rPr>
          <w:rFonts w:hint="eastAsia"/>
        </w:rPr>
        <w:t>drug-induced liver injury</w:t>
      </w:r>
      <w:r w:rsidR="00D53274">
        <w:rPr>
          <w:rFonts w:hint="eastAsia"/>
        </w:rPr>
        <w:t xml:space="preserve"> (DILI)</w:t>
      </w:r>
      <w:r w:rsidRPr="00CA6BAE">
        <w:t xml:space="preserve"> in users of GLP-1 agonists</w:t>
      </w:r>
      <w:r>
        <w:rPr>
          <w:rFonts w:hint="eastAsia"/>
        </w:rPr>
        <w:t xml:space="preserve"> </w:t>
      </w:r>
      <w:r w:rsidR="00D53274">
        <w:rPr>
          <w:rFonts w:hint="eastAsia"/>
        </w:rPr>
        <w:t xml:space="preserve">diagnosed with type 2 diabetes mellitus (T2DM) through </w:t>
      </w:r>
      <w:r w:rsidR="001668B8">
        <w:rPr>
          <w:rFonts w:hint="eastAsia"/>
        </w:rPr>
        <w:t>both a cohort and self-controlled case series (SCCS)</w:t>
      </w:r>
      <w:r w:rsidR="00AE2DA6">
        <w:rPr>
          <w:rFonts w:hint="eastAsia"/>
        </w:rPr>
        <w:t xml:space="preserve"> methodologies</w:t>
      </w:r>
    </w:p>
    <w:p w14:paraId="40CFA277" w14:textId="77777777" w:rsidR="001668B8" w:rsidRDefault="001668B8" w:rsidP="001668B8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Cohort: </w:t>
      </w:r>
    </w:p>
    <w:p w14:paraId="57F6D0AF" w14:textId="0E4DEF09" w:rsidR="001668B8" w:rsidRDefault="001668B8" w:rsidP="001668B8">
      <w:pPr>
        <w:pStyle w:val="ListParagraph"/>
        <w:numPr>
          <w:ilvl w:val="1"/>
          <w:numId w:val="7"/>
        </w:numPr>
        <w:jc w:val="both"/>
      </w:pPr>
      <w:r>
        <w:rPr>
          <w:rFonts w:hint="eastAsia"/>
        </w:rPr>
        <w:t>A</w:t>
      </w:r>
      <w:r>
        <w:rPr>
          <w:rFonts w:hint="eastAsia"/>
        </w:rPr>
        <w:t>mong patients with T2DM</w:t>
      </w:r>
      <w:r>
        <w:rPr>
          <w:rFonts w:hint="eastAsia"/>
        </w:rPr>
        <w:t xml:space="preserve">, what is the relative risk of DILI incidence when prescribed GLP-1 agonists compared to other medications? </w:t>
      </w:r>
    </w:p>
    <w:p w14:paraId="2CAAEC29" w14:textId="323B3E58" w:rsidR="001668B8" w:rsidRDefault="001668B8" w:rsidP="001668B8">
      <w:pPr>
        <w:pStyle w:val="ListParagraph"/>
        <w:numPr>
          <w:ilvl w:val="1"/>
          <w:numId w:val="7"/>
        </w:numPr>
        <w:jc w:val="both"/>
      </w:pPr>
      <w:r>
        <w:rPr>
          <w:rFonts w:hint="eastAsia"/>
        </w:rPr>
        <w:t>Among patients with T2DM, what is the relative risk of DILI incidence when prescribed GLP-1 agonists compared to no medication?</w:t>
      </w:r>
    </w:p>
    <w:p w14:paraId="3CFF2F60" w14:textId="77777777" w:rsidR="001668B8" w:rsidRPr="001668B8" w:rsidRDefault="001668B8" w:rsidP="001668B8">
      <w:pPr>
        <w:ind w:left="720"/>
        <w:jc w:val="both"/>
        <w:rPr>
          <w:sz w:val="2"/>
          <w:szCs w:val="2"/>
        </w:rPr>
      </w:pPr>
    </w:p>
    <w:p w14:paraId="32222AA9" w14:textId="738F4359" w:rsidR="00D53274" w:rsidRDefault="001668B8" w:rsidP="00AE2DA6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SCCS:</w:t>
      </w:r>
      <w:r w:rsidR="00AE2DA6">
        <w:rPr>
          <w:rFonts w:hint="eastAsia"/>
        </w:rPr>
        <w:t xml:space="preserve"> a</w:t>
      </w:r>
      <w:r w:rsidR="00D53274">
        <w:rPr>
          <w:rFonts w:hint="eastAsia"/>
        </w:rPr>
        <w:t>mong patients with T2DM and who have been prescribed GLP-1 agonists, what is the relative incidence of developing DILI</w:t>
      </w:r>
      <w:r w:rsidR="00AE2DA6">
        <w:rPr>
          <w:rFonts w:hint="eastAsia"/>
        </w:rPr>
        <w:t xml:space="preserve"> within an exposure risk period of </w:t>
      </w:r>
      <w:commentRangeStart w:id="10"/>
      <w:r w:rsidR="00FA6709" w:rsidRPr="00FA6709">
        <w:rPr>
          <w:rFonts w:hint="eastAsia"/>
          <w:highlight w:val="yellow"/>
        </w:rPr>
        <w:t>one year</w:t>
      </w:r>
      <w:r w:rsidR="00AE2DA6">
        <w:rPr>
          <w:rFonts w:hint="eastAsia"/>
        </w:rPr>
        <w:t xml:space="preserve"> </w:t>
      </w:r>
      <w:commentRangeEnd w:id="10"/>
      <w:r w:rsidR="00FA6709">
        <w:rPr>
          <w:rStyle w:val="CommentReference"/>
        </w:rPr>
        <w:commentReference w:id="10"/>
      </w:r>
      <w:r w:rsidR="00AE2DA6">
        <w:rPr>
          <w:rFonts w:hint="eastAsia"/>
        </w:rPr>
        <w:t>compared to baseline?</w:t>
      </w:r>
    </w:p>
    <w:p w14:paraId="42698DA9" w14:textId="77777777" w:rsidR="00275EB6" w:rsidRPr="00275EB6" w:rsidRDefault="00275EB6" w:rsidP="001033A0">
      <w:pPr>
        <w:jc w:val="both"/>
      </w:pPr>
    </w:p>
    <w:p w14:paraId="05F40862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FCB6C6" w14:textId="2EFC8D24" w:rsidR="001668B8" w:rsidRPr="001668B8" w:rsidRDefault="00275EB6" w:rsidP="001668B8">
      <w:pPr>
        <w:pStyle w:val="Heading1"/>
        <w:jc w:val="both"/>
      </w:pPr>
      <w:bookmarkStart w:id="11" w:name="_Toc179138783"/>
      <w:r>
        <w:rPr>
          <w:rFonts w:hint="eastAsia"/>
        </w:rPr>
        <w:lastRenderedPageBreak/>
        <w:t>Research Methods</w:t>
      </w:r>
      <w:bookmarkEnd w:id="11"/>
    </w:p>
    <w:p w14:paraId="4994AD6A" w14:textId="67CD9AD1" w:rsidR="001668B8" w:rsidRDefault="00275EB6" w:rsidP="001668B8">
      <w:pPr>
        <w:pStyle w:val="Heading2"/>
        <w:jc w:val="both"/>
      </w:pPr>
      <w:bookmarkStart w:id="12" w:name="_Toc179138784"/>
      <w:r>
        <w:rPr>
          <w:rFonts w:hint="eastAsia"/>
        </w:rPr>
        <w:t>Study Design</w:t>
      </w:r>
      <w:bookmarkEnd w:id="12"/>
    </w:p>
    <w:p w14:paraId="28064E28" w14:textId="34F69334" w:rsidR="001668B8" w:rsidRPr="001668B8" w:rsidRDefault="001668B8" w:rsidP="001668B8">
      <w:pPr>
        <w:jc w:val="both"/>
        <w:rPr>
          <w:rFonts w:hint="eastAsia"/>
          <w:b/>
          <w:bCs/>
        </w:rPr>
      </w:pPr>
      <w:r w:rsidRPr="001668B8">
        <w:rPr>
          <w:rFonts w:hint="eastAsia"/>
          <w:b/>
          <w:bCs/>
        </w:rPr>
        <w:t>Cohort</w:t>
      </w:r>
      <w:r>
        <w:rPr>
          <w:rFonts w:hint="eastAsia"/>
          <w:b/>
          <w:bCs/>
        </w:rPr>
        <w:t xml:space="preserve"> Study</w:t>
      </w:r>
    </w:p>
    <w:p w14:paraId="4F151C1E" w14:textId="2113E945" w:rsidR="001668B8" w:rsidRDefault="001668B8" w:rsidP="001668B8">
      <w:pPr>
        <w:jc w:val="both"/>
      </w:pPr>
      <w:r>
        <w:rPr>
          <w:rFonts w:hint="eastAsia"/>
        </w:rPr>
        <w:t xml:space="preserve">The cohort study will be retrospective </w:t>
      </w:r>
      <w:r>
        <w:t>cohort</w:t>
      </w:r>
      <w:r>
        <w:rPr>
          <w:rFonts w:hint="eastAsia"/>
        </w:rPr>
        <w:t xml:space="preserve"> of patients with </w:t>
      </w:r>
      <w:r>
        <w:t>diagnosis</w:t>
      </w:r>
      <w:r>
        <w:rPr>
          <w:rFonts w:hint="eastAsia"/>
        </w:rPr>
        <w:t xml:space="preserve"> of T2DM and who are new users of GLP-1 agonists with two comparator groups (other medication; no medication). The outcome analysed will compare the risk of developing DILI in all three groups. </w:t>
      </w:r>
    </w:p>
    <w:p w14:paraId="64468F44" w14:textId="580D23DE" w:rsidR="001668B8" w:rsidRDefault="001668B8" w:rsidP="001668B8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 xml:space="preserve">Other related T2DM medication will include </w:t>
      </w:r>
      <w:commentRangeStart w:id="13"/>
      <w:r>
        <w:rPr>
          <w:rFonts w:hint="eastAsia"/>
        </w:rPr>
        <w:t xml:space="preserve">non-GLP-1 anti-diabetic medications </w:t>
      </w:r>
      <w:commentRangeEnd w:id="13"/>
      <w:r w:rsidR="002769B1">
        <w:rPr>
          <w:rStyle w:val="CommentReference"/>
        </w:rPr>
        <w:commentReference w:id="13"/>
      </w:r>
    </w:p>
    <w:p w14:paraId="05FF5FA1" w14:textId="32CFA774" w:rsidR="001668B8" w:rsidRDefault="001668B8" w:rsidP="001668B8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 xml:space="preserve">Non-medicated groups will include patients with no treatment, or who receive other second-line treatments. </w:t>
      </w:r>
    </w:p>
    <w:p w14:paraId="3B765D30" w14:textId="7A20D15F" w:rsidR="001668B8" w:rsidRDefault="001668B8" w:rsidP="001668B8">
      <w:pPr>
        <w:jc w:val="both"/>
        <w:rPr>
          <w:rFonts w:hint="eastAsia"/>
        </w:rPr>
      </w:pPr>
      <w:r>
        <w:rPr>
          <w:rFonts w:hint="eastAsia"/>
        </w:rPr>
        <w:t xml:space="preserve">Comparators were chosen based on most commonly occurring medications from LEGEND-T2DM study (https://ohdsi-studies.github.io/LegendT2dm/Protocol). </w:t>
      </w:r>
    </w:p>
    <w:p w14:paraId="77E47F6A" w14:textId="77777777" w:rsidR="001668B8" w:rsidRPr="001668B8" w:rsidRDefault="001668B8" w:rsidP="001668B8">
      <w:pPr>
        <w:ind w:left="720"/>
        <w:jc w:val="both"/>
        <w:rPr>
          <w:sz w:val="2"/>
          <w:szCs w:val="2"/>
        </w:rPr>
      </w:pPr>
    </w:p>
    <w:p w14:paraId="67E98150" w14:textId="77777777" w:rsidR="0091405A" w:rsidRPr="0091405A" w:rsidRDefault="001668B8" w:rsidP="0091405A">
      <w:pPr>
        <w:jc w:val="both"/>
        <w:rPr>
          <w:b/>
          <w:bCs/>
        </w:rPr>
      </w:pPr>
      <w:r w:rsidRPr="0091405A">
        <w:rPr>
          <w:rFonts w:hint="eastAsia"/>
          <w:b/>
          <w:bCs/>
        </w:rPr>
        <w:t>SCCS</w:t>
      </w:r>
    </w:p>
    <w:p w14:paraId="1AA93EDA" w14:textId="0412CE48" w:rsidR="006F0A02" w:rsidRDefault="0091405A" w:rsidP="0091405A">
      <w:pPr>
        <w:jc w:val="both"/>
      </w:pPr>
      <w:r>
        <w:rPr>
          <w:rFonts w:hint="eastAsia"/>
        </w:rPr>
        <w:t>A</w:t>
      </w:r>
      <w:r w:rsidR="001668B8">
        <w:rPr>
          <w:rFonts w:hint="eastAsia"/>
        </w:rPr>
        <w:t>mong patients with T2DM and who have been prescribed GLP-1 agonists, what is the relative incidence of developing DILI within an exposure risk period of __ compared to baseline</w:t>
      </w:r>
      <w:r w:rsidR="006F0A02">
        <w:rPr>
          <w:rFonts w:hint="eastAsia"/>
        </w:rPr>
        <w:t xml:space="preserve">, where baseline can be defined as: </w:t>
      </w:r>
    </w:p>
    <w:p w14:paraId="743C8D73" w14:textId="4381DAB6" w:rsidR="006F0A02" w:rsidRDefault="006F0A02" w:rsidP="006F0A02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Periods where no medication is being taken, and/or,</w:t>
      </w:r>
    </w:p>
    <w:p w14:paraId="58ECE12C" w14:textId="1A048795" w:rsidR="001668B8" w:rsidRDefault="006F0A02" w:rsidP="001668B8">
      <w:pPr>
        <w:pStyle w:val="ListParagraph"/>
        <w:numPr>
          <w:ilvl w:val="1"/>
          <w:numId w:val="8"/>
        </w:numPr>
        <w:jc w:val="both"/>
      </w:pPr>
      <w:r>
        <w:rPr>
          <w:rFonts w:hint="eastAsia"/>
        </w:rPr>
        <w:t>Periods where other medication (as defined in the cohort study) is being taken.</w:t>
      </w:r>
    </w:p>
    <w:p w14:paraId="27A7F26B" w14:textId="77777777" w:rsidR="0091405A" w:rsidRPr="001668B8" w:rsidRDefault="0091405A" w:rsidP="0091405A">
      <w:pPr>
        <w:jc w:val="both"/>
      </w:pPr>
    </w:p>
    <w:p w14:paraId="4F432D7F" w14:textId="3019EE64" w:rsidR="00275EB6" w:rsidRDefault="00275EB6" w:rsidP="001033A0">
      <w:pPr>
        <w:pStyle w:val="Heading2"/>
        <w:jc w:val="both"/>
      </w:pPr>
      <w:bookmarkStart w:id="14" w:name="_Toc179138785"/>
      <w:r>
        <w:rPr>
          <w:rFonts w:hint="eastAsia"/>
        </w:rPr>
        <w:t>Data Sources</w:t>
      </w:r>
      <w:bookmarkEnd w:id="14"/>
    </w:p>
    <w:p w14:paraId="41AA3A4C" w14:textId="021C7D6E" w:rsidR="00E4325E" w:rsidRDefault="006F0A02" w:rsidP="0091405A">
      <w:pPr>
        <w:jc w:val="both"/>
      </w:pPr>
      <w:r>
        <w:rPr>
          <w:rFonts w:hint="eastAsia"/>
        </w:rPr>
        <w:t xml:space="preserve">Both electronic health records (EHR) and claims databases will be </w:t>
      </w:r>
      <w:r>
        <w:t>analysed</w:t>
      </w:r>
      <w:r>
        <w:rPr>
          <w:rFonts w:hint="eastAsia"/>
        </w:rPr>
        <w:t xml:space="preserve">. From EHR, we will take lab values based on the definition of DILI. From claims, we will take diagnostic codes. </w:t>
      </w:r>
    </w:p>
    <w:p w14:paraId="64DB87EB" w14:textId="77777777" w:rsidR="0091405A" w:rsidRPr="00E4325E" w:rsidRDefault="0091405A" w:rsidP="0091405A">
      <w:pPr>
        <w:jc w:val="both"/>
      </w:pPr>
    </w:p>
    <w:p w14:paraId="561C656A" w14:textId="5A43ADE7" w:rsidR="00275EB6" w:rsidRDefault="00275EB6" w:rsidP="001033A0">
      <w:pPr>
        <w:pStyle w:val="Heading2"/>
        <w:jc w:val="both"/>
      </w:pPr>
      <w:bookmarkStart w:id="15" w:name="_Toc179138786"/>
      <w:r>
        <w:rPr>
          <w:rFonts w:hint="eastAsia"/>
        </w:rPr>
        <w:t>Study Population</w:t>
      </w:r>
      <w:bookmarkEnd w:id="15"/>
    </w:p>
    <w:p w14:paraId="7DF75579" w14:textId="685263C0" w:rsidR="006F0A02" w:rsidRPr="006F0A02" w:rsidRDefault="006F0A02" w:rsidP="006F0A02">
      <w:pPr>
        <w:rPr>
          <w:rFonts w:hint="eastAsia"/>
          <w:b/>
          <w:bCs/>
        </w:rPr>
      </w:pPr>
      <w:r w:rsidRPr="006F0A02">
        <w:rPr>
          <w:rFonts w:hint="eastAsia"/>
          <w:b/>
          <w:bCs/>
        </w:rPr>
        <w:t>Cohort Study</w:t>
      </w:r>
    </w:p>
    <w:p w14:paraId="3BC9924F" w14:textId="0E7D018E" w:rsidR="006F0A02" w:rsidRPr="006F0A02" w:rsidRDefault="006F0A02" w:rsidP="006F0A02">
      <w:pPr>
        <w:rPr>
          <w:rFonts w:hint="eastAsia"/>
          <w:u w:val="single"/>
        </w:rPr>
      </w:pPr>
      <w:r w:rsidRPr="006F0A02">
        <w:rPr>
          <w:rFonts w:hint="eastAsia"/>
          <w:u w:val="single"/>
        </w:rPr>
        <w:t>Inclusion criteria</w:t>
      </w:r>
    </w:p>
    <w:p w14:paraId="6A4172D8" w14:textId="2A0A4F46" w:rsidR="006F0A02" w:rsidRDefault="006F0A02" w:rsidP="00422C11">
      <w:pPr>
        <w:pStyle w:val="ListParagraph"/>
        <w:numPr>
          <w:ilvl w:val="0"/>
          <w:numId w:val="12"/>
        </w:numPr>
      </w:pPr>
      <w:r>
        <w:rPr>
          <w:rFonts w:hint="eastAsia"/>
        </w:rPr>
        <w:t>All adults (</w:t>
      </w:r>
      <w:r>
        <w:t>≥</w:t>
      </w:r>
      <w:r>
        <w:rPr>
          <w:rFonts w:hint="eastAsia"/>
        </w:rPr>
        <w:t xml:space="preserve">18 years) diagnosed with </w:t>
      </w:r>
      <w:r w:rsidR="00422C11">
        <w:rPr>
          <w:rFonts w:hint="eastAsia"/>
        </w:rPr>
        <w:t>T2DM</w:t>
      </w:r>
      <w:r>
        <w:rPr>
          <w:rFonts w:hint="eastAsia"/>
        </w:rPr>
        <w:t xml:space="preserve"> will be included. </w:t>
      </w:r>
    </w:p>
    <w:p w14:paraId="748B83A6" w14:textId="77777777" w:rsidR="006F0A02" w:rsidRPr="006F0A02" w:rsidRDefault="006F0A02" w:rsidP="006F0A02">
      <w:pPr>
        <w:rPr>
          <w:u w:val="single"/>
        </w:rPr>
      </w:pPr>
      <w:r w:rsidRPr="006F0A02">
        <w:rPr>
          <w:rFonts w:hint="eastAsia"/>
          <w:u w:val="single"/>
        </w:rPr>
        <w:t>Exclusion criteria</w:t>
      </w:r>
    </w:p>
    <w:p w14:paraId="6B9457BE" w14:textId="3B317CBF" w:rsidR="006F0A02" w:rsidRDefault="006F0A02" w:rsidP="00422C11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Pregnant women with history of gestational diabetes (GDM) will be excluded. </w:t>
      </w:r>
    </w:p>
    <w:p w14:paraId="553B49C8" w14:textId="329EB261" w:rsidR="006F0A02" w:rsidRDefault="006F0A02" w:rsidP="00422C11">
      <w:pPr>
        <w:pStyle w:val="ListParagraph"/>
        <w:numPr>
          <w:ilvl w:val="0"/>
          <w:numId w:val="11"/>
        </w:numPr>
      </w:pPr>
      <w:r>
        <w:rPr>
          <w:rFonts w:hint="eastAsia"/>
        </w:rPr>
        <w:lastRenderedPageBreak/>
        <w:t xml:space="preserve">Those with existing history of liver injury prior to taking of GLP-1 agonists will be excluded. </w:t>
      </w:r>
    </w:p>
    <w:p w14:paraId="2A641CA1" w14:textId="466849E9" w:rsidR="00422C11" w:rsidRPr="00422C11" w:rsidRDefault="00422C11" w:rsidP="00422C11">
      <w:pPr>
        <w:pStyle w:val="ListParagraph"/>
        <w:numPr>
          <w:ilvl w:val="0"/>
          <w:numId w:val="11"/>
        </w:numPr>
        <w:rPr>
          <w:highlight w:val="yellow"/>
        </w:rPr>
      </w:pPr>
      <w:commentRangeStart w:id="16"/>
      <w:r w:rsidRPr="00422C11">
        <w:rPr>
          <w:rFonts w:hint="eastAsia"/>
          <w:highlight w:val="yellow"/>
        </w:rPr>
        <w:t xml:space="preserve">Those with any history of autoimmune </w:t>
      </w:r>
      <w:r w:rsidRPr="00422C11">
        <w:rPr>
          <w:highlight w:val="yellow"/>
        </w:rPr>
        <w:t>hepatiti</w:t>
      </w:r>
      <w:r w:rsidRPr="00422C11">
        <w:rPr>
          <w:rFonts w:hint="eastAsia"/>
          <w:highlight w:val="yellow"/>
        </w:rPr>
        <w:t xml:space="preserve">s as defined by the following criteria will be excluded: </w:t>
      </w:r>
    </w:p>
    <w:p w14:paraId="2AB2BE07" w14:textId="6976B20D" w:rsidR="00422C11" w:rsidRPr="00422C11" w:rsidRDefault="00422C11" w:rsidP="00422C11">
      <w:pPr>
        <w:pStyle w:val="ListParagraph"/>
        <w:numPr>
          <w:ilvl w:val="1"/>
          <w:numId w:val="11"/>
        </w:numPr>
        <w:rPr>
          <w:highlight w:val="yellow"/>
        </w:rPr>
      </w:pPr>
      <w:r w:rsidRPr="00422C11">
        <w:rPr>
          <w:rFonts w:hint="eastAsia"/>
          <w:highlight w:val="yellow"/>
        </w:rPr>
        <w:t xml:space="preserve">Lab test: </w:t>
      </w:r>
    </w:p>
    <w:p w14:paraId="6101517D" w14:textId="29AF6573" w:rsidR="00422C11" w:rsidRPr="00422C11" w:rsidRDefault="00422C11" w:rsidP="00422C11">
      <w:pPr>
        <w:pStyle w:val="ListParagraph"/>
        <w:numPr>
          <w:ilvl w:val="1"/>
          <w:numId w:val="11"/>
        </w:numPr>
        <w:rPr>
          <w:highlight w:val="yellow"/>
        </w:rPr>
      </w:pPr>
      <w:r w:rsidRPr="00422C11">
        <w:rPr>
          <w:rFonts w:hint="eastAsia"/>
          <w:highlight w:val="yellow"/>
        </w:rPr>
        <w:t>Abdominal ultrasound</w:t>
      </w:r>
    </w:p>
    <w:p w14:paraId="7CBA0C9F" w14:textId="464D205F" w:rsidR="00422C11" w:rsidRPr="00422C11" w:rsidRDefault="00422C11" w:rsidP="00422C11">
      <w:pPr>
        <w:pStyle w:val="ListParagraph"/>
        <w:numPr>
          <w:ilvl w:val="0"/>
          <w:numId w:val="11"/>
        </w:numPr>
        <w:rPr>
          <w:highlight w:val="yellow"/>
        </w:rPr>
      </w:pPr>
      <w:r w:rsidRPr="00422C11">
        <w:rPr>
          <w:rFonts w:hint="eastAsia"/>
          <w:highlight w:val="yellow"/>
        </w:rPr>
        <w:t xml:space="preserve">Those with any history of </w:t>
      </w:r>
      <w:r w:rsidRPr="00422C11">
        <w:rPr>
          <w:rFonts w:hint="eastAsia"/>
          <w:highlight w:val="yellow"/>
        </w:rPr>
        <w:t>viral</w:t>
      </w:r>
      <w:r w:rsidRPr="00422C11">
        <w:rPr>
          <w:rFonts w:hint="eastAsia"/>
          <w:highlight w:val="yellow"/>
        </w:rPr>
        <w:t xml:space="preserve"> </w:t>
      </w:r>
      <w:r w:rsidRPr="00422C11">
        <w:rPr>
          <w:highlight w:val="yellow"/>
        </w:rPr>
        <w:t>hepatiti</w:t>
      </w:r>
      <w:r w:rsidRPr="00422C11">
        <w:rPr>
          <w:rFonts w:hint="eastAsia"/>
          <w:highlight w:val="yellow"/>
        </w:rPr>
        <w:t xml:space="preserve">s as defined by the following criteria will be excluded: </w:t>
      </w:r>
      <w:commentRangeEnd w:id="16"/>
      <w:r w:rsidR="008104B7">
        <w:rPr>
          <w:rStyle w:val="CommentReference"/>
        </w:rPr>
        <w:commentReference w:id="16"/>
      </w:r>
    </w:p>
    <w:p w14:paraId="5045B60D" w14:textId="77777777" w:rsidR="00422C11" w:rsidRDefault="00422C11" w:rsidP="006F0A02">
      <w:pPr>
        <w:pStyle w:val="ListParagraph"/>
        <w:numPr>
          <w:ilvl w:val="1"/>
          <w:numId w:val="11"/>
        </w:numPr>
        <w:rPr>
          <w:rFonts w:hint="eastAsia"/>
        </w:rPr>
      </w:pPr>
    </w:p>
    <w:p w14:paraId="424A0245" w14:textId="4FA7DA39" w:rsidR="006F0A02" w:rsidRPr="006F0A02" w:rsidRDefault="006F0A02" w:rsidP="006F0A02">
      <w:pPr>
        <w:rPr>
          <w:b/>
          <w:bCs/>
        </w:rPr>
      </w:pPr>
      <w:r w:rsidRPr="006F0A02">
        <w:rPr>
          <w:rFonts w:hint="eastAsia"/>
          <w:b/>
          <w:bCs/>
        </w:rPr>
        <w:t>SCCS</w:t>
      </w:r>
    </w:p>
    <w:p w14:paraId="27AF5F45" w14:textId="2EE487DB" w:rsidR="00E4325E" w:rsidRDefault="00422C11" w:rsidP="00E4325E">
      <w:r>
        <w:rPr>
          <w:rFonts w:hint="eastAsia"/>
        </w:rPr>
        <w:t>All adults (</w:t>
      </w:r>
      <w:r>
        <w:t>≥</w:t>
      </w:r>
      <w:r>
        <w:rPr>
          <w:rFonts w:hint="eastAsia"/>
        </w:rPr>
        <w:t>18 years) diagnosed with T2DM</w:t>
      </w:r>
      <w:r>
        <w:rPr>
          <w:rFonts w:hint="eastAsia"/>
        </w:rPr>
        <w:t xml:space="preserve"> who are taking GLP-1 agonists and have reported cases of DILI will be included. </w:t>
      </w:r>
    </w:p>
    <w:p w14:paraId="76FE1ACE" w14:textId="77777777" w:rsidR="00422C11" w:rsidRPr="00E4325E" w:rsidRDefault="00422C11" w:rsidP="00E4325E"/>
    <w:p w14:paraId="5EE1D82C" w14:textId="4D4A6500" w:rsidR="0091405A" w:rsidRDefault="00275EB6" w:rsidP="0091405A">
      <w:pPr>
        <w:pStyle w:val="Heading2"/>
        <w:jc w:val="both"/>
        <w:rPr>
          <w:rFonts w:hint="eastAsia"/>
        </w:rPr>
      </w:pPr>
      <w:bookmarkStart w:id="17" w:name="_Toc179138787"/>
      <w:r>
        <w:rPr>
          <w:rFonts w:hint="eastAsia"/>
        </w:rPr>
        <w:t>Exposure</w:t>
      </w:r>
      <w:r w:rsidR="0091405A">
        <w:rPr>
          <w:rFonts w:hint="eastAsia"/>
        </w:rPr>
        <w:t>s and Comparators</w:t>
      </w:r>
      <w:bookmarkEnd w:id="17"/>
    </w:p>
    <w:p w14:paraId="06E8B67C" w14:textId="0ADFA4AD" w:rsidR="0091405A" w:rsidRPr="0091405A" w:rsidRDefault="0091405A" w:rsidP="0091405A">
      <w:pPr>
        <w:rPr>
          <w:rFonts w:hint="eastAsia"/>
          <w:b/>
          <w:bCs/>
        </w:rPr>
      </w:pPr>
      <w:r w:rsidRPr="0091405A">
        <w:rPr>
          <w:rFonts w:hint="eastAsia"/>
          <w:b/>
          <w:bCs/>
        </w:rPr>
        <w:t>Cohort Study</w:t>
      </w:r>
    </w:p>
    <w:p w14:paraId="1C04E045" w14:textId="728A449C" w:rsidR="0091405A" w:rsidRPr="0091405A" w:rsidRDefault="0091405A" w:rsidP="0091405A">
      <w:pPr>
        <w:rPr>
          <w:rFonts w:hint="eastAsia"/>
        </w:rPr>
      </w:pPr>
      <w:r>
        <w:rPr>
          <w:rFonts w:hint="eastAsia"/>
        </w:rPr>
        <w:t>The following medications listed are exposures for the cohort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405A" w14:paraId="264B1594" w14:textId="77777777" w:rsidTr="005A55A3">
        <w:tc>
          <w:tcPr>
            <w:tcW w:w="3005" w:type="dxa"/>
          </w:tcPr>
          <w:p w14:paraId="2C4D9D68" w14:textId="77777777" w:rsidR="0091405A" w:rsidRPr="00632FF4" w:rsidRDefault="0091405A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632FF4">
              <w:rPr>
                <w:rFonts w:hint="eastAsia"/>
                <w:b/>
                <w:bCs/>
                <w:sz w:val="20"/>
                <w:szCs w:val="20"/>
              </w:rPr>
              <w:t>GLP-1 RA</w:t>
            </w:r>
          </w:p>
        </w:tc>
        <w:tc>
          <w:tcPr>
            <w:tcW w:w="3005" w:type="dxa"/>
          </w:tcPr>
          <w:p w14:paraId="389C7C25" w14:textId="77777777" w:rsidR="0091405A" w:rsidRPr="00632FF4" w:rsidRDefault="0091405A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commentRangeStart w:id="18"/>
            <w:commentRangeStart w:id="19"/>
            <w:r w:rsidRPr="00632FF4">
              <w:rPr>
                <w:rFonts w:hint="eastAsia"/>
                <w:b/>
                <w:bCs/>
                <w:sz w:val="20"/>
                <w:szCs w:val="20"/>
              </w:rPr>
              <w:t xml:space="preserve">Non-GLP-1 RA </w:t>
            </w:r>
            <w:commentRangeEnd w:id="18"/>
            <w:r w:rsidRPr="00632FF4">
              <w:rPr>
                <w:rStyle w:val="CommentReference"/>
                <w:b/>
                <w:bCs/>
              </w:rPr>
              <w:commentReference w:id="18"/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3006" w:type="dxa"/>
          </w:tcPr>
          <w:p w14:paraId="6653575A" w14:textId="77777777" w:rsidR="0091405A" w:rsidRPr="00632FF4" w:rsidRDefault="0091405A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422C11">
              <w:rPr>
                <w:rFonts w:hint="eastAsia"/>
                <w:b/>
                <w:bCs/>
                <w:sz w:val="20"/>
                <w:szCs w:val="20"/>
                <w:highlight w:val="yellow"/>
              </w:rPr>
              <w:t>Other medication</w:t>
            </w:r>
          </w:p>
        </w:tc>
      </w:tr>
      <w:tr w:rsidR="0091405A" w14:paraId="0FD48A17" w14:textId="77777777" w:rsidTr="005A55A3">
        <w:tc>
          <w:tcPr>
            <w:tcW w:w="3005" w:type="dxa"/>
          </w:tcPr>
          <w:p w14:paraId="2987883D" w14:textId="77777777" w:rsidR="0091405A" w:rsidRDefault="0091405A" w:rsidP="005A55A3">
            <w:pPr>
              <w:jc w:val="both"/>
              <w:rPr>
                <w:sz w:val="16"/>
                <w:szCs w:val="16"/>
              </w:rPr>
            </w:pPr>
          </w:p>
          <w:p w14:paraId="4F824BD9" w14:textId="77777777" w:rsidR="0091405A" w:rsidRPr="00632FF4" w:rsidRDefault="0091405A" w:rsidP="005A55A3">
            <w:p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Long-acting agonists:</w:t>
            </w:r>
          </w:p>
          <w:p w14:paraId="54A4ACCE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dulaglutide (Trulicity®)</w:t>
            </w:r>
          </w:p>
          <w:p w14:paraId="4C864708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exenatide extended-release (</w:t>
            </w:r>
            <w:proofErr w:type="spellStart"/>
            <w:r w:rsidRPr="00632FF4">
              <w:rPr>
                <w:sz w:val="16"/>
                <w:szCs w:val="16"/>
              </w:rPr>
              <w:t>Bydureon</w:t>
            </w:r>
            <w:proofErr w:type="spellEnd"/>
            <w:r w:rsidRPr="00632FF4">
              <w:rPr>
                <w:sz w:val="16"/>
                <w:szCs w:val="16"/>
              </w:rPr>
              <w:t>®)</w:t>
            </w:r>
          </w:p>
          <w:p w14:paraId="565FE2D5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liraglutide (Victoza®)</w:t>
            </w:r>
          </w:p>
          <w:p w14:paraId="378DF8EB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proofErr w:type="spellStart"/>
            <w:r w:rsidRPr="00632FF4">
              <w:rPr>
                <w:sz w:val="16"/>
                <w:szCs w:val="16"/>
              </w:rPr>
              <w:t>semaglutide</w:t>
            </w:r>
            <w:proofErr w:type="spellEnd"/>
            <w:r w:rsidRPr="00632FF4">
              <w:rPr>
                <w:sz w:val="16"/>
                <w:szCs w:val="16"/>
              </w:rPr>
              <w:t xml:space="preserve"> injection (Ozempic®)</w:t>
            </w:r>
          </w:p>
          <w:p w14:paraId="5C932CA8" w14:textId="77777777" w:rsidR="0091405A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proofErr w:type="spellStart"/>
            <w:r w:rsidRPr="00632FF4">
              <w:rPr>
                <w:sz w:val="16"/>
                <w:szCs w:val="16"/>
              </w:rPr>
              <w:t>semaglutide</w:t>
            </w:r>
            <w:proofErr w:type="spellEnd"/>
            <w:r w:rsidRPr="00632FF4">
              <w:rPr>
                <w:sz w:val="16"/>
                <w:szCs w:val="16"/>
              </w:rPr>
              <w:t xml:space="preserve"> tablets (</w:t>
            </w:r>
            <w:proofErr w:type="spellStart"/>
            <w:r w:rsidRPr="00632FF4">
              <w:rPr>
                <w:sz w:val="16"/>
                <w:szCs w:val="16"/>
              </w:rPr>
              <w:t>Rybelsus</w:t>
            </w:r>
            <w:proofErr w:type="spellEnd"/>
            <w:r w:rsidRPr="00632FF4">
              <w:rPr>
                <w:sz w:val="16"/>
                <w:szCs w:val="16"/>
              </w:rPr>
              <w:t>®)</w:t>
            </w:r>
          </w:p>
          <w:p w14:paraId="15250858" w14:textId="77777777" w:rsidR="0091405A" w:rsidRPr="00632FF4" w:rsidRDefault="0091405A" w:rsidP="005A55A3">
            <w:pPr>
              <w:pStyle w:val="ListParagraph"/>
              <w:jc w:val="both"/>
              <w:rPr>
                <w:sz w:val="16"/>
                <w:szCs w:val="16"/>
              </w:rPr>
            </w:pPr>
          </w:p>
        </w:tc>
        <w:tc>
          <w:tcPr>
            <w:tcW w:w="3005" w:type="dxa"/>
            <w:vMerge w:val="restart"/>
          </w:tcPr>
          <w:p w14:paraId="48BDCD3E" w14:textId="77777777" w:rsidR="0091405A" w:rsidRDefault="0091405A" w:rsidP="005A55A3">
            <w:pPr>
              <w:pStyle w:val="ListParagraph"/>
              <w:jc w:val="both"/>
              <w:rPr>
                <w:sz w:val="16"/>
                <w:szCs w:val="16"/>
              </w:rPr>
            </w:pPr>
          </w:p>
          <w:p w14:paraId="3477A2FC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rFonts w:hint="eastAsia"/>
                <w:sz w:val="16"/>
                <w:szCs w:val="16"/>
              </w:rPr>
              <w:t>Empagliflozin (SGLT2 inhibitor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6CB460C1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rFonts w:hint="eastAsia"/>
                <w:sz w:val="16"/>
                <w:szCs w:val="16"/>
              </w:rPr>
              <w:t>Sitagliptin (DPP4 inhibitor)</w:t>
            </w:r>
          </w:p>
          <w:p w14:paraId="5EF0C9B1" w14:textId="77777777" w:rsidR="0091405A" w:rsidRPr="00632FF4" w:rsidRDefault="0091405A" w:rsidP="005A55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hint="eastAsia"/>
                <w:sz w:val="16"/>
                <w:szCs w:val="16"/>
              </w:rPr>
            </w:pPr>
            <w:r w:rsidRPr="00632FF4">
              <w:rPr>
                <w:rFonts w:hint="eastAsia"/>
                <w:sz w:val="16"/>
                <w:szCs w:val="16"/>
              </w:rPr>
              <w:t>Glipizide (</w:t>
            </w:r>
            <w:proofErr w:type="spellStart"/>
            <w:r w:rsidRPr="00632FF4">
              <w:rPr>
                <w:rFonts w:hint="eastAsia"/>
                <w:sz w:val="16"/>
                <w:szCs w:val="16"/>
              </w:rPr>
              <w:t>sulfonulurea</w:t>
            </w:r>
            <w:proofErr w:type="spellEnd"/>
            <w:r w:rsidRPr="00632FF4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3006" w:type="dxa"/>
            <w:vMerge w:val="restart"/>
          </w:tcPr>
          <w:p w14:paraId="5676759F" w14:textId="77777777" w:rsidR="0091405A" w:rsidRDefault="0091405A" w:rsidP="005A55A3">
            <w:pPr>
              <w:jc w:val="both"/>
              <w:rPr>
                <w:sz w:val="16"/>
                <w:szCs w:val="16"/>
              </w:rPr>
            </w:pPr>
          </w:p>
          <w:p w14:paraId="1AC5FD35" w14:textId="77777777" w:rsidR="0091405A" w:rsidRDefault="0091405A" w:rsidP="005A55A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Insulin</w:t>
            </w:r>
          </w:p>
          <w:p w14:paraId="198B4B4D" w14:textId="6AF1070B" w:rsidR="0091405A" w:rsidRPr="006F0A02" w:rsidRDefault="0091405A" w:rsidP="005A55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Metformin</w:t>
            </w:r>
          </w:p>
        </w:tc>
      </w:tr>
      <w:tr w:rsidR="0091405A" w:rsidRPr="00632FF4" w14:paraId="3200C028" w14:textId="77777777" w:rsidTr="005A55A3">
        <w:tc>
          <w:tcPr>
            <w:tcW w:w="3005" w:type="dxa"/>
          </w:tcPr>
          <w:p w14:paraId="67C241E9" w14:textId="77777777" w:rsidR="0091405A" w:rsidRDefault="0091405A" w:rsidP="005A55A3">
            <w:pPr>
              <w:jc w:val="both"/>
              <w:rPr>
                <w:sz w:val="16"/>
                <w:szCs w:val="16"/>
              </w:rPr>
            </w:pPr>
          </w:p>
          <w:p w14:paraId="22677245" w14:textId="77777777" w:rsidR="0091405A" w:rsidRPr="00632FF4" w:rsidRDefault="0091405A" w:rsidP="005A55A3">
            <w:p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Short-acting agonists:</w:t>
            </w:r>
          </w:p>
          <w:p w14:paraId="759786BF" w14:textId="77777777" w:rsidR="0091405A" w:rsidRPr="00632FF4" w:rsidRDefault="0091405A" w:rsidP="005A55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632FF4">
              <w:rPr>
                <w:sz w:val="16"/>
                <w:szCs w:val="16"/>
              </w:rPr>
              <w:t>exenatide (Byetta®)</w:t>
            </w:r>
          </w:p>
          <w:p w14:paraId="51194ABE" w14:textId="77777777" w:rsidR="0091405A" w:rsidRDefault="0091405A" w:rsidP="005A55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proofErr w:type="spellStart"/>
            <w:r w:rsidRPr="00632FF4">
              <w:rPr>
                <w:sz w:val="16"/>
                <w:szCs w:val="16"/>
              </w:rPr>
              <w:t>lixisenatide</w:t>
            </w:r>
            <w:proofErr w:type="spellEnd"/>
            <w:r w:rsidRPr="00632FF4">
              <w:rPr>
                <w:sz w:val="16"/>
                <w:szCs w:val="16"/>
              </w:rPr>
              <w:t xml:space="preserve"> (</w:t>
            </w:r>
            <w:proofErr w:type="spellStart"/>
            <w:r w:rsidRPr="00632FF4">
              <w:rPr>
                <w:sz w:val="16"/>
                <w:szCs w:val="16"/>
              </w:rPr>
              <w:t>Adlyxin</w:t>
            </w:r>
            <w:proofErr w:type="spellEnd"/>
            <w:r w:rsidRPr="00632FF4">
              <w:rPr>
                <w:sz w:val="16"/>
                <w:szCs w:val="16"/>
              </w:rPr>
              <w:t>®)</w:t>
            </w:r>
          </w:p>
          <w:p w14:paraId="52553084" w14:textId="77777777" w:rsidR="0091405A" w:rsidRPr="00632FF4" w:rsidRDefault="0091405A" w:rsidP="005A55A3">
            <w:pPr>
              <w:pStyle w:val="ListParagraph"/>
              <w:jc w:val="both"/>
              <w:rPr>
                <w:sz w:val="16"/>
                <w:szCs w:val="16"/>
              </w:rPr>
            </w:pPr>
          </w:p>
        </w:tc>
        <w:tc>
          <w:tcPr>
            <w:tcW w:w="3005" w:type="dxa"/>
            <w:vMerge/>
          </w:tcPr>
          <w:p w14:paraId="29331B76" w14:textId="77777777" w:rsidR="0091405A" w:rsidRPr="00632FF4" w:rsidRDefault="0091405A" w:rsidP="005A55A3">
            <w:pPr>
              <w:pStyle w:val="ListParagraph"/>
              <w:numPr>
                <w:ilvl w:val="0"/>
                <w:numId w:val="9"/>
              </w:numPr>
              <w:jc w:val="both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  <w:vMerge/>
          </w:tcPr>
          <w:p w14:paraId="28B139BD" w14:textId="77777777" w:rsidR="0091405A" w:rsidRPr="00632FF4" w:rsidRDefault="0091405A" w:rsidP="005A55A3">
            <w:pPr>
              <w:pStyle w:val="ListParagraph"/>
              <w:numPr>
                <w:ilvl w:val="0"/>
                <w:numId w:val="9"/>
              </w:numPr>
              <w:jc w:val="both"/>
              <w:rPr>
                <w:rFonts w:hint="eastAsia"/>
                <w:sz w:val="16"/>
                <w:szCs w:val="16"/>
              </w:rPr>
            </w:pPr>
          </w:p>
        </w:tc>
      </w:tr>
    </w:tbl>
    <w:p w14:paraId="61D896B8" w14:textId="77777777" w:rsidR="0091405A" w:rsidRPr="00632FF4" w:rsidRDefault="0091405A" w:rsidP="0091405A">
      <w:pPr>
        <w:jc w:val="both"/>
        <w:rPr>
          <w:sz w:val="16"/>
          <w:szCs w:val="16"/>
        </w:rPr>
      </w:pPr>
    </w:p>
    <w:p w14:paraId="3F6C7EE0" w14:textId="36DA9E1A" w:rsidR="0091405A" w:rsidRDefault="0091405A" w:rsidP="0091405A">
      <w:pPr>
        <w:jc w:val="both"/>
        <w:rPr>
          <w:rFonts w:hint="eastAsia"/>
        </w:rPr>
      </w:pPr>
      <w:r>
        <w:rPr>
          <w:rFonts w:hint="eastAsia"/>
        </w:rPr>
        <w:t>Patients must have one year of observation prior to index date</w:t>
      </w:r>
      <w:r w:rsidR="00E67F77">
        <w:rPr>
          <w:rFonts w:hint="eastAsia"/>
        </w:rPr>
        <w:t xml:space="preserve"> </w:t>
      </w:r>
      <w:r>
        <w:rPr>
          <w:rFonts w:hint="eastAsia"/>
        </w:rPr>
        <w:t xml:space="preserve">and at most 30 days of insulin exposure prior to index date. </w:t>
      </w:r>
      <w:r w:rsidR="00E67F77">
        <w:rPr>
          <w:rFonts w:hint="eastAsia"/>
        </w:rPr>
        <w:t xml:space="preserve">The cohort will be classified as outlined in the figure below: </w:t>
      </w:r>
    </w:p>
    <w:p w14:paraId="36CCEB7C" w14:textId="5DBDEFBB" w:rsidR="0091405A" w:rsidRPr="0091405A" w:rsidRDefault="00E67F77" w:rsidP="0091405A">
      <w:pPr>
        <w:jc w:val="both"/>
        <w:rPr>
          <w:rFonts w:hint="eastAsia"/>
        </w:rPr>
      </w:pPr>
      <w:r w:rsidRPr="00E67F77">
        <w:lastRenderedPageBreak/>
        <w:drawing>
          <wp:inline distT="0" distB="0" distL="0" distR="0" wp14:anchorId="5AA2CCD9" wp14:editId="74558476">
            <wp:extent cx="5731510" cy="2532380"/>
            <wp:effectExtent l="0" t="0" r="2540" b="1270"/>
            <wp:docPr id="1485122082" name="Picture 1" descr="A diagram of insul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22082" name="Picture 1" descr="A diagram of insuli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328" w14:textId="77777777" w:rsidR="00E67F77" w:rsidRDefault="00E67F77" w:rsidP="0091405A">
      <w:pPr>
        <w:jc w:val="both"/>
      </w:pPr>
    </w:p>
    <w:p w14:paraId="439D182E" w14:textId="704B88B1" w:rsidR="00E67F77" w:rsidRDefault="00E67F77" w:rsidP="0091405A">
      <w:pPr>
        <w:jc w:val="both"/>
        <w:rPr>
          <w:rFonts w:hint="eastAsia"/>
        </w:rPr>
      </w:pPr>
      <w:r>
        <w:rPr>
          <w:rFonts w:hint="eastAsia"/>
        </w:rPr>
        <w:t xml:space="preserve">Patients on other anti-diabetic medications at time of entry into cohort are included as part of a sensitivity analysis. </w:t>
      </w:r>
    </w:p>
    <w:p w14:paraId="719040EE" w14:textId="77777777" w:rsidR="00E67F77" w:rsidRPr="00E67F77" w:rsidRDefault="00E67F77" w:rsidP="0091405A">
      <w:pPr>
        <w:jc w:val="both"/>
        <w:rPr>
          <w:rFonts w:hint="eastAsia"/>
        </w:rPr>
      </w:pPr>
    </w:p>
    <w:p w14:paraId="3ECF2866" w14:textId="7BF00FDA" w:rsidR="0091405A" w:rsidRPr="0091405A" w:rsidRDefault="0091405A" w:rsidP="0091405A">
      <w:pPr>
        <w:jc w:val="both"/>
        <w:rPr>
          <w:b/>
          <w:bCs/>
        </w:rPr>
      </w:pPr>
      <w:r w:rsidRPr="0091405A">
        <w:rPr>
          <w:rFonts w:hint="eastAsia"/>
          <w:b/>
          <w:bCs/>
        </w:rPr>
        <w:t>SCCS</w:t>
      </w:r>
    </w:p>
    <w:p w14:paraId="425D7DB0" w14:textId="1E857437" w:rsidR="0091405A" w:rsidRDefault="0091405A" w:rsidP="0091405A">
      <w:pPr>
        <w:jc w:val="both"/>
        <w:rPr>
          <w:rFonts w:hint="eastAsia"/>
        </w:rPr>
      </w:pPr>
      <w:r>
        <w:rPr>
          <w:rFonts w:hint="eastAsia"/>
        </w:rPr>
        <w:t xml:space="preserve">Any of the above listed long-acting and short-acting GLP-1 agonists are exposures for the SCCS. </w:t>
      </w:r>
    </w:p>
    <w:p w14:paraId="7A37204E" w14:textId="77777777" w:rsidR="00E4325E" w:rsidRPr="00E4325E" w:rsidRDefault="00E4325E" w:rsidP="00E4325E"/>
    <w:p w14:paraId="6519DA4E" w14:textId="062D7B72" w:rsidR="00275EB6" w:rsidRDefault="00275EB6" w:rsidP="001033A0">
      <w:pPr>
        <w:pStyle w:val="Heading2"/>
        <w:jc w:val="both"/>
      </w:pPr>
      <w:bookmarkStart w:id="20" w:name="_Toc179138788"/>
      <w:r>
        <w:rPr>
          <w:rFonts w:hint="eastAsia"/>
        </w:rPr>
        <w:t>Outcomes</w:t>
      </w:r>
      <w:bookmarkEnd w:id="20"/>
    </w:p>
    <w:p w14:paraId="022E214A" w14:textId="7798536B" w:rsidR="00B533E6" w:rsidRDefault="00B533E6" w:rsidP="00B533E6">
      <w:r>
        <w:rPr>
          <w:rFonts w:hint="eastAsia"/>
        </w:rPr>
        <w:t xml:space="preserve">The outcome is drug-induced liver injury, defined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533E6" w14:paraId="779CC6B1" w14:textId="77777777" w:rsidTr="00B533E6">
        <w:tc>
          <w:tcPr>
            <w:tcW w:w="1838" w:type="dxa"/>
          </w:tcPr>
          <w:p w14:paraId="5D46EB10" w14:textId="77777777" w:rsidR="00B533E6" w:rsidRPr="00B533E6" w:rsidRDefault="00B533E6" w:rsidP="00B533E6">
            <w:pPr>
              <w:rPr>
                <w:b/>
                <w:bCs/>
                <w:sz w:val="20"/>
                <w:szCs w:val="20"/>
              </w:rPr>
            </w:pPr>
          </w:p>
          <w:p w14:paraId="370BD070" w14:textId="71B58F4A" w:rsidR="00B533E6" w:rsidRPr="00B533E6" w:rsidRDefault="00B533E6" w:rsidP="00B533E6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B533E6">
              <w:rPr>
                <w:rFonts w:hint="eastAsia"/>
                <w:b/>
                <w:bCs/>
                <w:sz w:val="20"/>
                <w:szCs w:val="20"/>
              </w:rPr>
              <w:t>Broad definition</w:t>
            </w:r>
          </w:p>
        </w:tc>
        <w:tc>
          <w:tcPr>
            <w:tcW w:w="7178" w:type="dxa"/>
          </w:tcPr>
          <w:p w14:paraId="239B5749" w14:textId="77777777" w:rsidR="00B533E6" w:rsidRDefault="00B533E6" w:rsidP="00B533E6">
            <w:pPr>
              <w:rPr>
                <w:sz w:val="20"/>
                <w:szCs w:val="20"/>
              </w:rPr>
            </w:pPr>
          </w:p>
          <w:p w14:paraId="67A3E687" w14:textId="04B4B549" w:rsidR="00B533E6" w:rsidRDefault="00B533E6" w:rsidP="00B533E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Based on the </w:t>
            </w:r>
            <w:commentRangeStart w:id="21"/>
            <w:r>
              <w:rPr>
                <w:rFonts w:hint="eastAsia"/>
                <w:sz w:val="20"/>
                <w:szCs w:val="20"/>
              </w:rPr>
              <w:t>OHDSI Phenotype Library</w:t>
            </w:r>
            <w:commentRangeEnd w:id="21"/>
            <w:r>
              <w:rPr>
                <w:rStyle w:val="CommentReference"/>
              </w:rPr>
              <w:commentReference w:id="21"/>
            </w:r>
            <w:r>
              <w:rPr>
                <w:rFonts w:hint="eastAsia"/>
                <w:sz w:val="20"/>
                <w:szCs w:val="20"/>
              </w:rPr>
              <w:t xml:space="preserve">, the following are classified as broad definitions: </w:t>
            </w:r>
          </w:p>
          <w:p w14:paraId="280788CC" w14:textId="77777777" w:rsidR="00B533E6" w:rsidRPr="00B533E6" w:rsidRDefault="00B533E6" w:rsidP="00B533E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533E6">
              <w:rPr>
                <w:sz w:val="20"/>
                <w:szCs w:val="20"/>
              </w:rPr>
              <w:t>Acute Hepatic Injury with no pre-existing liver disease</w:t>
            </w:r>
          </w:p>
          <w:p w14:paraId="7C2296DA" w14:textId="77777777" w:rsidR="00B533E6" w:rsidRPr="00B533E6" w:rsidRDefault="00B533E6" w:rsidP="00B533E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533E6">
              <w:rPr>
                <w:sz w:val="20"/>
                <w:szCs w:val="20"/>
              </w:rPr>
              <w:t>Acute Hepatic Failure in persons with no pre-existing liver disease</w:t>
            </w:r>
          </w:p>
          <w:p w14:paraId="5D13972D" w14:textId="77777777" w:rsidR="00B533E6" w:rsidRDefault="00B533E6" w:rsidP="00B533E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533E6">
              <w:rPr>
                <w:sz w:val="20"/>
                <w:szCs w:val="20"/>
              </w:rPr>
              <w:t>All events of Acute Liver Injury, NO viral hepatitis or alcoholic hepatic failure</w:t>
            </w:r>
          </w:p>
          <w:p w14:paraId="52C3A101" w14:textId="77777777" w:rsidR="00B533E6" w:rsidRPr="00B533E6" w:rsidRDefault="00B533E6" w:rsidP="00B533E6">
            <w:pPr>
              <w:rPr>
                <w:sz w:val="20"/>
                <w:szCs w:val="20"/>
              </w:rPr>
            </w:pPr>
          </w:p>
          <w:p w14:paraId="4616BF4C" w14:textId="77777777" w:rsidR="00B533E6" w:rsidRDefault="00B533E6" w:rsidP="00B533E6">
            <w:pPr>
              <w:rPr>
                <w:sz w:val="20"/>
                <w:szCs w:val="20"/>
              </w:rPr>
            </w:pPr>
            <w:commentRangeStart w:id="22"/>
            <w:r>
              <w:rPr>
                <w:rFonts w:hint="eastAsia"/>
                <w:sz w:val="20"/>
                <w:szCs w:val="20"/>
              </w:rPr>
              <w:t xml:space="preserve">Based on findings in Athena, the following are also included: </w:t>
            </w:r>
          </w:p>
          <w:p w14:paraId="2124B84F" w14:textId="4FFBCE4A" w:rsidR="00B533E6" w:rsidRP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533E6">
              <w:rPr>
                <w:rFonts w:hint="eastAsia"/>
                <w:sz w:val="20"/>
                <w:szCs w:val="20"/>
              </w:rPr>
              <w:t>Chemical and Drug Induced Liver Injury</w:t>
            </w:r>
          </w:p>
          <w:p w14:paraId="661D3AB0" w14:textId="7D9B0058" w:rsidR="00B533E6" w:rsidRP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533E6">
              <w:rPr>
                <w:rFonts w:hint="eastAsia"/>
                <w:sz w:val="20"/>
                <w:szCs w:val="20"/>
              </w:rPr>
              <w:t>Chemical and Drug Induced Liver Injury, Chronic</w:t>
            </w:r>
          </w:p>
          <w:p w14:paraId="64447B7C" w14:textId="1145AB4F" w:rsid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533E6">
              <w:rPr>
                <w:rFonts w:hint="eastAsia"/>
                <w:sz w:val="20"/>
                <w:szCs w:val="20"/>
              </w:rPr>
              <w:t>Drug-induced Disorder of Liver</w:t>
            </w:r>
          </w:p>
          <w:p w14:paraId="4AC776AB" w14:textId="3FDF6B1C" w:rsid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Other injury of liver</w:t>
            </w:r>
          </w:p>
          <w:p w14:paraId="667917DD" w14:textId="181D1957" w:rsid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Unspecified injury of liver</w:t>
            </w:r>
          </w:p>
          <w:p w14:paraId="57469B7B" w14:textId="424E146E" w:rsidR="00B533E6" w:rsidRPr="00B533E6" w:rsidRDefault="00B533E6" w:rsidP="00B533E6">
            <w:pPr>
              <w:pStyle w:val="ListParagraph"/>
              <w:numPr>
                <w:ilvl w:val="0"/>
                <w:numId w:val="15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Injury of liver or gallbladder </w:t>
            </w:r>
            <w:commentRangeEnd w:id="22"/>
            <w:r>
              <w:rPr>
                <w:rStyle w:val="CommentReference"/>
              </w:rPr>
              <w:commentReference w:id="22"/>
            </w:r>
          </w:p>
          <w:p w14:paraId="5B4816BA" w14:textId="1BF680DF" w:rsidR="00B533E6" w:rsidRPr="00B533E6" w:rsidRDefault="00B533E6" w:rsidP="00B533E6">
            <w:pPr>
              <w:rPr>
                <w:rFonts w:hint="eastAsia"/>
                <w:sz w:val="20"/>
                <w:szCs w:val="20"/>
              </w:rPr>
            </w:pPr>
          </w:p>
        </w:tc>
      </w:tr>
      <w:tr w:rsidR="00B533E6" w14:paraId="53E781C1" w14:textId="77777777" w:rsidTr="00B533E6">
        <w:tc>
          <w:tcPr>
            <w:tcW w:w="1838" w:type="dxa"/>
          </w:tcPr>
          <w:p w14:paraId="06ADA418" w14:textId="77777777" w:rsidR="00B533E6" w:rsidRPr="00B533E6" w:rsidRDefault="00B533E6" w:rsidP="00B533E6">
            <w:pPr>
              <w:rPr>
                <w:b/>
                <w:bCs/>
                <w:sz w:val="20"/>
                <w:szCs w:val="20"/>
              </w:rPr>
            </w:pPr>
          </w:p>
          <w:p w14:paraId="2775528E" w14:textId="77777777" w:rsidR="00B533E6" w:rsidRPr="00B533E6" w:rsidRDefault="00B533E6" w:rsidP="00B533E6">
            <w:pPr>
              <w:rPr>
                <w:b/>
                <w:bCs/>
                <w:sz w:val="20"/>
                <w:szCs w:val="20"/>
              </w:rPr>
            </w:pPr>
            <w:r w:rsidRPr="00B533E6">
              <w:rPr>
                <w:rFonts w:hint="eastAsia"/>
                <w:b/>
                <w:bCs/>
                <w:sz w:val="20"/>
                <w:szCs w:val="20"/>
              </w:rPr>
              <w:t>Narrow definition</w:t>
            </w:r>
          </w:p>
          <w:p w14:paraId="547F6E6F" w14:textId="6825A166" w:rsidR="00B533E6" w:rsidRPr="00B533E6" w:rsidRDefault="00B533E6" w:rsidP="00B533E6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178" w:type="dxa"/>
          </w:tcPr>
          <w:p w14:paraId="49B81851" w14:textId="77777777" w:rsidR="00B533E6" w:rsidRDefault="00B533E6" w:rsidP="00B533E6">
            <w:pPr>
              <w:rPr>
                <w:sz w:val="20"/>
                <w:szCs w:val="20"/>
              </w:rPr>
            </w:pPr>
          </w:p>
          <w:p w14:paraId="690531AB" w14:textId="77777777" w:rsidR="00B533E6" w:rsidRDefault="00B533E6" w:rsidP="00B533E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DILI is a diagnosis of exclusion</w:t>
            </w:r>
            <w:r w:rsidR="00532161">
              <w:rPr>
                <w:rFonts w:hint="eastAsia"/>
                <w:sz w:val="20"/>
                <w:szCs w:val="20"/>
              </w:rPr>
              <w:t xml:space="preserve"> defined as follows: </w:t>
            </w:r>
          </w:p>
          <w:p w14:paraId="73D9E981" w14:textId="77777777" w:rsidR="00532161" w:rsidRDefault="00532161" w:rsidP="00532161">
            <w:pPr>
              <w:tabs>
                <w:tab w:val="left" w:pos="2943"/>
              </w:tabs>
              <w:rPr>
                <w:sz w:val="20"/>
                <w:szCs w:val="20"/>
              </w:rPr>
            </w:pPr>
          </w:p>
          <w:p w14:paraId="6E3E5123" w14:textId="50945D91" w:rsidR="00532161" w:rsidRPr="00C86528" w:rsidRDefault="00532161" w:rsidP="00532161">
            <w:pPr>
              <w:tabs>
                <w:tab w:val="left" w:pos="2943"/>
              </w:tabs>
              <w:rPr>
                <w:b/>
                <w:bCs/>
                <w:sz w:val="20"/>
                <w:szCs w:val="20"/>
              </w:rPr>
            </w:pPr>
            <w:r w:rsidRPr="00C86528">
              <w:rPr>
                <w:rFonts w:hint="eastAsia"/>
                <w:b/>
                <w:bCs/>
                <w:sz w:val="20"/>
                <w:szCs w:val="20"/>
              </w:rPr>
              <w:t>Detailed clinical history</w:t>
            </w:r>
          </w:p>
          <w:p w14:paraId="19A0DA8F" w14:textId="7268B00B" w:rsidR="00532161" w:rsidRDefault="00532161" w:rsidP="00532161">
            <w:pPr>
              <w:pStyle w:val="ListParagraph"/>
              <w:numPr>
                <w:ilvl w:val="0"/>
                <w:numId w:val="9"/>
              </w:numPr>
              <w:tabs>
                <w:tab w:val="left" w:pos="294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Mimicry of acute/chronic liver disease: fever, </w:t>
            </w:r>
            <w:r>
              <w:rPr>
                <w:sz w:val="20"/>
                <w:szCs w:val="20"/>
              </w:rPr>
              <w:t>nausea</w:t>
            </w:r>
            <w:r>
              <w:rPr>
                <w:rFonts w:hint="eastAsia"/>
                <w:sz w:val="20"/>
                <w:szCs w:val="20"/>
              </w:rPr>
              <w:t>, vomiting, jaundice, dark urine, itching, RUQ pain</w:t>
            </w:r>
          </w:p>
          <w:p w14:paraId="06D73AC3" w14:textId="7453F315" w:rsidR="00532161" w:rsidRDefault="00532161" w:rsidP="00532161">
            <w:pPr>
              <w:pStyle w:val="ListParagraph"/>
              <w:numPr>
                <w:ilvl w:val="0"/>
                <w:numId w:val="9"/>
              </w:numPr>
              <w:tabs>
                <w:tab w:val="left" w:pos="294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Insufficient information known on histological phenotype for GLP-1 RA DILI, so no differentiation included histologically. </w:t>
            </w:r>
          </w:p>
          <w:p w14:paraId="2626A377" w14:textId="77777777" w:rsidR="00532161" w:rsidRDefault="00532161" w:rsidP="00532161">
            <w:pPr>
              <w:tabs>
                <w:tab w:val="left" w:pos="2943"/>
              </w:tabs>
              <w:rPr>
                <w:sz w:val="20"/>
                <w:szCs w:val="20"/>
              </w:rPr>
            </w:pPr>
          </w:p>
          <w:p w14:paraId="5049F352" w14:textId="62343BFB" w:rsidR="00532161" w:rsidRPr="00C86528" w:rsidRDefault="00532161" w:rsidP="00532161">
            <w:pPr>
              <w:tabs>
                <w:tab w:val="left" w:pos="2943"/>
              </w:tabs>
              <w:rPr>
                <w:b/>
                <w:bCs/>
                <w:sz w:val="20"/>
                <w:szCs w:val="20"/>
              </w:rPr>
            </w:pPr>
            <w:r w:rsidRPr="00C86528">
              <w:rPr>
                <w:rFonts w:hint="eastAsia"/>
                <w:b/>
                <w:bCs/>
                <w:sz w:val="20"/>
                <w:szCs w:val="20"/>
              </w:rPr>
              <w:t>Liver Biochemistry</w:t>
            </w:r>
          </w:p>
          <w:p w14:paraId="2B47B2B6" w14:textId="77777777" w:rsidR="00532161" w:rsidRDefault="00532161" w:rsidP="00532161">
            <w:pPr>
              <w:tabs>
                <w:tab w:val="left" w:pos="2943"/>
              </w:tabs>
              <w:rPr>
                <w:sz w:val="20"/>
                <w:szCs w:val="20"/>
              </w:rPr>
            </w:pPr>
          </w:p>
          <w:p w14:paraId="282842F0" w14:textId="4AE52BC0" w:rsidR="00CB4040" w:rsidRDefault="00CB4040" w:rsidP="0053216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commentRangeStart w:id="23"/>
            <w:r>
              <w:rPr>
                <w:rFonts w:hint="eastAsia"/>
                <w:sz w:val="20"/>
                <w:szCs w:val="20"/>
              </w:rPr>
              <w:t xml:space="preserve">General DILI biochemistry across all drugs: </w:t>
            </w:r>
            <w:commentRangeEnd w:id="23"/>
            <w:r>
              <w:rPr>
                <w:rStyle w:val="CommentReference"/>
              </w:rPr>
              <w:commentReference w:id="23"/>
            </w:r>
          </w:p>
          <w:p w14:paraId="4A712999" w14:textId="6A68A0CD" w:rsidR="00CB4040" w:rsidRDefault="00CB4040" w:rsidP="00CB4040">
            <w:pPr>
              <w:pStyle w:val="ListParagraph"/>
              <w:numPr>
                <w:ilvl w:val="1"/>
                <w:numId w:val="17"/>
              </w:numPr>
              <w:jc w:val="both"/>
              <w:rPr>
                <w:sz w:val="20"/>
                <w:szCs w:val="20"/>
              </w:rPr>
            </w:pPr>
            <w:commentRangeStart w:id="24"/>
            <w:r>
              <w:rPr>
                <w:rFonts w:hint="eastAsia"/>
                <w:sz w:val="20"/>
                <w:szCs w:val="20"/>
              </w:rPr>
              <w:t xml:space="preserve">Increased liver enzymes AST, ALT, and/or ALP above </w:t>
            </w:r>
            <w:commentRangeEnd w:id="24"/>
            <w:r>
              <w:rPr>
                <w:rStyle w:val="CommentReference"/>
              </w:rPr>
              <w:commentReference w:id="24"/>
            </w:r>
            <w:r>
              <w:rPr>
                <w:rFonts w:hint="eastAsia"/>
                <w:sz w:val="20"/>
                <w:szCs w:val="20"/>
              </w:rPr>
              <w:t>a certain threshold (depends on drug) + sometimes raised total bilirubin (TBIL)</w:t>
            </w:r>
          </w:p>
          <w:p w14:paraId="513E5A4C" w14:textId="77777777" w:rsidR="00CB4040" w:rsidRDefault="00CB4040" w:rsidP="00CB4040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1"/>
              <w:gridCol w:w="4941"/>
            </w:tblGrid>
            <w:tr w:rsidR="00C86528" w14:paraId="00E10A19" w14:textId="77777777" w:rsidTr="005B24BB">
              <w:tc>
                <w:tcPr>
                  <w:tcW w:w="6952" w:type="dxa"/>
                  <w:gridSpan w:val="2"/>
                </w:tcPr>
                <w:p w14:paraId="0034B3C4" w14:textId="1E39E805" w:rsidR="00C86528" w:rsidRPr="00C86528" w:rsidRDefault="00C86528" w:rsidP="00CB4040">
                  <w:pPr>
                    <w:jc w:val="both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 w:rsidRPr="00C8652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DILI biochemistry thresholds </w:t>
                  </w:r>
                </w:p>
              </w:tc>
            </w:tr>
            <w:tr w:rsidR="00CB4040" w14:paraId="4C133BBF" w14:textId="77777777" w:rsidTr="00CB4040">
              <w:tc>
                <w:tcPr>
                  <w:tcW w:w="2011" w:type="dxa"/>
                </w:tcPr>
                <w:p w14:paraId="7435FA25" w14:textId="42D95D6C" w:rsidR="00CB4040" w:rsidRDefault="00CB4040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Hepatocellular DILI</w:t>
                  </w:r>
                </w:p>
              </w:tc>
              <w:tc>
                <w:tcPr>
                  <w:tcW w:w="4941" w:type="dxa"/>
                </w:tcPr>
                <w:p w14:paraId="55CA4704" w14:textId="256E75C5" w:rsidR="00CB4040" w:rsidRDefault="00CB4040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ALT/AST </w:t>
                  </w:r>
                  <w:r>
                    <w:rPr>
                      <w:sz w:val="20"/>
                      <w:szCs w:val="20"/>
                    </w:rPr>
                    <w:t>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5-fold above ULN or ratio </w:t>
                  </w:r>
                  <w:r>
                    <w:rPr>
                      <w:sz w:val="20"/>
                      <w:szCs w:val="20"/>
                    </w:rPr>
                    <w:t>≥</w:t>
                  </w: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CB4040" w14:paraId="46E6642C" w14:textId="77777777" w:rsidTr="00CB4040">
              <w:tc>
                <w:tcPr>
                  <w:tcW w:w="2011" w:type="dxa"/>
                </w:tcPr>
                <w:p w14:paraId="18E7D951" w14:textId="1C524B20" w:rsidR="00CB4040" w:rsidRDefault="00CB4040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Cholestatic DILI</w:t>
                  </w:r>
                </w:p>
              </w:tc>
              <w:tc>
                <w:tcPr>
                  <w:tcW w:w="4941" w:type="dxa"/>
                </w:tcPr>
                <w:p w14:paraId="1188C47B" w14:textId="482CD2F8" w:rsidR="00CB4040" w:rsidRDefault="00CB4040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ALP </w:t>
                  </w:r>
                  <w:r>
                    <w:rPr>
                      <w:sz w:val="20"/>
                      <w:szCs w:val="20"/>
                    </w:rPr>
                    <w:t>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2-fold above ULN or ratio </w:t>
                  </w:r>
                  <w:r w:rsidR="00C86528">
                    <w:rPr>
                      <w:sz w:val="20"/>
                      <w:szCs w:val="20"/>
                    </w:rPr>
                    <w:t>≤</w:t>
                  </w:r>
                  <w:r w:rsidR="00C86528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C86528" w14:paraId="4F070562" w14:textId="77777777" w:rsidTr="00CB4040">
              <w:tc>
                <w:tcPr>
                  <w:tcW w:w="2011" w:type="dxa"/>
                </w:tcPr>
                <w:p w14:paraId="488956DD" w14:textId="1D75DB61" w:rsidR="00C86528" w:rsidRDefault="00C86528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Mixed DILI</w:t>
                  </w:r>
                </w:p>
              </w:tc>
              <w:tc>
                <w:tcPr>
                  <w:tcW w:w="4941" w:type="dxa"/>
                </w:tcPr>
                <w:p w14:paraId="57D63047" w14:textId="4472D9EE" w:rsidR="00C86528" w:rsidRDefault="00C86528" w:rsidP="00CB4040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Ratio &gt;2 to &lt;5</w:t>
                  </w:r>
                </w:p>
              </w:tc>
            </w:tr>
          </w:tbl>
          <w:p w14:paraId="0FCD5A0C" w14:textId="77777777" w:rsidR="00CB4040" w:rsidRDefault="00CB4040" w:rsidP="00CB4040">
            <w:pPr>
              <w:jc w:val="both"/>
              <w:rPr>
                <w:sz w:val="20"/>
                <w:szCs w:val="20"/>
              </w:rPr>
            </w:pPr>
          </w:p>
          <w:p w14:paraId="5CFEA5BA" w14:textId="7F7946C3" w:rsidR="00D4106A" w:rsidRDefault="00D4106A" w:rsidP="00CB4040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DILI should be considered if any of the following are met: </w:t>
            </w:r>
          </w:p>
          <w:p w14:paraId="15935066" w14:textId="6B41404F" w:rsidR="00D4106A" w:rsidRDefault="00D4106A" w:rsidP="00D4106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ALT/AST </w:t>
            </w:r>
            <w:r>
              <w:rPr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5-fold above ULN</w:t>
            </w:r>
          </w:p>
          <w:p w14:paraId="417DBB64" w14:textId="4FAA9970" w:rsidR="00D4106A" w:rsidRDefault="00D4106A" w:rsidP="00D4106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ALP </w:t>
            </w:r>
            <w:r>
              <w:rPr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2-fold above ULN</w:t>
            </w:r>
          </w:p>
          <w:p w14:paraId="02288419" w14:textId="2415EFF8" w:rsidR="00D4106A" w:rsidRPr="00D4106A" w:rsidRDefault="00D4106A" w:rsidP="00D4106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TBIL &gt;2-fold above ULN associated with ALT/AST </w:t>
            </w:r>
            <w:r>
              <w:rPr>
                <w:sz w:val="20"/>
                <w:szCs w:val="20"/>
              </w:rPr>
              <w:t>≥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-fold above ULN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commentRangeStart w:id="25"/>
            <w:r>
              <w:rPr>
                <w:rFonts w:hint="eastAsia"/>
                <w:sz w:val="20"/>
                <w:szCs w:val="20"/>
              </w:rPr>
              <w:t>Hy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Law</w:t>
            </w:r>
            <w:commentRangeEnd w:id="25"/>
            <w:r>
              <w:rPr>
                <w:rStyle w:val="CommentReference"/>
              </w:rPr>
              <w:commentReference w:id="25"/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14:paraId="23800B6C" w14:textId="77777777" w:rsidR="00D4106A" w:rsidRDefault="00D4106A" w:rsidP="00CB4040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1"/>
              <w:gridCol w:w="4941"/>
            </w:tblGrid>
            <w:tr w:rsidR="00C86528" w14:paraId="0FBE50B4" w14:textId="77777777" w:rsidTr="00BE0401">
              <w:tc>
                <w:tcPr>
                  <w:tcW w:w="6952" w:type="dxa"/>
                  <w:gridSpan w:val="2"/>
                </w:tcPr>
                <w:p w14:paraId="4CE5320F" w14:textId="6B866086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Non-</w:t>
                  </w:r>
                  <w:r w:rsidRPr="00C8652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DILI biochemistry 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ruleouts</w:t>
                  </w:r>
                  <w:proofErr w:type="spellEnd"/>
                  <w:r w:rsidRPr="00C8652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86528" w14:paraId="05D07058" w14:textId="77777777" w:rsidTr="005A55A3">
              <w:tc>
                <w:tcPr>
                  <w:tcW w:w="2011" w:type="dxa"/>
                </w:tcPr>
                <w:p w14:paraId="132AC869" w14:textId="26DB1DC6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Autoimmune-like hepatitis</w:t>
                  </w:r>
                </w:p>
              </w:tc>
              <w:tc>
                <w:tcPr>
                  <w:tcW w:w="4941" w:type="dxa"/>
                </w:tcPr>
                <w:p w14:paraId="5F1DF08A" w14:textId="77777777" w:rsidR="00C86528" w:rsidRPr="00C86528" w:rsidRDefault="00C86528" w:rsidP="00C86528">
                  <w:pPr>
                    <w:jc w:val="both"/>
                    <w:rPr>
                      <w:sz w:val="20"/>
                      <w:szCs w:val="20"/>
                    </w:rPr>
                  </w:pPr>
                  <w:r w:rsidRPr="00C86528">
                    <w:rPr>
                      <w:rFonts w:hint="eastAsia"/>
                      <w:sz w:val="20"/>
                      <w:szCs w:val="20"/>
                    </w:rPr>
                    <w:t xml:space="preserve">R factor &lt;20 (if &gt;20, potential for liver injury caused by </w:t>
                  </w:r>
                  <w:commentRangeStart w:id="26"/>
                  <w:r w:rsidRPr="00C86528">
                    <w:rPr>
                      <w:rFonts w:hint="eastAsia"/>
                      <w:sz w:val="20"/>
                      <w:szCs w:val="20"/>
                    </w:rPr>
                    <w:t xml:space="preserve">autoimmune </w:t>
                  </w:r>
                  <w:commentRangeEnd w:id="26"/>
                  <w:r>
                    <w:rPr>
                      <w:rStyle w:val="CommentReference"/>
                    </w:rPr>
                    <w:commentReference w:id="26"/>
                  </w:r>
                  <w:r w:rsidRPr="00C86528">
                    <w:rPr>
                      <w:rFonts w:hint="eastAsia"/>
                      <w:sz w:val="20"/>
                      <w:szCs w:val="20"/>
                    </w:rPr>
                    <w:t>disease)</w:t>
                  </w:r>
                </w:p>
                <w:p w14:paraId="6B570E67" w14:textId="4A66A6E8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C86528" w14:paraId="4BFA5B70" w14:textId="77777777" w:rsidTr="005A55A3">
              <w:tc>
                <w:tcPr>
                  <w:tcW w:w="2011" w:type="dxa"/>
                </w:tcPr>
                <w:p w14:paraId="5C4E06DA" w14:textId="5F9E771C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Viral panels</w:t>
                  </w:r>
                </w:p>
              </w:tc>
              <w:tc>
                <w:tcPr>
                  <w:tcW w:w="4941" w:type="dxa"/>
                </w:tcPr>
                <w:p w14:paraId="3869C013" w14:textId="1A27E2C8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(rule out viral hepatitis)</w:t>
                  </w:r>
                </w:p>
              </w:tc>
            </w:tr>
            <w:tr w:rsidR="00C86528" w14:paraId="67646EFF" w14:textId="77777777" w:rsidTr="005A55A3">
              <w:tc>
                <w:tcPr>
                  <w:tcW w:w="2011" w:type="dxa"/>
                </w:tcPr>
                <w:p w14:paraId="749A7A3F" w14:textId="6BEF5F9F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Antibody panels</w:t>
                  </w:r>
                </w:p>
              </w:tc>
              <w:tc>
                <w:tcPr>
                  <w:tcW w:w="4941" w:type="dxa"/>
                </w:tcPr>
                <w:p w14:paraId="6550CA0E" w14:textId="0733D1AD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(rule out viral hepatitis)</w:t>
                  </w:r>
                </w:p>
              </w:tc>
            </w:tr>
            <w:tr w:rsidR="00C86528" w14:paraId="14B593DC" w14:textId="77777777" w:rsidTr="005A55A3">
              <w:tc>
                <w:tcPr>
                  <w:tcW w:w="2011" w:type="dxa"/>
                </w:tcPr>
                <w:p w14:paraId="549012CA" w14:textId="50E6A76D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Drug hypersensitivity</w:t>
                  </w:r>
                </w:p>
              </w:tc>
              <w:tc>
                <w:tcPr>
                  <w:tcW w:w="4941" w:type="dxa"/>
                </w:tcPr>
                <w:p w14:paraId="362DC399" w14:textId="5205266A" w:rsidR="00C86528" w:rsidRDefault="00D4106A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???</w:t>
                  </w:r>
                </w:p>
              </w:tc>
            </w:tr>
          </w:tbl>
          <w:p w14:paraId="3F93E941" w14:textId="77777777" w:rsidR="00532161" w:rsidRDefault="00532161" w:rsidP="00532161">
            <w:pPr>
              <w:tabs>
                <w:tab w:val="left" w:pos="2943"/>
              </w:tabs>
              <w:rPr>
                <w:sz w:val="20"/>
                <w:szCs w:val="20"/>
              </w:rPr>
            </w:pPr>
          </w:p>
          <w:p w14:paraId="2597C7BB" w14:textId="3457F689" w:rsidR="00532161" w:rsidRPr="00C86528" w:rsidRDefault="00C86528" w:rsidP="00532161">
            <w:pPr>
              <w:tabs>
                <w:tab w:val="left" w:pos="2943"/>
              </w:tabs>
              <w:rPr>
                <w:rFonts w:hint="eastAsia"/>
                <w:b/>
                <w:bCs/>
                <w:sz w:val="20"/>
                <w:szCs w:val="20"/>
              </w:rPr>
            </w:pPr>
            <w:commentRangeStart w:id="27"/>
            <w:proofErr w:type="spellStart"/>
            <w:r w:rsidRPr="00C86528">
              <w:rPr>
                <w:rFonts w:hint="eastAsia"/>
                <w:b/>
                <w:bCs/>
                <w:sz w:val="20"/>
                <w:szCs w:val="20"/>
              </w:rPr>
              <w:t>Ruleout</w:t>
            </w:r>
            <w:proofErr w:type="spellEnd"/>
            <w:r w:rsidRPr="00C86528">
              <w:rPr>
                <w:rFonts w:hint="eastAsia"/>
                <w:b/>
                <w:bCs/>
                <w:sz w:val="20"/>
                <w:szCs w:val="20"/>
              </w:rPr>
              <w:t xml:space="preserve"> Summary</w:t>
            </w:r>
            <w:commentRangeEnd w:id="27"/>
            <w:r>
              <w:rPr>
                <w:rStyle w:val="CommentReference"/>
              </w:rPr>
              <w:commentReference w:id="27"/>
            </w:r>
          </w:p>
          <w:p w14:paraId="6D83F2C9" w14:textId="77777777" w:rsidR="00532161" w:rsidRDefault="00532161" w:rsidP="00532161">
            <w:pPr>
              <w:tabs>
                <w:tab w:val="left" w:pos="2943"/>
              </w:tabs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4934"/>
            </w:tblGrid>
            <w:tr w:rsidR="00C86528" w14:paraId="73DB3557" w14:textId="77777777" w:rsidTr="005A55A3">
              <w:tc>
                <w:tcPr>
                  <w:tcW w:w="6952" w:type="dxa"/>
                  <w:gridSpan w:val="2"/>
                </w:tcPr>
                <w:p w14:paraId="5D9D3A87" w14:textId="51C5CEDB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Ruleouts</w:t>
                  </w:r>
                  <w:proofErr w:type="spellEnd"/>
                </w:p>
              </w:tc>
            </w:tr>
            <w:tr w:rsidR="00C86528" w14:paraId="4DACC350" w14:textId="77777777" w:rsidTr="005A55A3">
              <w:tc>
                <w:tcPr>
                  <w:tcW w:w="2011" w:type="dxa"/>
                </w:tcPr>
                <w:p w14:paraId="3B9A44D0" w14:textId="77777777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Autoimmune-like hepatitis</w:t>
                  </w:r>
                </w:p>
              </w:tc>
              <w:tc>
                <w:tcPr>
                  <w:tcW w:w="4941" w:type="dxa"/>
                </w:tcPr>
                <w:p w14:paraId="3496686D" w14:textId="77777777" w:rsidR="00C86528" w:rsidRDefault="00C86528" w:rsidP="00C8652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Acute/chronic DILI </w:t>
                  </w:r>
                </w:p>
                <w:p w14:paraId="70A6E504" w14:textId="0DF8E7C2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Serology/histology idiopathic autoimmune hepatitis</w:t>
                  </w:r>
                </w:p>
              </w:tc>
            </w:tr>
            <w:tr w:rsidR="00C86528" w14:paraId="6C6826E6" w14:textId="77777777" w:rsidTr="005A55A3">
              <w:tc>
                <w:tcPr>
                  <w:tcW w:w="2011" w:type="dxa"/>
                </w:tcPr>
                <w:p w14:paraId="77CDAD73" w14:textId="11397366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Liver injury from immune checkpoint inhibitors</w:t>
                  </w:r>
                </w:p>
              </w:tc>
              <w:tc>
                <w:tcPr>
                  <w:tcW w:w="4941" w:type="dxa"/>
                </w:tcPr>
                <w:p w14:paraId="790FEC19" w14:textId="77777777" w:rsidR="00C86528" w:rsidRDefault="00C86528" w:rsidP="00C8652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Severe acute hepatitis</w:t>
                  </w:r>
                </w:p>
                <w:p w14:paraId="2884095E" w14:textId="5EFDCA46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Histology: granuloma, central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endotheliitis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>, lobular hepatitis</w:t>
                  </w:r>
                </w:p>
              </w:tc>
            </w:tr>
            <w:tr w:rsidR="00C86528" w14:paraId="3C4A7BBD" w14:textId="77777777" w:rsidTr="005A55A3">
              <w:tc>
                <w:tcPr>
                  <w:tcW w:w="2011" w:type="dxa"/>
                </w:tcPr>
                <w:p w14:paraId="7C8F8B28" w14:textId="245180A4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Drug reaction with eosinophilia and systemic symptoms</w:t>
                  </w:r>
                </w:p>
              </w:tc>
              <w:tc>
                <w:tcPr>
                  <w:tcW w:w="4941" w:type="dxa"/>
                </w:tcPr>
                <w:p w14:paraId="29DA71BF" w14:textId="525362CF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Hypersensitivity reaction involving skin + internal organ</w:t>
                  </w:r>
                </w:p>
              </w:tc>
            </w:tr>
            <w:tr w:rsidR="00C86528" w14:paraId="7A138055" w14:textId="77777777" w:rsidTr="005A55A3">
              <w:tc>
                <w:tcPr>
                  <w:tcW w:w="2011" w:type="dxa"/>
                </w:tcPr>
                <w:p w14:paraId="253BB7A9" w14:textId="325706C0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Drug-associated fatty liver disease</w:t>
                  </w:r>
                </w:p>
              </w:tc>
              <w:tc>
                <w:tcPr>
                  <w:tcW w:w="4941" w:type="dxa"/>
                </w:tcPr>
                <w:p w14:paraId="7F01908D" w14:textId="2D140DDA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Non-alcoholic fatty liver disease attributed to exposure of specific medications</w:t>
                  </w:r>
                </w:p>
              </w:tc>
            </w:tr>
            <w:tr w:rsidR="00C86528" w14:paraId="674DA6A6" w14:textId="77777777" w:rsidTr="005A55A3">
              <w:tc>
                <w:tcPr>
                  <w:tcW w:w="2011" w:type="dxa"/>
                </w:tcPr>
                <w:p w14:paraId="056F2855" w14:textId="7D4AF9EA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Acute fatty liver (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microvesicular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 xml:space="preserve"> steatosis)</w:t>
                  </w:r>
                </w:p>
              </w:tc>
              <w:tc>
                <w:tcPr>
                  <w:tcW w:w="4941" w:type="dxa"/>
                </w:tcPr>
                <w:p w14:paraId="146AFBE1" w14:textId="788921B7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Rapid liver involvement, extensive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microvesicular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 xml:space="preserve"> steatosis</w:t>
                  </w:r>
                </w:p>
              </w:tc>
            </w:tr>
            <w:tr w:rsidR="00C86528" w14:paraId="5670E912" w14:textId="77777777" w:rsidTr="005A55A3">
              <w:tc>
                <w:tcPr>
                  <w:tcW w:w="2011" w:type="dxa"/>
                </w:tcPr>
                <w:p w14:paraId="6378AE6E" w14:textId="2DBA583B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Nodular regenerative hyperplasia</w:t>
                  </w:r>
                </w:p>
              </w:tc>
              <w:tc>
                <w:tcPr>
                  <w:tcW w:w="4941" w:type="dxa"/>
                </w:tcPr>
                <w:p w14:paraId="27C89E62" w14:textId="782ECD06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Diffuse nodularity, wide and narrow sheets of hepatocytes at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center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 xml:space="preserve"> and periphery respectively, of nodules without advanced fibrosis leading to non-cirrhotic portal hypertension</w:t>
                  </w:r>
                </w:p>
              </w:tc>
            </w:tr>
            <w:tr w:rsidR="00C86528" w14:paraId="6DA94525" w14:textId="77777777" w:rsidTr="005A55A3">
              <w:tc>
                <w:tcPr>
                  <w:tcW w:w="2011" w:type="dxa"/>
                </w:tcPr>
                <w:p w14:paraId="49071F10" w14:textId="71790B52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Vanishing bile duct (ductopenic) syndrome</w:t>
                  </w:r>
                </w:p>
              </w:tc>
              <w:tc>
                <w:tcPr>
                  <w:tcW w:w="4941" w:type="dxa"/>
                </w:tcPr>
                <w:p w14:paraId="313F8A4C" w14:textId="0AE55557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Cholestatis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 xml:space="preserve"> + gradual loss of intrahepatic bile ducts</w:t>
                  </w:r>
                </w:p>
              </w:tc>
            </w:tr>
            <w:tr w:rsidR="00C86528" w14:paraId="0B8ACDD8" w14:textId="77777777" w:rsidTr="005A55A3">
              <w:tc>
                <w:tcPr>
                  <w:tcW w:w="2011" w:type="dxa"/>
                </w:tcPr>
                <w:p w14:paraId="45BA44BB" w14:textId="3A39A4F9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Secondary sclerosing cholangitis</w:t>
                  </w:r>
                </w:p>
              </w:tc>
              <w:tc>
                <w:tcPr>
                  <w:tcW w:w="4941" w:type="dxa"/>
                </w:tcPr>
                <w:p w14:paraId="15EBA0F6" w14:textId="3C66E0A2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Acute DILI + histological/features similar to primary sclerosing cholangitis on MRI</w:t>
                  </w:r>
                </w:p>
              </w:tc>
            </w:tr>
            <w:tr w:rsidR="00C86528" w14:paraId="7B8AFC65" w14:textId="77777777" w:rsidTr="005A55A3">
              <w:tc>
                <w:tcPr>
                  <w:tcW w:w="2011" w:type="dxa"/>
                </w:tcPr>
                <w:p w14:paraId="59D161E6" w14:textId="2CFE644F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Peliosis hepatis</w:t>
                  </w:r>
                </w:p>
              </w:tc>
              <w:tc>
                <w:tcPr>
                  <w:tcW w:w="4941" w:type="dxa"/>
                </w:tcPr>
                <w:p w14:paraId="50A5967C" w14:textId="17107271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sz w:val="20"/>
                      <w:szCs w:val="20"/>
                    </w:rPr>
                    <w:t>andomly distributed blood-filled cavities</w:t>
                  </w:r>
                </w:p>
              </w:tc>
            </w:tr>
            <w:tr w:rsidR="00C86528" w14:paraId="5CC1B2EA" w14:textId="77777777" w:rsidTr="005A55A3">
              <w:tc>
                <w:tcPr>
                  <w:tcW w:w="2011" w:type="dxa"/>
                </w:tcPr>
                <w:p w14:paraId="2A9C7DA8" w14:textId="0070931D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Hepatocellular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adenoma/carcinoma</w:t>
                  </w:r>
                </w:p>
              </w:tc>
              <w:tc>
                <w:tcPr>
                  <w:tcW w:w="4941" w:type="dxa"/>
                </w:tcPr>
                <w:p w14:paraId="508D6DFF" w14:textId="4CD4957D" w:rsidR="00C86528" w:rsidRDefault="00C86528" w:rsidP="00C86528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Imaging/histology for adenoma/carcinoma</w:t>
                  </w:r>
                </w:p>
              </w:tc>
            </w:tr>
          </w:tbl>
          <w:p w14:paraId="37BC7529" w14:textId="78E330FB" w:rsidR="00532161" w:rsidRPr="00B533E6" w:rsidRDefault="00532161" w:rsidP="00532161">
            <w:pPr>
              <w:tabs>
                <w:tab w:val="left" w:pos="2943"/>
              </w:tabs>
              <w:rPr>
                <w:rFonts w:hint="eastAsia"/>
                <w:sz w:val="20"/>
                <w:szCs w:val="20"/>
              </w:rPr>
            </w:pPr>
          </w:p>
        </w:tc>
      </w:tr>
    </w:tbl>
    <w:p w14:paraId="02FB2591" w14:textId="77777777" w:rsidR="00E4325E" w:rsidRDefault="00E4325E" w:rsidP="00E4325E"/>
    <w:p w14:paraId="5F3B3B79" w14:textId="246B64B7" w:rsidR="003B6143" w:rsidRDefault="003B6143" w:rsidP="003B6143">
      <w:pPr>
        <w:pStyle w:val="Heading2"/>
        <w:jc w:val="both"/>
        <w:rPr>
          <w:rFonts w:hint="eastAsia"/>
        </w:rPr>
      </w:pPr>
      <w:bookmarkStart w:id="28" w:name="_Toc179138789"/>
      <w:r>
        <w:rPr>
          <w:rFonts w:hint="eastAsia"/>
        </w:rPr>
        <w:t>Covariates</w:t>
      </w:r>
      <w:bookmarkEnd w:id="28"/>
    </w:p>
    <w:p w14:paraId="1F1C05B3" w14:textId="68FFD2A9" w:rsidR="003B6143" w:rsidRDefault="003B6143" w:rsidP="00E4325E">
      <w:r>
        <w:rPr>
          <w:rFonts w:hint="eastAsia"/>
        </w:rPr>
        <w:t xml:space="preserve">Large-scale propensity score method will be used to adjust for baseline characteristics. </w:t>
      </w:r>
    </w:p>
    <w:p w14:paraId="77D2E3A9" w14:textId="77777777" w:rsidR="003B6143" w:rsidRDefault="003B6143" w:rsidP="00E4325E"/>
    <w:p w14:paraId="3DE69248" w14:textId="61B84D0B" w:rsidR="003B6143" w:rsidRDefault="003B6143" w:rsidP="003B6143">
      <w:pPr>
        <w:pStyle w:val="Heading2"/>
        <w:jc w:val="both"/>
        <w:rPr>
          <w:rFonts w:hint="eastAsia"/>
        </w:rPr>
      </w:pPr>
      <w:bookmarkStart w:id="29" w:name="_Toc179138790"/>
      <w:r>
        <w:rPr>
          <w:rFonts w:hint="eastAsia"/>
        </w:rPr>
        <w:t>Negative Controls</w:t>
      </w:r>
      <w:bookmarkEnd w:id="29"/>
    </w:p>
    <w:p w14:paraId="480689F0" w14:textId="26BA7560" w:rsidR="003B6143" w:rsidRPr="003B6143" w:rsidRDefault="003B6143" w:rsidP="00E4325E">
      <w:pPr>
        <w:rPr>
          <w:b/>
          <w:bCs/>
        </w:rPr>
      </w:pPr>
      <w:r w:rsidRPr="003B6143">
        <w:rPr>
          <w:rFonts w:hint="eastAsia"/>
          <w:b/>
          <w:bCs/>
        </w:rPr>
        <w:t>Cohort Study</w:t>
      </w:r>
    </w:p>
    <w:p w14:paraId="57BF498D" w14:textId="5C2F6496" w:rsidR="003B6143" w:rsidRDefault="00BA61B7" w:rsidP="00E4325E">
      <w:pPr>
        <w:rPr>
          <w:rFonts w:hint="eastAsia"/>
        </w:rPr>
      </w:pPr>
      <w:r>
        <w:rPr>
          <w:rFonts w:hint="eastAsia"/>
        </w:rPr>
        <w:t xml:space="preserve">To be defined in appendix. Select pairs where no causal effect is expected. </w:t>
      </w:r>
    </w:p>
    <w:p w14:paraId="7099AB70" w14:textId="77777777" w:rsidR="003B6143" w:rsidRDefault="003B6143" w:rsidP="00E4325E"/>
    <w:p w14:paraId="19FA923E" w14:textId="021A88E0" w:rsidR="003B6143" w:rsidRPr="003B6143" w:rsidRDefault="003B6143" w:rsidP="00E4325E">
      <w:pPr>
        <w:rPr>
          <w:b/>
          <w:bCs/>
        </w:rPr>
      </w:pPr>
      <w:r w:rsidRPr="003B6143">
        <w:rPr>
          <w:rFonts w:hint="eastAsia"/>
          <w:b/>
          <w:bCs/>
        </w:rPr>
        <w:t>SCCS</w:t>
      </w:r>
    </w:p>
    <w:p w14:paraId="0FBB2894" w14:textId="24CC0A75" w:rsidR="003B6143" w:rsidRDefault="003B6143" w:rsidP="00E4325E">
      <w:pPr>
        <w:rPr>
          <w:rFonts w:hint="eastAsia"/>
        </w:rPr>
      </w:pPr>
      <w:r>
        <w:rPr>
          <w:rFonts w:hint="eastAsia"/>
        </w:rPr>
        <w:t>No negative controls selected</w:t>
      </w:r>
    </w:p>
    <w:p w14:paraId="2FC88DC0" w14:textId="77777777" w:rsidR="003B6143" w:rsidRPr="00E4325E" w:rsidRDefault="003B6143" w:rsidP="00E4325E"/>
    <w:p w14:paraId="3A243D8E" w14:textId="3E0B6DF6" w:rsidR="00275EB6" w:rsidRPr="00275EB6" w:rsidRDefault="00275EB6" w:rsidP="001033A0">
      <w:pPr>
        <w:pStyle w:val="Heading2"/>
        <w:jc w:val="both"/>
        <w:rPr>
          <w:rFonts w:hint="eastAsia"/>
        </w:rPr>
      </w:pPr>
      <w:bookmarkStart w:id="30" w:name="_Toc179138791"/>
      <w:r>
        <w:rPr>
          <w:rFonts w:hint="eastAsia"/>
        </w:rPr>
        <w:t>Analysis</w:t>
      </w:r>
      <w:r w:rsidR="00BA61B7">
        <w:rPr>
          <w:rFonts w:hint="eastAsia"/>
        </w:rPr>
        <w:t xml:space="preserve"> Plan</w:t>
      </w:r>
      <w:bookmarkEnd w:id="30"/>
    </w:p>
    <w:p w14:paraId="58E24D97" w14:textId="09B0F0CD" w:rsidR="00BA61B7" w:rsidRDefault="00BA61B7" w:rsidP="001033A0">
      <w:pPr>
        <w:jc w:val="both"/>
      </w:pPr>
      <w:r>
        <w:rPr>
          <w:rFonts w:hint="eastAsia"/>
        </w:rPr>
        <w:t xml:space="preserve">This study will use the Strategus pipeline to call HADES library packages for the following purposes: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A61B7" w14:paraId="700CA767" w14:textId="77777777" w:rsidTr="00F77549">
        <w:tc>
          <w:tcPr>
            <w:tcW w:w="9016" w:type="dxa"/>
            <w:gridSpan w:val="2"/>
          </w:tcPr>
          <w:p w14:paraId="585FD8CA" w14:textId="7FE3E7E9" w:rsidR="00BA61B7" w:rsidRPr="00BA61B7" w:rsidRDefault="00BA61B7" w:rsidP="001033A0">
            <w:pPr>
              <w:jc w:val="both"/>
              <w:rPr>
                <w:rFonts w:hint="eastAsia"/>
                <w:b/>
                <w:bCs/>
              </w:rPr>
            </w:pPr>
            <w:r w:rsidRPr="00BA61B7">
              <w:rPr>
                <w:rFonts w:hint="eastAsia"/>
                <w:b/>
                <w:bCs/>
              </w:rPr>
              <w:t>Data Characterization</w:t>
            </w:r>
          </w:p>
        </w:tc>
      </w:tr>
      <w:tr w:rsidR="00BA61B7" w14:paraId="74F52340" w14:textId="77777777" w:rsidTr="00BA61B7">
        <w:tc>
          <w:tcPr>
            <w:tcW w:w="1838" w:type="dxa"/>
          </w:tcPr>
          <w:p w14:paraId="1C5B2D3A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46A2691E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  <w:r w:rsidRPr="00BA61B7">
              <w:rPr>
                <w:rFonts w:hint="eastAsia"/>
                <w:b/>
                <w:bCs/>
                <w:sz w:val="20"/>
                <w:szCs w:val="20"/>
              </w:rPr>
              <w:t>Cohort Diagnostics</w:t>
            </w:r>
          </w:p>
          <w:p w14:paraId="307F1B72" w14:textId="727F6539" w:rsidR="00BA61B7" w:rsidRPr="00BA61B7" w:rsidRDefault="00BA61B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178" w:type="dxa"/>
          </w:tcPr>
          <w:p w14:paraId="35B8228B" w14:textId="77777777" w:rsidR="00BA61B7" w:rsidRDefault="00BA61B7" w:rsidP="001033A0">
            <w:pPr>
              <w:jc w:val="both"/>
              <w:rPr>
                <w:sz w:val="20"/>
                <w:szCs w:val="20"/>
              </w:rPr>
            </w:pPr>
          </w:p>
          <w:p w14:paraId="7091F709" w14:textId="77777777" w:rsidR="00BA61B7" w:rsidRDefault="00BA61B7" w:rsidP="001033A0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Evaluate measurement error in </w:t>
            </w:r>
            <w:r>
              <w:rPr>
                <w:rFonts w:hint="eastAsia"/>
                <w:sz w:val="20"/>
                <w:szCs w:val="20"/>
              </w:rPr>
              <w:t xml:space="preserve">target, comparator, indication, outcome cohorts </w:t>
            </w:r>
            <w:r>
              <w:rPr>
                <w:rFonts w:hint="eastAsia"/>
                <w:sz w:val="20"/>
                <w:szCs w:val="20"/>
              </w:rPr>
              <w:t xml:space="preserve"> through </w:t>
            </w:r>
            <w:proofErr w:type="spellStart"/>
            <w:r>
              <w:rPr>
                <w:rFonts w:hint="eastAsia"/>
                <w:sz w:val="20"/>
                <w:szCs w:val="20"/>
              </w:rPr>
              <w:t>CohortDiagnostics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package.</w:t>
            </w:r>
          </w:p>
          <w:p w14:paraId="174CB62A" w14:textId="5FA77173" w:rsidR="00BA61B7" w:rsidRPr="00BA61B7" w:rsidRDefault="00BA61B7" w:rsidP="001033A0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BA61B7" w14:paraId="3B4FCCDC" w14:textId="77777777" w:rsidTr="00BA61B7">
        <w:tc>
          <w:tcPr>
            <w:tcW w:w="1838" w:type="dxa"/>
          </w:tcPr>
          <w:p w14:paraId="7DB54C64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B563EB7" w14:textId="2ABF087C" w:rsidR="00BA61B7" w:rsidRPr="00BA61B7" w:rsidRDefault="00BA61B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BA61B7">
              <w:rPr>
                <w:rFonts w:hint="eastAsia"/>
                <w:b/>
                <w:bCs/>
                <w:sz w:val="20"/>
                <w:szCs w:val="20"/>
              </w:rPr>
              <w:t>Cohort Features</w:t>
            </w:r>
          </w:p>
        </w:tc>
        <w:tc>
          <w:tcPr>
            <w:tcW w:w="7178" w:type="dxa"/>
          </w:tcPr>
          <w:p w14:paraId="5E36738F" w14:textId="77777777" w:rsidR="00BA61B7" w:rsidRDefault="00BA61B7" w:rsidP="00BA61B7">
            <w:pPr>
              <w:jc w:val="both"/>
              <w:rPr>
                <w:sz w:val="20"/>
                <w:szCs w:val="20"/>
              </w:rPr>
            </w:pPr>
          </w:p>
          <w:p w14:paraId="0109AB4D" w14:textId="2F40A63E" w:rsidR="00BA61B7" w:rsidRDefault="00BA61B7" w:rsidP="00BA61B7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HADES Characterization and </w:t>
            </w:r>
            <w:proofErr w:type="spellStart"/>
            <w:r>
              <w:rPr>
                <w:rFonts w:hint="eastAsia"/>
                <w:sz w:val="20"/>
                <w:szCs w:val="20"/>
              </w:rPr>
              <w:t>FeatureExtraction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identify patient features in exposure group with outcome vs. no outcome from data prior to observation</w:t>
            </w:r>
          </w:p>
          <w:p w14:paraId="19B3004A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Demographics (age, sex, group, race/ethnicity)</w:t>
            </w:r>
          </w:p>
          <w:p w14:paraId="48E3D106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Prior medical history/diagnosis</w:t>
            </w:r>
          </w:p>
          <w:p w14:paraId="3AF1DA9A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Prior drug exposures</w:t>
            </w:r>
          </w:p>
          <w:p w14:paraId="051A2EBD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Prior procedures, measurements, devices, observations</w:t>
            </w:r>
          </w:p>
          <w:p w14:paraId="09CC9F26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 scores</w:t>
            </w:r>
          </w:p>
          <w:p w14:paraId="36B0E50C" w14:textId="2AA4A463" w:rsidR="00BA61B7" w:rsidRPr="00BA61B7" w:rsidRDefault="00BA61B7" w:rsidP="00BA61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BA61B7" w14:paraId="153E263D" w14:textId="77777777" w:rsidTr="00BA61B7">
        <w:tc>
          <w:tcPr>
            <w:tcW w:w="1838" w:type="dxa"/>
          </w:tcPr>
          <w:p w14:paraId="08405A49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36764040" w14:textId="135D9596" w:rsidR="00BA61B7" w:rsidRPr="00BA61B7" w:rsidRDefault="00BA61B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Incidence Rates</w:t>
            </w:r>
          </w:p>
        </w:tc>
        <w:tc>
          <w:tcPr>
            <w:tcW w:w="7178" w:type="dxa"/>
          </w:tcPr>
          <w:p w14:paraId="19301B16" w14:textId="77777777" w:rsidR="00BA61B7" w:rsidRDefault="00BA61B7" w:rsidP="00BA61B7">
            <w:pPr>
              <w:jc w:val="both"/>
              <w:rPr>
                <w:sz w:val="20"/>
                <w:szCs w:val="20"/>
              </w:rPr>
            </w:pPr>
          </w:p>
          <w:p w14:paraId="0AE6D222" w14:textId="179F13E2" w:rsidR="00BA61B7" w:rsidRDefault="00BA61B7" w:rsidP="00BA61B7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HADES Characterization to calculate (based on intent-to-treat)</w:t>
            </w:r>
          </w:p>
          <w:p w14:paraId="1BBF824F" w14:textId="1B7B5888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Incidence in GLP-1 RA (#outcomes during GLP1 exposure period/total person days)</w:t>
            </w:r>
          </w:p>
          <w:p w14:paraId="499B93ED" w14:textId="291F7DA4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Incidence in Non-GLP-1 RA </w:t>
            </w:r>
            <w:r>
              <w:rPr>
                <w:rFonts w:hint="eastAsia"/>
                <w:sz w:val="20"/>
                <w:szCs w:val="20"/>
              </w:rPr>
              <w:t xml:space="preserve">(#outcomes during </w:t>
            </w:r>
            <w:r>
              <w:rPr>
                <w:rFonts w:hint="eastAsia"/>
                <w:sz w:val="20"/>
                <w:szCs w:val="20"/>
              </w:rPr>
              <w:t>non-</w:t>
            </w:r>
            <w:r>
              <w:rPr>
                <w:rFonts w:hint="eastAsia"/>
                <w:sz w:val="20"/>
                <w:szCs w:val="20"/>
              </w:rPr>
              <w:t>GLP1 exposure period/total person days)</w:t>
            </w:r>
          </w:p>
          <w:p w14:paraId="407997E3" w14:textId="77777777" w:rsidR="00BA61B7" w:rsidRDefault="00BA61B7" w:rsidP="00BA61B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Incidence in Other Medication </w:t>
            </w:r>
            <w:r>
              <w:rPr>
                <w:rFonts w:hint="eastAsia"/>
                <w:sz w:val="20"/>
                <w:szCs w:val="20"/>
              </w:rPr>
              <w:t xml:space="preserve">(#outcomes during </w:t>
            </w:r>
            <w:r>
              <w:rPr>
                <w:rFonts w:hint="eastAsia"/>
                <w:sz w:val="20"/>
                <w:szCs w:val="20"/>
              </w:rPr>
              <w:t>other medication</w:t>
            </w:r>
            <w:r>
              <w:rPr>
                <w:rFonts w:hint="eastAsia"/>
                <w:sz w:val="20"/>
                <w:szCs w:val="20"/>
              </w:rPr>
              <w:t xml:space="preserve"> exposure period/total person days)</w:t>
            </w:r>
          </w:p>
          <w:p w14:paraId="718BA4CC" w14:textId="746219A9" w:rsidR="00BA61B7" w:rsidRPr="00BA61B7" w:rsidRDefault="00BA61B7" w:rsidP="00BA61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BA61B7" w14:paraId="144C3FBA" w14:textId="77777777" w:rsidTr="00BA61B7">
        <w:tc>
          <w:tcPr>
            <w:tcW w:w="1838" w:type="dxa"/>
          </w:tcPr>
          <w:p w14:paraId="6A8229C4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11B92AFA" w14:textId="77777777" w:rsidR="00BA61B7" w:rsidRDefault="00BA61B7" w:rsidP="001033A0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Time-to-Event</w:t>
            </w:r>
          </w:p>
          <w:p w14:paraId="5943D481" w14:textId="38A69A81" w:rsidR="00BA61B7" w:rsidRDefault="00BA61B7" w:rsidP="001033A0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178" w:type="dxa"/>
          </w:tcPr>
          <w:p w14:paraId="623F394C" w14:textId="77777777" w:rsidR="00BA61B7" w:rsidRDefault="00BA61B7" w:rsidP="00BA61B7">
            <w:pPr>
              <w:jc w:val="both"/>
              <w:rPr>
                <w:sz w:val="20"/>
                <w:szCs w:val="20"/>
              </w:rPr>
            </w:pPr>
          </w:p>
          <w:p w14:paraId="1A3C3F11" w14:textId="26289A14" w:rsidR="00BA61B7" w:rsidRDefault="000F51DB" w:rsidP="00BA61B7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Calculate time to incidence of outcome. </w:t>
            </w:r>
          </w:p>
        </w:tc>
      </w:tr>
    </w:tbl>
    <w:p w14:paraId="4675F690" w14:textId="77777777" w:rsidR="00BA61B7" w:rsidRDefault="00BA61B7" w:rsidP="001033A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F51DB" w:rsidRPr="00BA61B7" w14:paraId="17948EB6" w14:textId="77777777" w:rsidTr="005A55A3">
        <w:tc>
          <w:tcPr>
            <w:tcW w:w="9016" w:type="dxa"/>
            <w:gridSpan w:val="2"/>
          </w:tcPr>
          <w:p w14:paraId="394B44A0" w14:textId="0517F2F5" w:rsidR="000F51DB" w:rsidRPr="00BA61B7" w:rsidRDefault="000F51DB" w:rsidP="005A55A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Cohort Study </w:t>
            </w:r>
          </w:p>
        </w:tc>
      </w:tr>
      <w:tr w:rsidR="000F51DB" w:rsidRPr="00BA61B7" w14:paraId="0D1758C0" w14:textId="77777777" w:rsidTr="005A55A3">
        <w:tc>
          <w:tcPr>
            <w:tcW w:w="1838" w:type="dxa"/>
          </w:tcPr>
          <w:p w14:paraId="393394C4" w14:textId="77777777" w:rsidR="000F51DB" w:rsidRDefault="000F51DB" w:rsidP="005A55A3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0ADEE2F8" w14:textId="6DDFDEC5" w:rsidR="000F51DB" w:rsidRDefault="000F51DB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Comparative Cohort Study</w:t>
            </w:r>
          </w:p>
          <w:p w14:paraId="23B60DAD" w14:textId="77777777" w:rsidR="000F51DB" w:rsidRPr="00BA61B7" w:rsidRDefault="000F51DB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178" w:type="dxa"/>
          </w:tcPr>
          <w:p w14:paraId="1A376790" w14:textId="77777777" w:rsidR="000F51DB" w:rsidRDefault="000F51DB" w:rsidP="005A55A3">
            <w:pPr>
              <w:jc w:val="both"/>
              <w:rPr>
                <w:sz w:val="20"/>
                <w:szCs w:val="20"/>
              </w:rPr>
            </w:pPr>
          </w:p>
          <w:p w14:paraId="5839EE56" w14:textId="77777777" w:rsidR="000F51DB" w:rsidRDefault="000F51DB" w:rsidP="000F51DB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HADES </w:t>
            </w:r>
            <w:proofErr w:type="spellStart"/>
            <w:r>
              <w:rPr>
                <w:rFonts w:hint="eastAsia"/>
                <w:sz w:val="20"/>
                <w:szCs w:val="20"/>
              </w:rPr>
              <w:t>CohortMethod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+ Cyclops. </w:t>
            </w:r>
          </w:p>
          <w:p w14:paraId="2CB18232" w14:textId="77777777" w:rsidR="000F51DB" w:rsidRDefault="000F51DB" w:rsidP="000F51D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Large-scale propensity score to match exposure cohorts with comparators. </w:t>
            </w:r>
          </w:p>
          <w:p w14:paraId="3385717D" w14:textId="17E4C138" w:rsidR="000F51DB" w:rsidRDefault="000F51DB" w:rsidP="000F51D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Sensitivity analysis based on </w:t>
            </w:r>
            <w:commentRangeStart w:id="31"/>
            <w:r>
              <w:rPr>
                <w:rFonts w:hint="eastAsia"/>
                <w:sz w:val="20"/>
                <w:szCs w:val="20"/>
              </w:rPr>
              <w:t>year restriction</w:t>
            </w:r>
            <w:commentRangeEnd w:id="31"/>
            <w:r>
              <w:rPr>
                <w:rStyle w:val="CommentReference"/>
              </w:rPr>
              <w:commentReference w:id="31"/>
            </w:r>
          </w:p>
          <w:p w14:paraId="55D6FECA" w14:textId="4D4FA86A" w:rsidR="000F51DB" w:rsidRDefault="000F51DB" w:rsidP="000F51D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Cox proportional hazards to estimate risk of DILI via ITT</w:t>
            </w:r>
          </w:p>
          <w:p w14:paraId="152D432D" w14:textId="2712A8D7" w:rsidR="000F51DB" w:rsidRPr="000F51DB" w:rsidRDefault="000F51DB" w:rsidP="000F51D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Residual bias via negative controls</w:t>
            </w:r>
          </w:p>
          <w:p w14:paraId="646B8D44" w14:textId="5D319EE6" w:rsidR="000F51DB" w:rsidRPr="000F51DB" w:rsidRDefault="000F51DB" w:rsidP="000F51DB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14:paraId="2F2F0122" w14:textId="77777777" w:rsidR="000F51DB" w:rsidRDefault="000F51DB" w:rsidP="001033A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F51DB" w:rsidRPr="00BA61B7" w14:paraId="71AFA3E4" w14:textId="77777777" w:rsidTr="005A55A3">
        <w:tc>
          <w:tcPr>
            <w:tcW w:w="9016" w:type="dxa"/>
            <w:gridSpan w:val="2"/>
          </w:tcPr>
          <w:p w14:paraId="32B555F7" w14:textId="6257934E" w:rsidR="000F51DB" w:rsidRPr="00BA61B7" w:rsidRDefault="000F51DB" w:rsidP="005A55A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Self-Controlled Case-Series</w:t>
            </w:r>
          </w:p>
        </w:tc>
      </w:tr>
      <w:tr w:rsidR="000F51DB" w:rsidRPr="00BA61B7" w14:paraId="49CAC1F0" w14:textId="77777777" w:rsidTr="005A55A3">
        <w:tc>
          <w:tcPr>
            <w:tcW w:w="1838" w:type="dxa"/>
          </w:tcPr>
          <w:p w14:paraId="7A2F66BF" w14:textId="77777777" w:rsidR="000F51DB" w:rsidRDefault="000F51DB" w:rsidP="005A55A3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0785B696" w14:textId="07847E2D" w:rsidR="000F51DB" w:rsidRDefault="000F51DB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SCCS</w:t>
            </w:r>
          </w:p>
          <w:p w14:paraId="2FBA3C16" w14:textId="77777777" w:rsidR="000F51DB" w:rsidRPr="00BA61B7" w:rsidRDefault="000F51DB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178" w:type="dxa"/>
          </w:tcPr>
          <w:p w14:paraId="72518C6C" w14:textId="77777777" w:rsidR="000F51DB" w:rsidRDefault="000F51DB" w:rsidP="000F51DB">
            <w:pPr>
              <w:jc w:val="both"/>
              <w:rPr>
                <w:sz w:val="20"/>
                <w:szCs w:val="20"/>
              </w:rPr>
            </w:pPr>
          </w:p>
          <w:p w14:paraId="04EFEF7A" w14:textId="77777777" w:rsidR="000F51DB" w:rsidRDefault="00B92A54" w:rsidP="000F51DB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HADES </w:t>
            </w:r>
            <w:proofErr w:type="spellStart"/>
            <w:r>
              <w:rPr>
                <w:rFonts w:hint="eastAsia"/>
                <w:sz w:val="20"/>
                <w:szCs w:val="20"/>
              </w:rPr>
              <w:t>SelfControlledCaseSeries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+ Cyclops</w:t>
            </w:r>
          </w:p>
          <w:p w14:paraId="4BCD8E33" w14:textId="77777777" w:rsidR="00B92A54" w:rsidRDefault="00B92A54" w:rsidP="00B92A54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Relative incidence of DILI</w:t>
            </w:r>
          </w:p>
          <w:p w14:paraId="52600C75" w14:textId="2874748E" w:rsidR="00B92A54" w:rsidRPr="00B92A54" w:rsidRDefault="00B92A54" w:rsidP="00B92A54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14:paraId="7EE5031C" w14:textId="77777777" w:rsidR="000F51DB" w:rsidRDefault="000F51DB" w:rsidP="001033A0">
      <w:pPr>
        <w:jc w:val="both"/>
        <w:rPr>
          <w:rFonts w:hint="eastAsia"/>
        </w:rPr>
      </w:pPr>
    </w:p>
    <w:p w14:paraId="540BC65E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61EC897" w14:textId="46079B0A" w:rsidR="00275EB6" w:rsidRDefault="00B57A5D" w:rsidP="00B57A5D">
      <w:pPr>
        <w:pStyle w:val="Heading1"/>
        <w:jc w:val="both"/>
      </w:pPr>
      <w:bookmarkStart w:id="32" w:name="_Toc179138792"/>
      <w:r>
        <w:rPr>
          <w:rFonts w:hint="eastAsia"/>
        </w:rPr>
        <w:lastRenderedPageBreak/>
        <w:t>Study Diagnostic Thresholds</w:t>
      </w:r>
      <w:bookmarkEnd w:id="32"/>
    </w:p>
    <w:p w14:paraId="0A1942F9" w14:textId="03B2889C" w:rsidR="00B57A5D" w:rsidRDefault="00B57A5D" w:rsidP="00B57A5D">
      <w:pPr>
        <w:pStyle w:val="ListParagraph"/>
        <w:numPr>
          <w:ilvl w:val="0"/>
          <w:numId w:val="24"/>
        </w:numPr>
      </w:pPr>
      <w:r>
        <w:rPr>
          <w:rFonts w:hint="eastAsia"/>
        </w:rPr>
        <w:t>PS distribution</w:t>
      </w:r>
    </w:p>
    <w:p w14:paraId="7FFF8C5F" w14:textId="1DF8D862" w:rsidR="00B57A5D" w:rsidRDefault="00B57A5D" w:rsidP="00B57A5D">
      <w:pPr>
        <w:pStyle w:val="ListParagraph"/>
        <w:numPr>
          <w:ilvl w:val="0"/>
          <w:numId w:val="24"/>
        </w:numPr>
      </w:pPr>
      <w:r>
        <w:rPr>
          <w:rFonts w:hint="eastAsia"/>
        </w:rPr>
        <w:t>Patient characteristics table before/after PS adjustment</w:t>
      </w:r>
    </w:p>
    <w:p w14:paraId="6CB69E20" w14:textId="6A665F55" w:rsidR="00B57A5D" w:rsidRDefault="00B57A5D" w:rsidP="00B57A5D">
      <w:pPr>
        <w:pStyle w:val="ListParagraph"/>
        <w:numPr>
          <w:ilvl w:val="0"/>
          <w:numId w:val="24"/>
        </w:numPr>
      </w:pPr>
      <w:r>
        <w:rPr>
          <w:rFonts w:hint="eastAsia"/>
        </w:rPr>
        <w:t>Negative control calibration plot for RB</w:t>
      </w:r>
    </w:p>
    <w:p w14:paraId="444BDF31" w14:textId="5112D0D0" w:rsidR="00B57A5D" w:rsidRPr="00B57A5D" w:rsidRDefault="00B57A5D" w:rsidP="00B57A5D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Kaplan-Meier plots for Cox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57A5D" w:rsidRPr="00BA61B7" w14:paraId="667B6BCB" w14:textId="77777777" w:rsidTr="005A55A3">
        <w:tc>
          <w:tcPr>
            <w:tcW w:w="9016" w:type="dxa"/>
            <w:gridSpan w:val="2"/>
          </w:tcPr>
          <w:p w14:paraId="4E0D1214" w14:textId="77777777" w:rsidR="00B57A5D" w:rsidRPr="00BA61B7" w:rsidRDefault="00B57A5D" w:rsidP="005A55A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Cohort Study </w:t>
            </w:r>
          </w:p>
        </w:tc>
      </w:tr>
      <w:tr w:rsidR="00B57A5D" w:rsidRPr="00BA61B7" w14:paraId="00A5500F" w14:textId="77777777" w:rsidTr="00B57A5D">
        <w:tc>
          <w:tcPr>
            <w:tcW w:w="2830" w:type="dxa"/>
          </w:tcPr>
          <w:p w14:paraId="2DD89AA6" w14:textId="36D67B05" w:rsidR="00B57A5D" w:rsidRPr="00BA61B7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Covariate Balance (SMD)</w:t>
            </w:r>
          </w:p>
        </w:tc>
        <w:tc>
          <w:tcPr>
            <w:tcW w:w="6186" w:type="dxa"/>
          </w:tcPr>
          <w:p w14:paraId="6C9DE69F" w14:textId="07F60002" w:rsidR="00B57A5D" w:rsidRPr="000F51DB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&lt;0.1</w:t>
            </w:r>
          </w:p>
        </w:tc>
      </w:tr>
      <w:tr w:rsidR="00B57A5D" w:rsidRPr="00BA61B7" w14:paraId="265D725B" w14:textId="77777777" w:rsidTr="00B57A5D">
        <w:tc>
          <w:tcPr>
            <w:tcW w:w="2830" w:type="dxa"/>
          </w:tcPr>
          <w:p w14:paraId="51C0D17E" w14:textId="485A6737" w:rsidR="00B57A5D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Empirical Equipoise (PS)</w:t>
            </w:r>
          </w:p>
        </w:tc>
        <w:tc>
          <w:tcPr>
            <w:tcW w:w="6186" w:type="dxa"/>
          </w:tcPr>
          <w:p w14:paraId="6D31B0ED" w14:textId="3339FA38" w:rsidR="00B57A5D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&gt;0.1</w:t>
            </w:r>
          </w:p>
        </w:tc>
      </w:tr>
      <w:tr w:rsidR="00B57A5D" w:rsidRPr="00BA61B7" w14:paraId="292C1D21" w14:textId="77777777" w:rsidTr="00B57A5D">
        <w:tc>
          <w:tcPr>
            <w:tcW w:w="2830" w:type="dxa"/>
          </w:tcPr>
          <w:p w14:paraId="71CED7AB" w14:textId="7DE9ACD8" w:rsidR="00B57A5D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Residual Bias (EASE)</w:t>
            </w:r>
          </w:p>
        </w:tc>
        <w:tc>
          <w:tcPr>
            <w:tcW w:w="6186" w:type="dxa"/>
          </w:tcPr>
          <w:p w14:paraId="2734A1B3" w14:textId="2947C9B0" w:rsidR="00B57A5D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&lt;0.25</w:t>
            </w:r>
          </w:p>
        </w:tc>
      </w:tr>
      <w:tr w:rsidR="00B57A5D" w:rsidRPr="00BA61B7" w14:paraId="0E4AEFF3" w14:textId="77777777" w:rsidTr="00B57A5D">
        <w:tc>
          <w:tcPr>
            <w:tcW w:w="2830" w:type="dxa"/>
          </w:tcPr>
          <w:p w14:paraId="79AB93AA" w14:textId="19A86BA4" w:rsidR="00B57A5D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Meta-analysis Heterogeneity</w:t>
            </w:r>
          </w:p>
        </w:tc>
        <w:tc>
          <w:tcPr>
            <w:tcW w:w="6186" w:type="dxa"/>
          </w:tcPr>
          <w:p w14:paraId="464CE070" w14:textId="5FC2AA34" w:rsidR="00B57A5D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&lt;0.4</w:t>
            </w:r>
          </w:p>
        </w:tc>
      </w:tr>
      <w:tr w:rsidR="00B57A5D" w:rsidRPr="00BA61B7" w14:paraId="73E1CD10" w14:textId="77777777" w:rsidTr="00B57A5D">
        <w:tc>
          <w:tcPr>
            <w:tcW w:w="2830" w:type="dxa"/>
          </w:tcPr>
          <w:p w14:paraId="314E5BE6" w14:textId="3D14A47D" w:rsidR="00B57A5D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Meta-analysis MDRR</w:t>
            </w:r>
          </w:p>
        </w:tc>
        <w:tc>
          <w:tcPr>
            <w:tcW w:w="6186" w:type="dxa"/>
          </w:tcPr>
          <w:p w14:paraId="26285216" w14:textId="47E082B5" w:rsidR="00B57A5D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&lt;10</w:t>
            </w:r>
          </w:p>
        </w:tc>
      </w:tr>
    </w:tbl>
    <w:p w14:paraId="60FD114F" w14:textId="77777777" w:rsidR="00B57A5D" w:rsidRDefault="00B57A5D" w:rsidP="00B57A5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57A5D" w:rsidRPr="00BA61B7" w14:paraId="4C47486D" w14:textId="77777777" w:rsidTr="005A55A3">
        <w:tc>
          <w:tcPr>
            <w:tcW w:w="9016" w:type="dxa"/>
            <w:gridSpan w:val="2"/>
          </w:tcPr>
          <w:p w14:paraId="678DF6F0" w14:textId="77777777" w:rsidR="00B57A5D" w:rsidRPr="00BA61B7" w:rsidRDefault="00B57A5D" w:rsidP="005A55A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Self-Controlled Case-Series</w:t>
            </w:r>
          </w:p>
        </w:tc>
      </w:tr>
      <w:tr w:rsidR="00B57A5D" w:rsidRPr="00BA61B7" w14:paraId="6BF08D5D" w14:textId="77777777" w:rsidTr="00B57A5D">
        <w:tc>
          <w:tcPr>
            <w:tcW w:w="2830" w:type="dxa"/>
          </w:tcPr>
          <w:p w14:paraId="6521D379" w14:textId="52C40BDA" w:rsidR="00B57A5D" w:rsidRPr="00BA61B7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Pre-exposure</w:t>
            </w:r>
          </w:p>
        </w:tc>
        <w:tc>
          <w:tcPr>
            <w:tcW w:w="6186" w:type="dxa"/>
          </w:tcPr>
          <w:p w14:paraId="1B8C2EEA" w14:textId="1108099E" w:rsidR="00B57A5D" w:rsidRPr="00B92A54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&gt;0.05</w:t>
            </w:r>
          </w:p>
        </w:tc>
      </w:tr>
      <w:tr w:rsidR="00B57A5D" w:rsidRPr="00BA61B7" w14:paraId="7E05803D" w14:textId="77777777" w:rsidTr="00B57A5D">
        <w:tc>
          <w:tcPr>
            <w:tcW w:w="2830" w:type="dxa"/>
          </w:tcPr>
          <w:p w14:paraId="7651A405" w14:textId="5F9D802D" w:rsidR="00B57A5D" w:rsidRPr="00BA61B7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Time Trend</w:t>
            </w:r>
          </w:p>
        </w:tc>
        <w:tc>
          <w:tcPr>
            <w:tcW w:w="6186" w:type="dxa"/>
          </w:tcPr>
          <w:p w14:paraId="350E3B4B" w14:textId="7A20DC03" w:rsidR="00B57A5D" w:rsidRPr="00B92A54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&gt;0.05</w:t>
            </w:r>
          </w:p>
        </w:tc>
      </w:tr>
      <w:tr w:rsidR="00B57A5D" w:rsidRPr="00BA61B7" w14:paraId="40BCDCAB" w14:textId="77777777" w:rsidTr="00B57A5D">
        <w:tc>
          <w:tcPr>
            <w:tcW w:w="2830" w:type="dxa"/>
          </w:tcPr>
          <w:p w14:paraId="27EB9A37" w14:textId="3F84B237" w:rsidR="00B57A5D" w:rsidRPr="00BA61B7" w:rsidRDefault="00B57A5D" w:rsidP="005A55A3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EASE</w:t>
            </w:r>
          </w:p>
        </w:tc>
        <w:tc>
          <w:tcPr>
            <w:tcW w:w="6186" w:type="dxa"/>
          </w:tcPr>
          <w:p w14:paraId="148801E1" w14:textId="38168E83" w:rsidR="00B57A5D" w:rsidRPr="00B92A54" w:rsidRDefault="00B57A5D" w:rsidP="005A55A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&lt;0.25</w:t>
            </w:r>
          </w:p>
        </w:tc>
      </w:tr>
      <w:tr w:rsidR="00B57A5D" w:rsidRPr="00BA61B7" w14:paraId="30990D62" w14:textId="77777777" w:rsidTr="00B57A5D">
        <w:tc>
          <w:tcPr>
            <w:tcW w:w="2830" w:type="dxa"/>
          </w:tcPr>
          <w:p w14:paraId="33FEA408" w14:textId="6B27A72E" w:rsidR="00B57A5D" w:rsidRPr="00BA61B7" w:rsidRDefault="00B57A5D" w:rsidP="00B57A5D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Meta-analysis Heterogeneity</w:t>
            </w:r>
          </w:p>
        </w:tc>
        <w:tc>
          <w:tcPr>
            <w:tcW w:w="6186" w:type="dxa"/>
          </w:tcPr>
          <w:p w14:paraId="4AE79056" w14:textId="6B457769" w:rsidR="00B57A5D" w:rsidRPr="00B92A54" w:rsidRDefault="00B57A5D" w:rsidP="00B57A5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&lt;0.4</w:t>
            </w:r>
          </w:p>
        </w:tc>
      </w:tr>
      <w:tr w:rsidR="00B57A5D" w:rsidRPr="00BA61B7" w14:paraId="09CDF2F7" w14:textId="77777777" w:rsidTr="00B57A5D">
        <w:tc>
          <w:tcPr>
            <w:tcW w:w="2830" w:type="dxa"/>
          </w:tcPr>
          <w:p w14:paraId="2CE325E6" w14:textId="6302DFF8" w:rsidR="00B57A5D" w:rsidRPr="00BA61B7" w:rsidRDefault="00B57A5D" w:rsidP="00B57A5D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Meta-analysis MDRR</w:t>
            </w:r>
          </w:p>
        </w:tc>
        <w:tc>
          <w:tcPr>
            <w:tcW w:w="6186" w:type="dxa"/>
          </w:tcPr>
          <w:p w14:paraId="2131AD31" w14:textId="00570B6F" w:rsidR="00B57A5D" w:rsidRPr="00B92A54" w:rsidRDefault="00B57A5D" w:rsidP="00B57A5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&lt;10</w:t>
            </w:r>
          </w:p>
        </w:tc>
      </w:tr>
    </w:tbl>
    <w:p w14:paraId="79124C7B" w14:textId="77777777" w:rsidR="00B57A5D" w:rsidRPr="00275EB6" w:rsidRDefault="00B57A5D" w:rsidP="001033A0">
      <w:pPr>
        <w:jc w:val="both"/>
      </w:pPr>
    </w:p>
    <w:p w14:paraId="5C1B81FE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516163" w14:textId="62C5DF7C" w:rsidR="00275EB6" w:rsidRDefault="00275EB6" w:rsidP="001033A0">
      <w:pPr>
        <w:pStyle w:val="Heading1"/>
        <w:jc w:val="both"/>
      </w:pPr>
      <w:bookmarkStart w:id="33" w:name="_Toc179138793"/>
      <w:r>
        <w:rPr>
          <w:rFonts w:hint="eastAsia"/>
        </w:rPr>
        <w:lastRenderedPageBreak/>
        <w:t>Strengths and Limitations</w:t>
      </w:r>
      <w:bookmarkEnd w:id="33"/>
    </w:p>
    <w:p w14:paraId="3C5E484D" w14:textId="77777777" w:rsidR="00275EB6" w:rsidRPr="00275EB6" w:rsidRDefault="00275EB6" w:rsidP="001033A0">
      <w:pPr>
        <w:jc w:val="both"/>
      </w:pPr>
    </w:p>
    <w:p w14:paraId="6EF57D98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C56C4C" w14:textId="2656E755" w:rsidR="00275EB6" w:rsidRDefault="00275EB6" w:rsidP="001033A0">
      <w:pPr>
        <w:pStyle w:val="Heading1"/>
        <w:jc w:val="both"/>
      </w:pPr>
      <w:bookmarkStart w:id="34" w:name="_Toc179138794"/>
      <w:r>
        <w:rPr>
          <w:rFonts w:hint="eastAsia"/>
        </w:rPr>
        <w:lastRenderedPageBreak/>
        <w:t>Protection of Human Subjects</w:t>
      </w:r>
      <w:bookmarkEnd w:id="34"/>
    </w:p>
    <w:p w14:paraId="52AC6283" w14:textId="7D5CB091" w:rsidR="0030756D" w:rsidRPr="005D6CAE" w:rsidRDefault="005D6CAE" w:rsidP="001033A0">
      <w:pPr>
        <w:jc w:val="both"/>
      </w:pPr>
      <w:r>
        <w:t>Participating</w:t>
      </w:r>
      <w:r>
        <w:rPr>
          <w:rFonts w:hint="eastAsia"/>
        </w:rPr>
        <w:t xml:space="preserve"> institutions should seek IRB approval for this study as necessary. </w:t>
      </w:r>
    </w:p>
    <w:p w14:paraId="35DC89FF" w14:textId="239628EA" w:rsidR="00275EB6" w:rsidRDefault="00275EB6" w:rsidP="001033A0">
      <w:pPr>
        <w:pStyle w:val="Heading1"/>
        <w:jc w:val="both"/>
      </w:pPr>
      <w:bookmarkStart w:id="35" w:name="_Toc179138795"/>
      <w:r>
        <w:rPr>
          <w:rFonts w:hint="eastAsia"/>
        </w:rPr>
        <w:t>Plans for Disseminating and Communicating Study Results</w:t>
      </w:r>
      <w:bookmarkEnd w:id="35"/>
    </w:p>
    <w:p w14:paraId="49B11066" w14:textId="2BE03AB2" w:rsidR="005D6CAE" w:rsidRPr="005D6CAE" w:rsidRDefault="005D6CAE" w:rsidP="005D6CAE">
      <w:pPr>
        <w:rPr>
          <w:rFonts w:hint="eastAsia"/>
        </w:rPr>
      </w:pPr>
      <w:r>
        <w:rPr>
          <w:rFonts w:hint="eastAsia"/>
        </w:rPr>
        <w:t xml:space="preserve">Results will be shared/discussed during the OHDSI APAC Symposium if sufficient data has been gathered. This work will be presented at conferences and published as a manuscript. </w:t>
      </w:r>
    </w:p>
    <w:p w14:paraId="1853FB92" w14:textId="77777777" w:rsidR="005D6CAE" w:rsidRDefault="005D6CAE" w:rsidP="005D6CAE">
      <w:pPr>
        <w:pStyle w:val="Heading1"/>
        <w:jc w:val="both"/>
      </w:pPr>
      <w:bookmarkStart w:id="36" w:name="_Toc179138796"/>
      <w:r>
        <w:rPr>
          <w:rFonts w:hint="eastAsia"/>
        </w:rPr>
        <w:t>Appendix</w:t>
      </w:r>
      <w:bookmarkEnd w:id="36"/>
    </w:p>
    <w:p w14:paraId="68E6DAF7" w14:textId="77777777" w:rsidR="005D6CAE" w:rsidRDefault="005D6CAE" w:rsidP="005D6CAE">
      <w:pPr>
        <w:pStyle w:val="Heading2"/>
      </w:pPr>
      <w:bookmarkStart w:id="37" w:name="_Toc179138797"/>
      <w:r>
        <w:rPr>
          <w:rFonts w:hint="eastAsia"/>
        </w:rPr>
        <w:t>Cohort Definitions</w:t>
      </w:r>
      <w:bookmarkEnd w:id="37"/>
    </w:p>
    <w:p w14:paraId="7B6B2825" w14:textId="77777777" w:rsidR="005D6CAE" w:rsidRPr="003B6143" w:rsidRDefault="005D6CAE" w:rsidP="005D6CAE"/>
    <w:p w14:paraId="58EFFB4A" w14:textId="77777777" w:rsidR="005D6CAE" w:rsidRDefault="005D6CAE" w:rsidP="005D6CAE">
      <w:pPr>
        <w:pStyle w:val="Heading2"/>
      </w:pPr>
      <w:bookmarkStart w:id="38" w:name="_Toc179138798"/>
      <w:r>
        <w:rPr>
          <w:rFonts w:hint="eastAsia"/>
        </w:rPr>
        <w:t>Negative Controls</w:t>
      </w:r>
      <w:bookmarkEnd w:id="38"/>
    </w:p>
    <w:p w14:paraId="6838195A" w14:textId="77777777" w:rsidR="00275EB6" w:rsidRDefault="00275EB6" w:rsidP="001033A0">
      <w:pPr>
        <w:jc w:val="both"/>
      </w:pPr>
    </w:p>
    <w:p w14:paraId="14F5C217" w14:textId="77777777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69B68C" w14:textId="3A4C1CB3" w:rsidR="00275EB6" w:rsidRDefault="00275EB6" w:rsidP="001033A0">
      <w:pPr>
        <w:pStyle w:val="Heading1"/>
        <w:jc w:val="both"/>
      </w:pPr>
      <w:bookmarkStart w:id="39" w:name="_Toc179138799"/>
      <w:r>
        <w:rPr>
          <w:rFonts w:hint="eastAsia"/>
        </w:rPr>
        <w:lastRenderedPageBreak/>
        <w:t>References</w:t>
      </w:r>
      <w:bookmarkEnd w:id="39"/>
    </w:p>
    <w:p w14:paraId="62F0D0A7" w14:textId="52BD71D6" w:rsidR="00F1624A" w:rsidRDefault="00F1624A" w:rsidP="00F1624A">
      <w:pPr>
        <w:jc w:val="both"/>
      </w:pPr>
      <w:r>
        <w:t xml:space="preserve">Salehi et al.  2024. Liraglutide and Liver Injury: Rare Case Report with Literature Review Endocrine, Metabolic &amp; Immune Disorders - Drug Targets </w:t>
      </w:r>
      <w:proofErr w:type="spellStart"/>
      <w:r>
        <w:t>doi</w:t>
      </w:r>
      <w:proofErr w:type="spellEnd"/>
      <w:r>
        <w:t>: 10.2174/0118715303180615231011053011</w:t>
      </w:r>
    </w:p>
    <w:p w14:paraId="77795676" w14:textId="250BFFBC" w:rsidR="00F1624A" w:rsidRDefault="00F1624A" w:rsidP="00F1624A">
      <w:pPr>
        <w:jc w:val="both"/>
      </w:pPr>
      <w:proofErr w:type="spellStart"/>
      <w:r>
        <w:t>Neahusan</w:t>
      </w:r>
      <w:proofErr w:type="spellEnd"/>
      <w:r>
        <w:t xml:space="preserve"> et al. 2021. Autoimmune Hepatitis-like Drug Injury of the Liver Associated with the Glucagon-like Peptide 1 (GLP-1) Agonist Dulaglutide</w:t>
      </w:r>
      <w:r>
        <w:rPr>
          <w:rFonts w:hint="eastAsia"/>
        </w:rPr>
        <w:t xml:space="preserve">. </w:t>
      </w:r>
      <w:r>
        <w:t xml:space="preserve">The American Journal of Gastroenterology </w:t>
      </w:r>
      <w:proofErr w:type="spellStart"/>
      <w:r>
        <w:t>doi</w:t>
      </w:r>
      <w:proofErr w:type="spellEnd"/>
      <w:r>
        <w:t xml:space="preserve">: 10.14309/01.ajg.0000785004.17193.b9 </w:t>
      </w:r>
    </w:p>
    <w:p w14:paraId="57718749" w14:textId="04F6F40B" w:rsidR="00275EB6" w:rsidRDefault="00F1624A" w:rsidP="00F1624A">
      <w:pPr>
        <w:jc w:val="both"/>
      </w:pPr>
      <w:proofErr w:type="spellStart"/>
      <w:r>
        <w:t>Parvataneni</w:t>
      </w:r>
      <w:proofErr w:type="spellEnd"/>
      <w:r>
        <w:t xml:space="preserve"> et al. 2021. An Exceedingly Rare Case of Liraglutide-Induced Liver Injury Case Rep </w:t>
      </w:r>
      <w:proofErr w:type="spellStart"/>
      <w:r>
        <w:t>Gastrointest</w:t>
      </w:r>
      <w:proofErr w:type="spellEnd"/>
      <w:r>
        <w:t xml:space="preserve"> Med.  </w:t>
      </w:r>
      <w:proofErr w:type="spellStart"/>
      <w:r>
        <w:t>doi</w:t>
      </w:r>
      <w:proofErr w:type="spellEnd"/>
      <w:r>
        <w:t>: 10.1155/2021/6306149</w:t>
      </w:r>
    </w:p>
    <w:p w14:paraId="1A620496" w14:textId="49D951E5" w:rsidR="00532161" w:rsidRDefault="00532161" w:rsidP="00F1624A">
      <w:pPr>
        <w:jc w:val="both"/>
      </w:pPr>
      <w:r w:rsidRPr="00532161">
        <w:t>Andrade, R. J., Chalasani, N., Björnsson, E. S., Suzuki, A., Kullak-</w:t>
      </w:r>
      <w:proofErr w:type="spellStart"/>
      <w:r w:rsidRPr="00532161">
        <w:t>Ublick</w:t>
      </w:r>
      <w:proofErr w:type="spellEnd"/>
      <w:r w:rsidRPr="00532161">
        <w:t xml:space="preserve">, G. A., Watkins, P. B., … Aithal, G. P. (2019). </w:t>
      </w:r>
      <w:r w:rsidRPr="00532161">
        <w:rPr>
          <w:i/>
          <w:iCs/>
        </w:rPr>
        <w:t>Drug-induced liver injury. Nature Reviews Disease Primers, 5(1).</w:t>
      </w:r>
      <w:r w:rsidRPr="00532161">
        <w:t xml:space="preserve"> doi:10.1038/s41572-019-0105-0 </w:t>
      </w:r>
    </w:p>
    <w:p w14:paraId="7BFBFA6A" w14:textId="09883CCC" w:rsidR="0030756D" w:rsidRDefault="0030756D" w:rsidP="001033A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6A70182" w14:textId="77777777" w:rsidR="003B6143" w:rsidRPr="003B6143" w:rsidRDefault="003B6143" w:rsidP="003B6143"/>
    <w:p w14:paraId="06B47760" w14:textId="239628E9" w:rsidR="00275EB6" w:rsidRPr="003B6143" w:rsidRDefault="00275EB6" w:rsidP="003B6143">
      <w:pPr>
        <w:rPr>
          <w:rFonts w:eastAsiaTheme="majorEastAsia" w:cstheme="majorBidi"/>
          <w:color w:val="0F4761" w:themeColor="accent1" w:themeShade="BF"/>
        </w:rPr>
      </w:pPr>
    </w:p>
    <w:p w14:paraId="237A2D42" w14:textId="77777777" w:rsidR="003B6143" w:rsidRPr="003B6143" w:rsidRDefault="003B6143" w:rsidP="003B6143">
      <w:pPr>
        <w:rPr>
          <w:rFonts w:eastAsiaTheme="majorEastAsia" w:cstheme="majorBidi"/>
          <w:color w:val="0F4761" w:themeColor="accent1" w:themeShade="BF"/>
        </w:rPr>
      </w:pPr>
    </w:p>
    <w:sectPr w:rsidR="003B6143" w:rsidRPr="003B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Evelyn Goh" w:date="2024-10-06T19:51:00Z" w:initials="EG">
    <w:p w14:paraId="5A17A6DD" w14:textId="77777777" w:rsidR="00FA6709" w:rsidRDefault="00FA6709" w:rsidP="00FA6709">
      <w:pPr>
        <w:pStyle w:val="CommentText"/>
      </w:pPr>
      <w:r>
        <w:rPr>
          <w:rStyle w:val="CommentReference"/>
        </w:rPr>
        <w:annotationRef/>
      </w:r>
      <w:r>
        <w:t>Case studies 2 in 2 months, 1 in 6 months</w:t>
      </w:r>
    </w:p>
  </w:comment>
  <w:comment w:id="13" w:author="Evelyn Goh" w:date="2024-10-06T17:43:00Z" w:initials="EG">
    <w:p w14:paraId="71E51134" w14:textId="69482A6E" w:rsidR="002769B1" w:rsidRDefault="002769B1" w:rsidP="002769B1">
      <w:pPr>
        <w:pStyle w:val="CommentText"/>
      </w:pPr>
      <w:r>
        <w:rPr>
          <w:rStyle w:val="CommentReference"/>
        </w:rPr>
        <w:annotationRef/>
      </w:r>
      <w:r>
        <w:t>Are we sticking to only comparing against receptor agonist medications, or including even non-receptor agonist medications?</w:t>
      </w:r>
    </w:p>
  </w:comment>
  <w:comment w:id="16" w:author="Evelyn Goh" w:date="2024-10-06T19:53:00Z" w:initials="EG">
    <w:p w14:paraId="0A614226" w14:textId="77777777" w:rsidR="008104B7" w:rsidRDefault="008104B7" w:rsidP="008104B7">
      <w:pPr>
        <w:pStyle w:val="CommentText"/>
      </w:pPr>
      <w:r>
        <w:rPr>
          <w:rStyle w:val="CommentReference"/>
        </w:rPr>
        <w:annotationRef/>
      </w:r>
      <w:r>
        <w:t>Refer to Andrade et al.</w:t>
      </w:r>
    </w:p>
  </w:comment>
  <w:comment w:id="18" w:author="Evelyn Goh" w:date="2024-10-06T17:53:00Z" w:initials="EG">
    <w:p w14:paraId="4D1B0907" w14:textId="70317241" w:rsidR="0091405A" w:rsidRDefault="0091405A" w:rsidP="0091405A">
      <w:pPr>
        <w:pStyle w:val="CommentText"/>
      </w:pPr>
      <w:r>
        <w:rPr>
          <w:rStyle w:val="CommentReference"/>
        </w:rPr>
        <w:annotationRef/>
      </w:r>
      <w:r>
        <w:t>3 most common in LEGEND-T2DM</w:t>
      </w:r>
    </w:p>
  </w:comment>
  <w:comment w:id="19" w:author="Evelyn Goh" w:date="2024-10-06T18:33:00Z" w:initials="EG">
    <w:p w14:paraId="213638DF" w14:textId="77777777" w:rsidR="0091405A" w:rsidRDefault="0091405A" w:rsidP="0091405A">
      <w:pPr>
        <w:pStyle w:val="CommentText"/>
      </w:pPr>
      <w:r>
        <w:rPr>
          <w:rStyle w:val="CommentReference"/>
        </w:rPr>
        <w:annotationRef/>
      </w:r>
      <w:r>
        <w:t>What if taking multiple types of medication? Monotherapy only?</w:t>
      </w:r>
    </w:p>
  </w:comment>
  <w:comment w:id="21" w:author="Evelyn Goh" w:date="2024-10-06T18:58:00Z" w:initials="EG">
    <w:p w14:paraId="316B6BF6" w14:textId="77777777" w:rsidR="00B533E6" w:rsidRDefault="00B533E6" w:rsidP="00B533E6">
      <w:pPr>
        <w:pStyle w:val="CommentText"/>
      </w:pPr>
      <w:r>
        <w:rPr>
          <w:rStyle w:val="CommentReference"/>
        </w:rPr>
        <w:annotationRef/>
      </w:r>
      <w:r>
        <w:t xml:space="preserve">Where can I find this </w:t>
      </w:r>
    </w:p>
  </w:comment>
  <w:comment w:id="22" w:author="Evelyn Goh" w:date="2024-10-06T19:02:00Z" w:initials="EG">
    <w:p w14:paraId="48729EE5" w14:textId="77777777" w:rsidR="00B533E6" w:rsidRDefault="00B533E6" w:rsidP="00B533E6">
      <w:pPr>
        <w:pStyle w:val="CommentText"/>
      </w:pPr>
      <w:r>
        <w:rPr>
          <w:rStyle w:val="CommentReference"/>
        </w:rPr>
        <w:annotationRef/>
      </w:r>
      <w:r>
        <w:t>How to sort Athena codes for relevance?</w:t>
      </w:r>
    </w:p>
  </w:comment>
  <w:comment w:id="23" w:author="Evelyn Goh" w:date="2024-10-06T19:18:00Z" w:initials="EG">
    <w:p w14:paraId="4AEDC4BE" w14:textId="77777777" w:rsidR="00CB4040" w:rsidRDefault="00CB4040" w:rsidP="00CB4040">
      <w:pPr>
        <w:pStyle w:val="CommentText"/>
      </w:pPr>
      <w:r>
        <w:rPr>
          <w:rStyle w:val="CommentReference"/>
        </w:rPr>
        <w:annotationRef/>
      </w:r>
      <w:r>
        <w:t>Not bothering to judge severity via ascites, coagulopathy, and encephalopathy</w:t>
      </w:r>
    </w:p>
  </w:comment>
  <w:comment w:id="24" w:author="Evelyn Goh" w:date="2024-10-06T19:18:00Z" w:initials="EG">
    <w:p w14:paraId="70C1E37F" w14:textId="77777777" w:rsidR="00CB4040" w:rsidRDefault="00CB4040" w:rsidP="00CB4040">
      <w:pPr>
        <w:pStyle w:val="CommentText"/>
      </w:pPr>
      <w:r>
        <w:rPr>
          <w:rStyle w:val="CommentReference"/>
        </w:rPr>
        <w:annotationRef/>
      </w:r>
      <w:r>
        <w:t>Can have asymptomatic increase following exposure to medication that resolve with continuation or decontinuation/decrease</w:t>
      </w:r>
    </w:p>
  </w:comment>
  <w:comment w:id="25" w:author="Evelyn Goh" w:date="2024-10-06T19:39:00Z" w:initials="EG">
    <w:p w14:paraId="0083F0BD" w14:textId="77777777" w:rsidR="00D4106A" w:rsidRDefault="00D4106A" w:rsidP="00D4106A">
      <w:pPr>
        <w:pStyle w:val="CommentText"/>
      </w:pPr>
      <w:r>
        <w:rPr>
          <w:rStyle w:val="CommentReference"/>
        </w:rPr>
        <w:annotationRef/>
      </w:r>
      <w:r>
        <w:t>Andrade et al</w:t>
      </w:r>
    </w:p>
    <w:p w14:paraId="60B72460" w14:textId="77777777" w:rsidR="00D4106A" w:rsidRDefault="00D4106A" w:rsidP="00D4106A">
      <w:pPr>
        <w:pStyle w:val="CommentText"/>
      </w:pPr>
      <w:r>
        <w:t>Hy’s law, for the detection of DILI in clinical trials</w:t>
      </w:r>
    </w:p>
    <w:p w14:paraId="6CFB6D09" w14:textId="77777777" w:rsidR="00D4106A" w:rsidRDefault="00D4106A" w:rsidP="00D4106A">
      <w:pPr>
        <w:pStyle w:val="CommentText"/>
      </w:pPr>
      <w:r>
        <w:t>• Key signals for potential DILI are imbalances in aminotransferase increases across</w:t>
      </w:r>
    </w:p>
    <w:p w14:paraId="0492E8BC" w14:textId="77777777" w:rsidR="00D4106A" w:rsidRDefault="00D4106A" w:rsidP="00D4106A">
      <w:pPr>
        <w:pStyle w:val="CommentText"/>
      </w:pPr>
      <w:r>
        <w:t>treatment groups in relation to control groups and, as an indicator of more serious</w:t>
      </w:r>
    </w:p>
    <w:p w14:paraId="12F72E85" w14:textId="77777777" w:rsidR="00D4106A" w:rsidRDefault="00D4106A" w:rsidP="00D4106A">
      <w:pPr>
        <w:pStyle w:val="CommentText"/>
      </w:pPr>
      <w:r>
        <w:t>injury, the combination of aminotransferase and bilirubin increases fulfilling so-called</w:t>
      </w:r>
    </w:p>
    <w:p w14:paraId="2FC05CF7" w14:textId="77777777" w:rsidR="00D4106A" w:rsidRDefault="00D4106A" w:rsidP="00D4106A">
      <w:pPr>
        <w:pStyle w:val="CommentText"/>
      </w:pPr>
      <w:r>
        <w:t>Hy’s law — which identifies individuals with hepatocellular jaundice — consisting of</w:t>
      </w:r>
    </w:p>
    <w:p w14:paraId="01BB2F80" w14:textId="77777777" w:rsidR="00D4106A" w:rsidRDefault="00D4106A" w:rsidP="00D4106A">
      <w:pPr>
        <w:pStyle w:val="CommentText"/>
      </w:pPr>
      <w:r>
        <w:rPr>
          <w:rFonts w:hint="eastAsia"/>
        </w:rPr>
        <w:t xml:space="preserve">three components: aminotransferase increases to </w:t>
      </w:r>
      <w:r>
        <w:rPr>
          <w:rFonts w:hint="eastAsia"/>
        </w:rPr>
        <w:t>≥</w:t>
      </w:r>
      <w:r>
        <w:rPr>
          <w:rFonts w:hint="eastAsia"/>
        </w:rPr>
        <w:t>3-fold the ULN more frequently</w:t>
      </w:r>
    </w:p>
    <w:p w14:paraId="0519E4B8" w14:textId="77777777" w:rsidR="00D4106A" w:rsidRDefault="00D4106A" w:rsidP="00D4106A">
      <w:pPr>
        <w:pStyle w:val="CommentText"/>
      </w:pPr>
      <w:r>
        <w:t>than in (nonhepatotoxic) control or placebo groups.</w:t>
      </w:r>
    </w:p>
    <w:p w14:paraId="4D68288F" w14:textId="77777777" w:rsidR="00D4106A" w:rsidRDefault="00D4106A" w:rsidP="00D4106A">
      <w:pPr>
        <w:pStyle w:val="CommentText"/>
      </w:pPr>
      <w:r>
        <w:t>• Individuals showing ALT or AST level &gt;3-fold the ULN, combined with increases in</w:t>
      </w:r>
    </w:p>
    <w:p w14:paraId="2FE8CBE2" w14:textId="77777777" w:rsidR="00D4106A" w:rsidRDefault="00D4106A" w:rsidP="00D4106A">
      <w:pPr>
        <w:pStyle w:val="CommentText"/>
      </w:pPr>
      <w:r>
        <w:t>serum TBIL to &gt;2-fold the ULN, without initial findings of cholestasis, indicated by</w:t>
      </w:r>
    </w:p>
    <w:p w14:paraId="10E274C5" w14:textId="77777777" w:rsidR="00D4106A" w:rsidRDefault="00D4106A" w:rsidP="00D4106A">
      <w:pPr>
        <w:pStyle w:val="CommentText"/>
      </w:pPr>
      <w:r>
        <w:t>increased ALP.</w:t>
      </w:r>
    </w:p>
    <w:p w14:paraId="5AA670F9" w14:textId="77777777" w:rsidR="00D4106A" w:rsidRDefault="00D4106A" w:rsidP="00D4106A">
      <w:pPr>
        <w:pStyle w:val="CommentText"/>
      </w:pPr>
      <w:r>
        <w:t>• Absence of any alternative likely cause explaining the liver test abnormalities157</w:t>
      </w:r>
    </w:p>
    <w:p w14:paraId="3E48DE45" w14:textId="77777777" w:rsidR="00D4106A" w:rsidRDefault="00D4106A" w:rsidP="00D4106A">
      <w:pPr>
        <w:pStyle w:val="CommentText"/>
      </w:pPr>
      <w:r>
        <w:t>.</w:t>
      </w:r>
    </w:p>
    <w:p w14:paraId="0C83C06E" w14:textId="77777777" w:rsidR="00D4106A" w:rsidRDefault="00D4106A" w:rsidP="00D4106A">
      <w:pPr>
        <w:pStyle w:val="CommentText"/>
      </w:pPr>
      <w:r>
        <w:t>Hy’s law is a reasonably sensitive and specific predictor of the potential of a drug to</w:t>
      </w:r>
    </w:p>
    <w:p w14:paraId="3579FAC0" w14:textId="77777777" w:rsidR="00D4106A" w:rsidRDefault="00D4106A" w:rsidP="00D4106A">
      <w:pPr>
        <w:pStyle w:val="CommentText"/>
      </w:pPr>
      <w:r>
        <w:t>cause serious hepatotoxicity148</w:t>
      </w:r>
    </w:p>
    <w:p w14:paraId="239579D5" w14:textId="77777777" w:rsidR="00D4106A" w:rsidRDefault="00D4106A" w:rsidP="00D4106A">
      <w:pPr>
        <w:pStyle w:val="CommentText"/>
      </w:pPr>
      <w:r>
        <w:t>, indicating hepatocellular injury that is severe enough</w:t>
      </w:r>
    </w:p>
    <w:p w14:paraId="386FB14D" w14:textId="77777777" w:rsidR="00D4106A" w:rsidRDefault="00D4106A" w:rsidP="00D4106A">
      <w:pPr>
        <w:pStyle w:val="CommentText"/>
      </w:pPr>
      <w:r>
        <w:t>to impair hepatic function157,193</w:t>
      </w:r>
    </w:p>
    <w:p w14:paraId="2FF1B768" w14:textId="77777777" w:rsidR="00D4106A" w:rsidRDefault="00D4106A" w:rsidP="00D4106A">
      <w:pPr>
        <w:pStyle w:val="CommentText"/>
      </w:pPr>
      <w:r>
        <w:t>, and it is the US FDA’s key marker to screen for the liver</w:t>
      </w:r>
    </w:p>
    <w:p w14:paraId="6715E1DA" w14:textId="77777777" w:rsidR="00D4106A" w:rsidRDefault="00D4106A" w:rsidP="00D4106A">
      <w:pPr>
        <w:pStyle w:val="CommentText"/>
      </w:pPr>
      <w:r>
        <w:t>toxicity risk of a drug149</w:t>
      </w:r>
    </w:p>
    <w:p w14:paraId="3B5D7B57" w14:textId="77777777" w:rsidR="00D4106A" w:rsidRDefault="00D4106A" w:rsidP="00D4106A">
      <w:pPr>
        <w:pStyle w:val="CommentText"/>
      </w:pPr>
      <w:r>
        <w:t>.</w:t>
      </w:r>
    </w:p>
  </w:comment>
  <w:comment w:id="26" w:author="Evelyn Goh" w:date="2024-10-06T19:19:00Z" w:initials="EG">
    <w:p w14:paraId="1AA1CB4E" w14:textId="35B3C182" w:rsidR="00C86528" w:rsidRDefault="00C86528" w:rsidP="00C86528">
      <w:pPr>
        <w:pStyle w:val="CommentText"/>
      </w:pPr>
      <w:r>
        <w:rPr>
          <w:rStyle w:val="CommentReference"/>
        </w:rPr>
        <w:annotationRef/>
      </w:r>
      <w:r>
        <w:t>Exclude those taking immunosuppressants? Anti-inflammatory drugs, immunomodulatory drugs? Intensified immune response</w:t>
      </w:r>
    </w:p>
  </w:comment>
  <w:comment w:id="27" w:author="Evelyn Goh" w:date="2024-10-06T19:29:00Z" w:initials="EG">
    <w:p w14:paraId="65C0C747" w14:textId="77777777" w:rsidR="00C86528" w:rsidRDefault="00C86528" w:rsidP="00C86528">
      <w:pPr>
        <w:pStyle w:val="CommentText"/>
      </w:pPr>
      <w:r>
        <w:rPr>
          <w:rStyle w:val="CommentReference"/>
        </w:rPr>
        <w:annotationRef/>
      </w:r>
      <w:r>
        <w:t>Andrade et al</w:t>
      </w:r>
    </w:p>
  </w:comment>
  <w:comment w:id="31" w:author="Evelyn Goh" w:date="2024-10-06T20:18:00Z" w:initials="EG">
    <w:p w14:paraId="31644955" w14:textId="77777777" w:rsidR="000F51DB" w:rsidRDefault="000F51DB" w:rsidP="000F51DB">
      <w:pPr>
        <w:pStyle w:val="CommentText"/>
      </w:pPr>
      <w:r>
        <w:rPr>
          <w:rStyle w:val="CommentReference"/>
        </w:rPr>
        <w:annotationRef/>
      </w:r>
      <w:r>
        <w:t>How is this defined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17A6DD" w15:done="0"/>
  <w15:commentEx w15:paraId="71E51134" w15:done="0"/>
  <w15:commentEx w15:paraId="0A614226" w15:done="0"/>
  <w15:commentEx w15:paraId="4D1B0907" w15:done="0"/>
  <w15:commentEx w15:paraId="213638DF" w15:paraIdParent="4D1B0907" w15:done="0"/>
  <w15:commentEx w15:paraId="316B6BF6" w15:done="0"/>
  <w15:commentEx w15:paraId="48729EE5" w15:done="0"/>
  <w15:commentEx w15:paraId="4AEDC4BE" w15:done="0"/>
  <w15:commentEx w15:paraId="70C1E37F" w15:done="0"/>
  <w15:commentEx w15:paraId="3B5D7B57" w15:done="0"/>
  <w15:commentEx w15:paraId="1AA1CB4E" w15:done="0"/>
  <w15:commentEx w15:paraId="65C0C747" w15:done="0"/>
  <w15:commentEx w15:paraId="316449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511914E" w16cex:dateUtc="2024-10-06T11:51:00Z"/>
  <w16cex:commentExtensible w16cex:durableId="666FC425" w16cex:dateUtc="2024-10-06T09:43:00Z"/>
  <w16cex:commentExtensible w16cex:durableId="09AED154" w16cex:dateUtc="2024-10-06T11:53:00Z"/>
  <w16cex:commentExtensible w16cex:durableId="10D00A0B" w16cex:dateUtc="2024-10-06T09:53:00Z"/>
  <w16cex:commentExtensible w16cex:durableId="49883CAE" w16cex:dateUtc="2024-10-06T10:33:00Z"/>
  <w16cex:commentExtensible w16cex:durableId="26FE356D" w16cex:dateUtc="2024-10-06T10:58:00Z"/>
  <w16cex:commentExtensible w16cex:durableId="0DA75EB3" w16cex:dateUtc="2024-10-06T11:02:00Z"/>
  <w16cex:commentExtensible w16cex:durableId="1C64C293" w16cex:dateUtc="2024-10-06T11:18:00Z"/>
  <w16cex:commentExtensible w16cex:durableId="0BE7A00C" w16cex:dateUtc="2024-10-06T11:18:00Z"/>
  <w16cex:commentExtensible w16cex:durableId="0857AC5D" w16cex:dateUtc="2024-10-06T11:39:00Z"/>
  <w16cex:commentExtensible w16cex:durableId="7A4FC749" w16cex:dateUtc="2024-10-06T11:19:00Z"/>
  <w16cex:commentExtensible w16cex:durableId="7C626818" w16cex:dateUtc="2024-10-06T11:29:00Z"/>
  <w16cex:commentExtensible w16cex:durableId="14A66B77" w16cex:dateUtc="2024-10-06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17A6DD" w16cid:durableId="7511914E"/>
  <w16cid:commentId w16cid:paraId="71E51134" w16cid:durableId="666FC425"/>
  <w16cid:commentId w16cid:paraId="0A614226" w16cid:durableId="09AED154"/>
  <w16cid:commentId w16cid:paraId="4D1B0907" w16cid:durableId="10D00A0B"/>
  <w16cid:commentId w16cid:paraId="213638DF" w16cid:durableId="49883CAE"/>
  <w16cid:commentId w16cid:paraId="316B6BF6" w16cid:durableId="26FE356D"/>
  <w16cid:commentId w16cid:paraId="48729EE5" w16cid:durableId="0DA75EB3"/>
  <w16cid:commentId w16cid:paraId="4AEDC4BE" w16cid:durableId="1C64C293"/>
  <w16cid:commentId w16cid:paraId="70C1E37F" w16cid:durableId="0BE7A00C"/>
  <w16cid:commentId w16cid:paraId="3B5D7B57" w16cid:durableId="0857AC5D"/>
  <w16cid:commentId w16cid:paraId="1AA1CB4E" w16cid:durableId="7A4FC749"/>
  <w16cid:commentId w16cid:paraId="65C0C747" w16cid:durableId="7C626818"/>
  <w16cid:commentId w16cid:paraId="31644955" w16cid:durableId="14A66B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7DF2"/>
    <w:multiLevelType w:val="hybridMultilevel"/>
    <w:tmpl w:val="A5FC518A"/>
    <w:lvl w:ilvl="0" w:tplc="F540640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8F2"/>
    <w:multiLevelType w:val="hybridMultilevel"/>
    <w:tmpl w:val="A3823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47D"/>
    <w:multiLevelType w:val="hybridMultilevel"/>
    <w:tmpl w:val="ACDCF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1F5"/>
    <w:multiLevelType w:val="hybridMultilevel"/>
    <w:tmpl w:val="374CD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F4913"/>
    <w:multiLevelType w:val="hybridMultilevel"/>
    <w:tmpl w:val="00425B98"/>
    <w:lvl w:ilvl="0" w:tplc="F540640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40324"/>
    <w:multiLevelType w:val="hybridMultilevel"/>
    <w:tmpl w:val="508A53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123B"/>
    <w:multiLevelType w:val="hybridMultilevel"/>
    <w:tmpl w:val="10FE520E"/>
    <w:lvl w:ilvl="0" w:tplc="61DCB0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A4544"/>
    <w:multiLevelType w:val="hybridMultilevel"/>
    <w:tmpl w:val="B0AE96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A2B85"/>
    <w:multiLevelType w:val="hybridMultilevel"/>
    <w:tmpl w:val="A328B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D1B01"/>
    <w:multiLevelType w:val="hybridMultilevel"/>
    <w:tmpl w:val="8362C23A"/>
    <w:lvl w:ilvl="0" w:tplc="F540640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40802"/>
    <w:multiLevelType w:val="hybridMultilevel"/>
    <w:tmpl w:val="C3D6A5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4AC0"/>
    <w:multiLevelType w:val="hybridMultilevel"/>
    <w:tmpl w:val="C8027F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D4D9D"/>
    <w:multiLevelType w:val="hybridMultilevel"/>
    <w:tmpl w:val="93500C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57B6"/>
    <w:multiLevelType w:val="hybridMultilevel"/>
    <w:tmpl w:val="3D4C17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6E12"/>
    <w:multiLevelType w:val="hybridMultilevel"/>
    <w:tmpl w:val="B2005D20"/>
    <w:lvl w:ilvl="0" w:tplc="761C89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F7FFD"/>
    <w:multiLevelType w:val="hybridMultilevel"/>
    <w:tmpl w:val="BB509B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E076E"/>
    <w:multiLevelType w:val="hybridMultilevel"/>
    <w:tmpl w:val="B2B8BB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70B89"/>
    <w:multiLevelType w:val="hybridMultilevel"/>
    <w:tmpl w:val="F26A888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E346B"/>
    <w:multiLevelType w:val="hybridMultilevel"/>
    <w:tmpl w:val="17822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0F9"/>
    <w:multiLevelType w:val="hybridMultilevel"/>
    <w:tmpl w:val="BC6E39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3009E"/>
    <w:multiLevelType w:val="hybridMultilevel"/>
    <w:tmpl w:val="7048DB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E2757"/>
    <w:multiLevelType w:val="hybridMultilevel"/>
    <w:tmpl w:val="87E03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715FF"/>
    <w:multiLevelType w:val="hybridMultilevel"/>
    <w:tmpl w:val="2A08F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B5193"/>
    <w:multiLevelType w:val="hybridMultilevel"/>
    <w:tmpl w:val="7048DB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74462">
    <w:abstractNumId w:val="6"/>
  </w:num>
  <w:num w:numId="2" w16cid:durableId="1590846031">
    <w:abstractNumId w:val="14"/>
  </w:num>
  <w:num w:numId="3" w16cid:durableId="327175560">
    <w:abstractNumId w:val="2"/>
  </w:num>
  <w:num w:numId="4" w16cid:durableId="260070847">
    <w:abstractNumId w:val="8"/>
  </w:num>
  <w:num w:numId="5" w16cid:durableId="1082291552">
    <w:abstractNumId w:val="5"/>
  </w:num>
  <w:num w:numId="6" w16cid:durableId="278725985">
    <w:abstractNumId w:val="17"/>
  </w:num>
  <w:num w:numId="7" w16cid:durableId="1410545108">
    <w:abstractNumId w:val="20"/>
  </w:num>
  <w:num w:numId="8" w16cid:durableId="1131173924">
    <w:abstractNumId w:val="23"/>
  </w:num>
  <w:num w:numId="9" w16cid:durableId="957490110">
    <w:abstractNumId w:val="16"/>
  </w:num>
  <w:num w:numId="10" w16cid:durableId="2058508220">
    <w:abstractNumId w:val="1"/>
  </w:num>
  <w:num w:numId="11" w16cid:durableId="1557736572">
    <w:abstractNumId w:val="13"/>
  </w:num>
  <w:num w:numId="12" w16cid:durableId="599681930">
    <w:abstractNumId w:val="15"/>
  </w:num>
  <w:num w:numId="13" w16cid:durableId="2131506277">
    <w:abstractNumId w:val="11"/>
  </w:num>
  <w:num w:numId="14" w16cid:durableId="588541408">
    <w:abstractNumId w:val="18"/>
  </w:num>
  <w:num w:numId="15" w16cid:durableId="344479017">
    <w:abstractNumId w:val="7"/>
  </w:num>
  <w:num w:numId="16" w16cid:durableId="501046615">
    <w:abstractNumId w:val="3"/>
  </w:num>
  <w:num w:numId="17" w16cid:durableId="792401176">
    <w:abstractNumId w:val="22"/>
  </w:num>
  <w:num w:numId="18" w16cid:durableId="1403866039">
    <w:abstractNumId w:val="4"/>
  </w:num>
  <w:num w:numId="19" w16cid:durableId="421142557">
    <w:abstractNumId w:val="10"/>
  </w:num>
  <w:num w:numId="20" w16cid:durableId="1682321392">
    <w:abstractNumId w:val="0"/>
  </w:num>
  <w:num w:numId="21" w16cid:durableId="1263687687">
    <w:abstractNumId w:val="9"/>
  </w:num>
  <w:num w:numId="22" w16cid:durableId="1403605459">
    <w:abstractNumId w:val="19"/>
  </w:num>
  <w:num w:numId="23" w16cid:durableId="143395178">
    <w:abstractNumId w:val="12"/>
  </w:num>
  <w:num w:numId="24" w16cid:durableId="64678168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velyn Goh">
    <w15:presenceInfo w15:providerId="AD" w15:userId="S::e0983111@u.nus.edu::2069bcf8-5523-4fb7-ab73-3b27d0b98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A"/>
    <w:rsid w:val="000133EA"/>
    <w:rsid w:val="000F51DB"/>
    <w:rsid w:val="001033A0"/>
    <w:rsid w:val="001360AD"/>
    <w:rsid w:val="00136478"/>
    <w:rsid w:val="00144887"/>
    <w:rsid w:val="001668B8"/>
    <w:rsid w:val="00275EB6"/>
    <w:rsid w:val="002769B1"/>
    <w:rsid w:val="0030756D"/>
    <w:rsid w:val="00375EB6"/>
    <w:rsid w:val="003B6143"/>
    <w:rsid w:val="004217D6"/>
    <w:rsid w:val="00422C11"/>
    <w:rsid w:val="00482D37"/>
    <w:rsid w:val="00532161"/>
    <w:rsid w:val="005D6CAE"/>
    <w:rsid w:val="00632FF4"/>
    <w:rsid w:val="006C234E"/>
    <w:rsid w:val="006C6773"/>
    <w:rsid w:val="006C6FC1"/>
    <w:rsid w:val="006F0A02"/>
    <w:rsid w:val="00762996"/>
    <w:rsid w:val="008104B7"/>
    <w:rsid w:val="00892E55"/>
    <w:rsid w:val="0091405A"/>
    <w:rsid w:val="00973B56"/>
    <w:rsid w:val="009E32E8"/>
    <w:rsid w:val="00A34625"/>
    <w:rsid w:val="00A97A35"/>
    <w:rsid w:val="00AC5DB4"/>
    <w:rsid w:val="00AE2DA6"/>
    <w:rsid w:val="00B3650C"/>
    <w:rsid w:val="00B533E6"/>
    <w:rsid w:val="00B57A5D"/>
    <w:rsid w:val="00B92A54"/>
    <w:rsid w:val="00BA61B7"/>
    <w:rsid w:val="00BC7E7B"/>
    <w:rsid w:val="00C86528"/>
    <w:rsid w:val="00CA6BAE"/>
    <w:rsid w:val="00CB4040"/>
    <w:rsid w:val="00CE43A9"/>
    <w:rsid w:val="00D4106A"/>
    <w:rsid w:val="00D53274"/>
    <w:rsid w:val="00E42C29"/>
    <w:rsid w:val="00E4325E"/>
    <w:rsid w:val="00E43D66"/>
    <w:rsid w:val="00E67F77"/>
    <w:rsid w:val="00EA1057"/>
    <w:rsid w:val="00ED21C3"/>
    <w:rsid w:val="00F1624A"/>
    <w:rsid w:val="00FA6709"/>
    <w:rsid w:val="00FF43EA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B949"/>
  <w15:chartTrackingRefBased/>
  <w15:docId w15:val="{73949B46-2977-4BE9-AA58-38F91602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0756D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43A9"/>
    <w:pPr>
      <w:tabs>
        <w:tab w:val="right" w:leader="dot" w:pos="9016"/>
      </w:tabs>
      <w:spacing w:after="100"/>
    </w:pPr>
    <w:rPr>
      <w:noProof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075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75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0756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A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69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69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69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9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9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19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Goh</dc:creator>
  <cp:keywords/>
  <dc:description/>
  <cp:lastModifiedBy>Evelyn Goh</cp:lastModifiedBy>
  <cp:revision>29</cp:revision>
  <dcterms:created xsi:type="dcterms:W3CDTF">2024-09-29T11:48:00Z</dcterms:created>
  <dcterms:modified xsi:type="dcterms:W3CDTF">2024-10-06T12:26:00Z</dcterms:modified>
</cp:coreProperties>
</file>