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50C0" w14:textId="77777777" w:rsidR="00A00076" w:rsidRPr="00A169F0" w:rsidRDefault="00000000">
      <w:pPr>
        <w:pStyle w:val="Title"/>
        <w:rPr>
          <w:rFonts w:ascii="Aptos Light" w:hAnsi="Aptos Light"/>
          <w:b/>
          <w:bCs/>
        </w:rPr>
      </w:pPr>
      <w:r w:rsidRPr="00A169F0">
        <w:rPr>
          <w:rFonts w:ascii="Aptos Light" w:hAnsi="Aptos Light"/>
          <w:b/>
          <w:bCs/>
        </w:rPr>
        <w:t>Inter-Annotator Agreement Report</w:t>
      </w:r>
    </w:p>
    <w:p w14:paraId="343897C3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  <w:b/>
          <w:bCs/>
        </w:rPr>
        <w:t>FSD In-Cabin Text Safety Dataset:</w:t>
      </w:r>
      <w:r w:rsidRPr="00A169F0">
        <w:rPr>
          <w:rFonts w:ascii="Aptos Light" w:hAnsi="Aptos Light"/>
        </w:rPr>
        <w:t xml:space="preserve"> Sensitive Data Detection and Model Evaluation</w:t>
      </w:r>
    </w:p>
    <w:p w14:paraId="7A22EEA6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  <w:b/>
          <w:bCs/>
        </w:rPr>
        <w:t>Document type:</w:t>
      </w:r>
      <w:r w:rsidRPr="00A169F0">
        <w:rPr>
          <w:rFonts w:ascii="Aptos Light" w:hAnsi="Aptos Light"/>
        </w:rPr>
        <w:t xml:space="preserve"> Data Quality Manager review packet | </w:t>
      </w:r>
      <w:r w:rsidRPr="00A169F0">
        <w:rPr>
          <w:rFonts w:ascii="Aptos Light" w:hAnsi="Aptos Light"/>
          <w:b/>
          <w:bCs/>
        </w:rPr>
        <w:t>Dataset:</w:t>
      </w:r>
      <w:r w:rsidRPr="00A169F0">
        <w:rPr>
          <w:rFonts w:ascii="Aptos Light" w:hAnsi="Aptos Light"/>
        </w:rPr>
        <w:t xml:space="preserve"> 100 dummy text records | </w:t>
      </w:r>
      <w:r w:rsidRPr="00A169F0">
        <w:rPr>
          <w:rFonts w:ascii="Aptos Light" w:hAnsi="Aptos Light"/>
          <w:b/>
          <w:bCs/>
        </w:rPr>
        <w:t>Labels:</w:t>
      </w:r>
      <w:r w:rsidRPr="00A169F0">
        <w:rPr>
          <w:rFonts w:ascii="Aptos Light" w:hAnsi="Aptos Light"/>
        </w:rPr>
        <w:t xml:space="preserve"> SENSITIVE / NON_SENSITIVE | </w:t>
      </w:r>
      <w:r w:rsidRPr="00A169F0">
        <w:rPr>
          <w:rFonts w:ascii="Aptos Light" w:hAnsi="Aptos Light"/>
          <w:b/>
          <w:bCs/>
        </w:rPr>
        <w:t>Date:</w:t>
      </w:r>
      <w:r w:rsidRPr="00A169F0">
        <w:rPr>
          <w:rFonts w:ascii="Aptos Light" w:hAnsi="Aptos Light"/>
        </w:rPr>
        <w:t xml:space="preserve"> May 2026</w:t>
      </w:r>
    </w:p>
    <w:p w14:paraId="292A5C34" w14:textId="77777777" w:rsidR="00A00076" w:rsidRPr="00A169F0" w:rsidRDefault="00000000">
      <w:pPr>
        <w:pStyle w:val="Heading1"/>
        <w:rPr>
          <w:rFonts w:ascii="Aptos Light" w:hAnsi="Aptos Light"/>
          <w:b w:val="0"/>
          <w:bCs w:val="0"/>
        </w:rPr>
      </w:pPr>
      <w:r w:rsidRPr="00A169F0">
        <w:rPr>
          <w:rFonts w:ascii="Aptos Light" w:hAnsi="Aptos Light"/>
          <w:b w:val="0"/>
          <w:bCs w:val="0"/>
        </w:rPr>
        <w:t>1. Executive Summary</w:t>
      </w:r>
    </w:p>
    <w:p w14:paraId="59200125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</w:rPr>
        <w:t xml:space="preserve">Three reviewers independently labeled </w:t>
      </w:r>
      <w:r w:rsidRPr="00A169F0">
        <w:rPr>
          <w:rFonts w:ascii="Aptos Light" w:hAnsi="Aptos Light"/>
          <w:b/>
          <w:bCs/>
        </w:rPr>
        <w:t>100</w:t>
      </w:r>
      <w:r w:rsidRPr="00A169F0">
        <w:rPr>
          <w:rFonts w:ascii="Aptos Light" w:hAnsi="Aptos Light"/>
        </w:rPr>
        <w:t xml:space="preserve"> in-cabin text samples for sensitive-content detection. Mean pairwise Cohen kappa was </w:t>
      </w:r>
      <w:r w:rsidRPr="00A169F0">
        <w:rPr>
          <w:rFonts w:ascii="Aptos Light" w:hAnsi="Aptos Light"/>
          <w:b/>
          <w:bCs/>
        </w:rPr>
        <w:t>0.426</w:t>
      </w:r>
      <w:r w:rsidRPr="00A169F0">
        <w:rPr>
          <w:rFonts w:ascii="Aptos Light" w:hAnsi="Aptos Light"/>
        </w:rPr>
        <w:t xml:space="preserve">; Fleiss kappa across all three raters was </w:t>
      </w:r>
      <w:r w:rsidRPr="00A169F0">
        <w:rPr>
          <w:rFonts w:ascii="Aptos Light" w:hAnsi="Aptos Light"/>
          <w:b/>
          <w:bCs/>
        </w:rPr>
        <w:t>0.426</w:t>
      </w:r>
      <w:r w:rsidRPr="00A169F0">
        <w:rPr>
          <w:rFonts w:ascii="Aptos Light" w:hAnsi="Aptos Light"/>
        </w:rPr>
        <w:t>. Agreement is in the moderate range, which is acceptable for pilot calibration but requires targeted review of threat-language, credentials, and quoted/third-party sensitive content before scaling.</w:t>
      </w:r>
    </w:p>
    <w:p w14:paraId="3BD8C281" w14:textId="77777777" w:rsidR="00A00076" w:rsidRPr="00A169F0" w:rsidRDefault="00000000">
      <w:pPr>
        <w:pStyle w:val="Heading1"/>
        <w:rPr>
          <w:rFonts w:ascii="Aptos Light" w:hAnsi="Aptos Light"/>
          <w:b w:val="0"/>
          <w:bCs w:val="0"/>
        </w:rPr>
      </w:pPr>
      <w:r w:rsidRPr="00A169F0">
        <w:rPr>
          <w:rFonts w:ascii="Aptos Light" w:hAnsi="Aptos Light"/>
          <w:b w:val="0"/>
          <w:bCs w:val="0"/>
        </w:rPr>
        <w:t>2. Reviewer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00076" w:rsidRPr="00A169F0" w14:paraId="73586996" w14:textId="77777777">
        <w:trPr>
          <w:jc w:val="center"/>
        </w:trPr>
        <w:tc>
          <w:tcPr>
            <w:tcW w:w="3456" w:type="dxa"/>
            <w:shd w:val="clear" w:color="auto" w:fill="1F4E78"/>
          </w:tcPr>
          <w:p w14:paraId="05AAB572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Reviewer</w:t>
            </w:r>
          </w:p>
        </w:tc>
        <w:tc>
          <w:tcPr>
            <w:tcW w:w="3456" w:type="dxa"/>
            <w:shd w:val="clear" w:color="auto" w:fill="1F4E78"/>
          </w:tcPr>
          <w:p w14:paraId="00FF7D15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Role in Review</w:t>
            </w:r>
          </w:p>
        </w:tc>
        <w:tc>
          <w:tcPr>
            <w:tcW w:w="3456" w:type="dxa"/>
            <w:shd w:val="clear" w:color="auto" w:fill="1F4E78"/>
          </w:tcPr>
          <w:p w14:paraId="646E379D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Primary Lens</w:t>
            </w:r>
          </w:p>
        </w:tc>
      </w:tr>
      <w:tr w:rsidR="00A00076" w:rsidRPr="00A169F0" w14:paraId="7A04541E" w14:textId="77777777">
        <w:trPr>
          <w:jc w:val="center"/>
        </w:trPr>
        <w:tc>
          <w:tcPr>
            <w:tcW w:w="3456" w:type="dxa"/>
          </w:tcPr>
          <w:p w14:paraId="21D785D9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Lex Milana</w:t>
            </w:r>
          </w:p>
        </w:tc>
        <w:tc>
          <w:tcPr>
            <w:tcW w:w="3456" w:type="dxa"/>
          </w:tcPr>
          <w:p w14:paraId="64368DF4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Lead analyst / gold-label owner</w:t>
            </w:r>
          </w:p>
        </w:tc>
        <w:tc>
          <w:tcPr>
            <w:tcW w:w="3456" w:type="dxa"/>
          </w:tcPr>
          <w:p w14:paraId="1BF0A55B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Data quality, policy consistency, adjudication rationale</w:t>
            </w:r>
          </w:p>
        </w:tc>
      </w:tr>
      <w:tr w:rsidR="00A00076" w:rsidRPr="00A169F0" w14:paraId="5DC82A89" w14:textId="77777777">
        <w:trPr>
          <w:jc w:val="center"/>
        </w:trPr>
        <w:tc>
          <w:tcPr>
            <w:tcW w:w="3456" w:type="dxa"/>
          </w:tcPr>
          <w:p w14:paraId="131C0EB8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Maya Chen</w:t>
            </w:r>
          </w:p>
        </w:tc>
        <w:tc>
          <w:tcPr>
            <w:tcW w:w="3456" w:type="dxa"/>
          </w:tcPr>
          <w:p w14:paraId="366D5A13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ML data operations analyst</w:t>
            </w:r>
          </w:p>
        </w:tc>
        <w:tc>
          <w:tcPr>
            <w:tcW w:w="3456" w:type="dxa"/>
          </w:tcPr>
          <w:p w14:paraId="1C254B58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Annotation guideline adherence, edge-case tagging</w:t>
            </w:r>
          </w:p>
        </w:tc>
      </w:tr>
      <w:tr w:rsidR="00A00076" w:rsidRPr="00A169F0" w14:paraId="39AF279F" w14:textId="77777777">
        <w:trPr>
          <w:jc w:val="center"/>
        </w:trPr>
        <w:tc>
          <w:tcPr>
            <w:tcW w:w="3456" w:type="dxa"/>
          </w:tcPr>
          <w:p w14:paraId="6314B31E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Rafael Ortiz</w:t>
            </w:r>
          </w:p>
        </w:tc>
        <w:tc>
          <w:tcPr>
            <w:tcW w:w="3456" w:type="dxa"/>
          </w:tcPr>
          <w:p w14:paraId="2C286E93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Trust &amp; Safety QA analyst</w:t>
            </w:r>
          </w:p>
        </w:tc>
        <w:tc>
          <w:tcPr>
            <w:tcW w:w="3456" w:type="dxa"/>
          </w:tcPr>
          <w:p w14:paraId="2626CDBA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Safety risk, escalation triggers, harmful-content sensitivity</w:t>
            </w:r>
          </w:p>
        </w:tc>
      </w:tr>
    </w:tbl>
    <w:p w14:paraId="0F8FCA71" w14:textId="77777777" w:rsidR="00A00076" w:rsidRPr="00A169F0" w:rsidRDefault="00000000">
      <w:pPr>
        <w:pStyle w:val="Heading1"/>
        <w:rPr>
          <w:rFonts w:ascii="Aptos Light" w:hAnsi="Aptos Light"/>
          <w:b w:val="0"/>
          <w:bCs w:val="0"/>
        </w:rPr>
      </w:pPr>
      <w:r w:rsidRPr="00A169F0">
        <w:rPr>
          <w:rFonts w:ascii="Aptos Light" w:hAnsi="Aptos Light"/>
          <w:b w:val="0"/>
          <w:bCs w:val="0"/>
        </w:rPr>
        <w:t>3. Cohen Kappa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A00076" w:rsidRPr="00A169F0" w14:paraId="144E1DC7" w14:textId="77777777">
        <w:trPr>
          <w:jc w:val="center"/>
        </w:trPr>
        <w:tc>
          <w:tcPr>
            <w:tcW w:w="1728" w:type="dxa"/>
            <w:shd w:val="clear" w:color="auto" w:fill="1F4E78"/>
          </w:tcPr>
          <w:p w14:paraId="1A561610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Reviewer A</w:t>
            </w:r>
          </w:p>
        </w:tc>
        <w:tc>
          <w:tcPr>
            <w:tcW w:w="1728" w:type="dxa"/>
            <w:shd w:val="clear" w:color="auto" w:fill="1F4E78"/>
          </w:tcPr>
          <w:p w14:paraId="73992273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Reviewer B</w:t>
            </w:r>
          </w:p>
        </w:tc>
        <w:tc>
          <w:tcPr>
            <w:tcW w:w="1728" w:type="dxa"/>
            <w:shd w:val="clear" w:color="auto" w:fill="1F4E78"/>
          </w:tcPr>
          <w:p w14:paraId="54CB9049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Observed Agreement</w:t>
            </w:r>
          </w:p>
        </w:tc>
        <w:tc>
          <w:tcPr>
            <w:tcW w:w="1728" w:type="dxa"/>
            <w:shd w:val="clear" w:color="auto" w:fill="1F4E78"/>
          </w:tcPr>
          <w:p w14:paraId="206B19C3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Expected Agreement</w:t>
            </w:r>
          </w:p>
        </w:tc>
        <w:tc>
          <w:tcPr>
            <w:tcW w:w="1728" w:type="dxa"/>
            <w:shd w:val="clear" w:color="auto" w:fill="1F4E78"/>
          </w:tcPr>
          <w:p w14:paraId="47C80E21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Kappa</w:t>
            </w:r>
          </w:p>
        </w:tc>
        <w:tc>
          <w:tcPr>
            <w:tcW w:w="1728" w:type="dxa"/>
            <w:shd w:val="clear" w:color="auto" w:fill="1F4E78"/>
          </w:tcPr>
          <w:p w14:paraId="60D2DBFB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Interpretation</w:t>
            </w:r>
          </w:p>
        </w:tc>
      </w:tr>
      <w:tr w:rsidR="00A00076" w:rsidRPr="00A169F0" w14:paraId="039BA687" w14:textId="77777777">
        <w:trPr>
          <w:jc w:val="center"/>
        </w:trPr>
        <w:tc>
          <w:tcPr>
            <w:tcW w:w="1728" w:type="dxa"/>
          </w:tcPr>
          <w:p w14:paraId="13D91CDC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Lex Milana</w:t>
            </w:r>
          </w:p>
        </w:tc>
        <w:tc>
          <w:tcPr>
            <w:tcW w:w="1728" w:type="dxa"/>
          </w:tcPr>
          <w:p w14:paraId="0B34D4EE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Maya Chen</w:t>
            </w:r>
          </w:p>
        </w:tc>
        <w:tc>
          <w:tcPr>
            <w:tcW w:w="1728" w:type="dxa"/>
          </w:tcPr>
          <w:p w14:paraId="04D95A00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0.760</w:t>
            </w:r>
          </w:p>
        </w:tc>
        <w:tc>
          <w:tcPr>
            <w:tcW w:w="1728" w:type="dxa"/>
          </w:tcPr>
          <w:p w14:paraId="215E5392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0.499</w:t>
            </w:r>
          </w:p>
        </w:tc>
        <w:tc>
          <w:tcPr>
            <w:tcW w:w="1728" w:type="dxa"/>
          </w:tcPr>
          <w:p w14:paraId="3AB8C9E7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0.521</w:t>
            </w:r>
          </w:p>
        </w:tc>
        <w:tc>
          <w:tcPr>
            <w:tcW w:w="1728" w:type="dxa"/>
          </w:tcPr>
          <w:p w14:paraId="5E266FCB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Moderate</w:t>
            </w:r>
          </w:p>
        </w:tc>
      </w:tr>
      <w:tr w:rsidR="00A00076" w:rsidRPr="00A169F0" w14:paraId="042D9F69" w14:textId="77777777">
        <w:trPr>
          <w:jc w:val="center"/>
        </w:trPr>
        <w:tc>
          <w:tcPr>
            <w:tcW w:w="1728" w:type="dxa"/>
          </w:tcPr>
          <w:p w14:paraId="05502C1D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Lex Milana</w:t>
            </w:r>
          </w:p>
        </w:tc>
        <w:tc>
          <w:tcPr>
            <w:tcW w:w="1728" w:type="dxa"/>
          </w:tcPr>
          <w:p w14:paraId="6FB9084F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Rafael Ortiz</w:t>
            </w:r>
          </w:p>
        </w:tc>
        <w:tc>
          <w:tcPr>
            <w:tcW w:w="1728" w:type="dxa"/>
          </w:tcPr>
          <w:p w14:paraId="2880AC3F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0.700</w:t>
            </w:r>
          </w:p>
        </w:tc>
        <w:tc>
          <w:tcPr>
            <w:tcW w:w="1728" w:type="dxa"/>
          </w:tcPr>
          <w:p w14:paraId="6B5CB5CA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0.502</w:t>
            </w:r>
          </w:p>
        </w:tc>
        <w:tc>
          <w:tcPr>
            <w:tcW w:w="1728" w:type="dxa"/>
          </w:tcPr>
          <w:p w14:paraId="5EB6FC78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0.398</w:t>
            </w:r>
          </w:p>
        </w:tc>
        <w:tc>
          <w:tcPr>
            <w:tcW w:w="1728" w:type="dxa"/>
          </w:tcPr>
          <w:p w14:paraId="2D006BA0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Fair</w:t>
            </w:r>
          </w:p>
        </w:tc>
      </w:tr>
      <w:tr w:rsidR="00A00076" w:rsidRPr="00A169F0" w14:paraId="4F6EC7BD" w14:textId="77777777">
        <w:trPr>
          <w:jc w:val="center"/>
        </w:trPr>
        <w:tc>
          <w:tcPr>
            <w:tcW w:w="1728" w:type="dxa"/>
          </w:tcPr>
          <w:p w14:paraId="65494128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Maya Chen</w:t>
            </w:r>
          </w:p>
        </w:tc>
        <w:tc>
          <w:tcPr>
            <w:tcW w:w="1728" w:type="dxa"/>
          </w:tcPr>
          <w:p w14:paraId="46557658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Rafael Ortiz</w:t>
            </w:r>
          </w:p>
        </w:tc>
        <w:tc>
          <w:tcPr>
            <w:tcW w:w="1728" w:type="dxa"/>
          </w:tcPr>
          <w:p w14:paraId="57A9ED80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0.680</w:t>
            </w:r>
          </w:p>
        </w:tc>
        <w:tc>
          <w:tcPr>
            <w:tcW w:w="1728" w:type="dxa"/>
          </w:tcPr>
          <w:p w14:paraId="2D09380B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0.499</w:t>
            </w:r>
          </w:p>
        </w:tc>
        <w:tc>
          <w:tcPr>
            <w:tcW w:w="1728" w:type="dxa"/>
          </w:tcPr>
          <w:p w14:paraId="55B7D117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0.361</w:t>
            </w:r>
          </w:p>
        </w:tc>
        <w:tc>
          <w:tcPr>
            <w:tcW w:w="1728" w:type="dxa"/>
          </w:tcPr>
          <w:p w14:paraId="07DD4A0F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Fair</w:t>
            </w:r>
          </w:p>
        </w:tc>
      </w:tr>
      <w:tr w:rsidR="00A00076" w:rsidRPr="00A169F0" w14:paraId="6275E574" w14:textId="77777777">
        <w:trPr>
          <w:jc w:val="center"/>
        </w:trPr>
        <w:tc>
          <w:tcPr>
            <w:tcW w:w="1728" w:type="dxa"/>
          </w:tcPr>
          <w:p w14:paraId="67F17087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All 3 raters</w:t>
            </w:r>
          </w:p>
        </w:tc>
        <w:tc>
          <w:tcPr>
            <w:tcW w:w="1728" w:type="dxa"/>
          </w:tcPr>
          <w:p w14:paraId="3476E733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Fleiss kappa</w:t>
            </w:r>
          </w:p>
        </w:tc>
        <w:tc>
          <w:tcPr>
            <w:tcW w:w="1728" w:type="dxa"/>
          </w:tcPr>
          <w:p w14:paraId="5090688B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0.713</w:t>
            </w:r>
          </w:p>
        </w:tc>
        <w:tc>
          <w:tcPr>
            <w:tcW w:w="1728" w:type="dxa"/>
          </w:tcPr>
          <w:p w14:paraId="4F076E3E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0.501</w:t>
            </w:r>
          </w:p>
        </w:tc>
        <w:tc>
          <w:tcPr>
            <w:tcW w:w="1728" w:type="dxa"/>
          </w:tcPr>
          <w:p w14:paraId="6B1D20E1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0.426</w:t>
            </w:r>
          </w:p>
        </w:tc>
        <w:tc>
          <w:tcPr>
            <w:tcW w:w="1728" w:type="dxa"/>
          </w:tcPr>
          <w:p w14:paraId="57834834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Moderate</w:t>
            </w:r>
          </w:p>
        </w:tc>
      </w:tr>
    </w:tbl>
    <w:p w14:paraId="5FF088ED" w14:textId="77777777" w:rsidR="00A00076" w:rsidRPr="00A169F0" w:rsidRDefault="00000000">
      <w:pPr>
        <w:pStyle w:val="Heading1"/>
        <w:rPr>
          <w:rFonts w:ascii="Aptos Light" w:hAnsi="Aptos Light"/>
          <w:b w:val="0"/>
          <w:bCs w:val="0"/>
        </w:rPr>
      </w:pPr>
      <w:r w:rsidRPr="00A169F0">
        <w:rPr>
          <w:rFonts w:ascii="Aptos Light" w:hAnsi="Aptos Light"/>
          <w:b w:val="0"/>
          <w:bCs w:val="0"/>
        </w:rPr>
        <w:t>4. What Cohen Kappa Means</w:t>
      </w:r>
    </w:p>
    <w:p w14:paraId="29C1DA9E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</w:rPr>
        <w:t>Cohen's Kappa measures agreement between two annotators after removing agreement expected by chance. A simple percent agreement score can look inflated when labels are imbalanced. Kappa is better for production data-quality review because it asks whether reviewers are making the same judgment for the same reason, not merely landing on the same dominant label.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00076" w:rsidRPr="00A169F0" w14:paraId="0992A97B" w14:textId="77777777">
        <w:trPr>
          <w:jc w:val="center"/>
        </w:trPr>
        <w:tc>
          <w:tcPr>
            <w:tcW w:w="3456" w:type="dxa"/>
            <w:shd w:val="clear" w:color="auto" w:fill="1F4E78"/>
          </w:tcPr>
          <w:p w14:paraId="0CECB62B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Kappa Range</w:t>
            </w:r>
          </w:p>
        </w:tc>
        <w:tc>
          <w:tcPr>
            <w:tcW w:w="3456" w:type="dxa"/>
            <w:shd w:val="clear" w:color="auto" w:fill="1F4E78"/>
          </w:tcPr>
          <w:p w14:paraId="70155022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Typical Interpretation</w:t>
            </w:r>
          </w:p>
        </w:tc>
        <w:tc>
          <w:tcPr>
            <w:tcW w:w="3456" w:type="dxa"/>
            <w:shd w:val="clear" w:color="auto" w:fill="1F4E78"/>
          </w:tcPr>
          <w:p w14:paraId="7CB0113F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Operational Meaning</w:t>
            </w:r>
          </w:p>
        </w:tc>
      </w:tr>
      <w:tr w:rsidR="00A00076" w:rsidRPr="00A169F0" w14:paraId="57CED0D7" w14:textId="77777777">
        <w:trPr>
          <w:jc w:val="center"/>
        </w:trPr>
        <w:tc>
          <w:tcPr>
            <w:tcW w:w="3456" w:type="dxa"/>
          </w:tcPr>
          <w:p w14:paraId="5A7C9672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&lt; 0.00</w:t>
            </w:r>
          </w:p>
        </w:tc>
        <w:tc>
          <w:tcPr>
            <w:tcW w:w="3456" w:type="dxa"/>
          </w:tcPr>
          <w:p w14:paraId="78A4672E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Poor</w:t>
            </w:r>
          </w:p>
        </w:tc>
        <w:tc>
          <w:tcPr>
            <w:tcW w:w="3456" w:type="dxa"/>
          </w:tcPr>
          <w:p w14:paraId="561752C2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Guidelines are failing or reviewers are not calibrated.</w:t>
            </w:r>
          </w:p>
        </w:tc>
      </w:tr>
      <w:tr w:rsidR="00A00076" w:rsidRPr="00A169F0" w14:paraId="307B8E74" w14:textId="77777777">
        <w:trPr>
          <w:jc w:val="center"/>
        </w:trPr>
        <w:tc>
          <w:tcPr>
            <w:tcW w:w="3456" w:type="dxa"/>
          </w:tcPr>
          <w:p w14:paraId="342EA551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0.00 - 0.20</w:t>
            </w:r>
          </w:p>
        </w:tc>
        <w:tc>
          <w:tcPr>
            <w:tcW w:w="3456" w:type="dxa"/>
          </w:tcPr>
          <w:p w14:paraId="7C88ECC3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Slight</w:t>
            </w:r>
          </w:p>
        </w:tc>
        <w:tc>
          <w:tcPr>
            <w:tcW w:w="3456" w:type="dxa"/>
          </w:tcPr>
          <w:p w14:paraId="2BEFFAF7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Do not scale. Redesign instructions.</w:t>
            </w:r>
          </w:p>
        </w:tc>
      </w:tr>
      <w:tr w:rsidR="00A00076" w:rsidRPr="00A169F0" w14:paraId="727E89CB" w14:textId="77777777">
        <w:trPr>
          <w:jc w:val="center"/>
        </w:trPr>
        <w:tc>
          <w:tcPr>
            <w:tcW w:w="3456" w:type="dxa"/>
          </w:tcPr>
          <w:p w14:paraId="0F14BEE0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0.21 - 0.40</w:t>
            </w:r>
          </w:p>
        </w:tc>
        <w:tc>
          <w:tcPr>
            <w:tcW w:w="3456" w:type="dxa"/>
          </w:tcPr>
          <w:p w14:paraId="29EB5CD6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Fair</w:t>
            </w:r>
          </w:p>
        </w:tc>
        <w:tc>
          <w:tcPr>
            <w:tcW w:w="3456" w:type="dxa"/>
          </w:tcPr>
          <w:p w14:paraId="45553FD4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Pilot only. Heavy adjudication required.</w:t>
            </w:r>
          </w:p>
        </w:tc>
      </w:tr>
      <w:tr w:rsidR="00A00076" w:rsidRPr="00A169F0" w14:paraId="6F577C8C" w14:textId="77777777">
        <w:trPr>
          <w:jc w:val="center"/>
        </w:trPr>
        <w:tc>
          <w:tcPr>
            <w:tcW w:w="3456" w:type="dxa"/>
          </w:tcPr>
          <w:p w14:paraId="7B793285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0.41 - 0.60</w:t>
            </w:r>
          </w:p>
        </w:tc>
        <w:tc>
          <w:tcPr>
            <w:tcW w:w="3456" w:type="dxa"/>
          </w:tcPr>
          <w:p w14:paraId="7394093B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Moderate</w:t>
            </w:r>
          </w:p>
        </w:tc>
        <w:tc>
          <w:tcPr>
            <w:tcW w:w="3456" w:type="dxa"/>
          </w:tcPr>
          <w:p w14:paraId="11331273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Acceptable for early iteration, not production-ready.</w:t>
            </w:r>
          </w:p>
        </w:tc>
      </w:tr>
      <w:tr w:rsidR="00A00076" w:rsidRPr="00A169F0" w14:paraId="3CCC7800" w14:textId="77777777">
        <w:trPr>
          <w:jc w:val="center"/>
        </w:trPr>
        <w:tc>
          <w:tcPr>
            <w:tcW w:w="3456" w:type="dxa"/>
          </w:tcPr>
          <w:p w14:paraId="0A51FE99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0.61 - 0.80</w:t>
            </w:r>
          </w:p>
        </w:tc>
        <w:tc>
          <w:tcPr>
            <w:tcW w:w="3456" w:type="dxa"/>
          </w:tcPr>
          <w:p w14:paraId="06A0F11A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Substantial</w:t>
            </w:r>
          </w:p>
        </w:tc>
        <w:tc>
          <w:tcPr>
            <w:tcW w:w="3456" w:type="dxa"/>
          </w:tcPr>
          <w:p w14:paraId="674E2ACA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Good candidate for scaled labeling after edge-case review.</w:t>
            </w:r>
          </w:p>
        </w:tc>
      </w:tr>
      <w:tr w:rsidR="00A00076" w:rsidRPr="00A169F0" w14:paraId="78ED5D68" w14:textId="77777777">
        <w:trPr>
          <w:jc w:val="center"/>
        </w:trPr>
        <w:tc>
          <w:tcPr>
            <w:tcW w:w="3456" w:type="dxa"/>
          </w:tcPr>
          <w:p w14:paraId="0B247211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0.81 - 1.00</w:t>
            </w:r>
          </w:p>
        </w:tc>
        <w:tc>
          <w:tcPr>
            <w:tcW w:w="3456" w:type="dxa"/>
          </w:tcPr>
          <w:p w14:paraId="1038B664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Almost perfect</w:t>
            </w:r>
          </w:p>
        </w:tc>
        <w:tc>
          <w:tcPr>
            <w:tcW w:w="3456" w:type="dxa"/>
          </w:tcPr>
          <w:p w14:paraId="6AB9E75A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Strong agreement. Monitor drift and continue QA sampling.</w:t>
            </w:r>
          </w:p>
        </w:tc>
      </w:tr>
    </w:tbl>
    <w:p w14:paraId="45254655" w14:textId="77777777" w:rsidR="00A00076" w:rsidRPr="00A169F0" w:rsidRDefault="00000000">
      <w:pPr>
        <w:pStyle w:val="Heading1"/>
        <w:rPr>
          <w:rFonts w:ascii="Aptos Light" w:hAnsi="Aptos Light"/>
          <w:b w:val="0"/>
          <w:bCs w:val="0"/>
        </w:rPr>
      </w:pPr>
      <w:r w:rsidRPr="00A169F0">
        <w:rPr>
          <w:rFonts w:ascii="Aptos Light" w:hAnsi="Aptos Light"/>
          <w:b w:val="0"/>
          <w:bCs w:val="0"/>
        </w:rPr>
        <w:t>5. Analyst Review Comments</w:t>
      </w:r>
    </w:p>
    <w:p w14:paraId="420805C4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  <w:b/>
          <w:bCs/>
        </w:rPr>
        <w:t>Lex Milana:</w:t>
      </w:r>
      <w:r w:rsidRPr="00A169F0">
        <w:rPr>
          <w:rFonts w:ascii="Aptos Light" w:hAnsi="Aptos Light"/>
        </w:rPr>
        <w:t xml:space="preserve"> The most important quality issue is not basic PII recognition. The weak point is ambiguous intent: joking threats, quoted harmful content, and third-party sensitive data. I recommend preserving a safety-first policy for threat language and making the rationale column mandatory for all edge-case samples.</w:t>
      </w:r>
    </w:p>
    <w:p w14:paraId="48D216B4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  <w:b/>
          <w:bCs/>
        </w:rPr>
        <w:t>Maya Chen:</w:t>
      </w:r>
      <w:r w:rsidRPr="00A169F0">
        <w:rPr>
          <w:rFonts w:ascii="Aptos Light" w:hAnsi="Aptos Light"/>
        </w:rPr>
        <w:t xml:space="preserve"> Several disagreements came from samples where the text contained a sensitive token but the user intent was routine. I recommend adding category-specific examples for credentials, medical content, and violent-language jokes so reviewers can distinguish context from surface keywords.</w:t>
      </w:r>
    </w:p>
    <w:p w14:paraId="3EBDE3D0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  <w:b/>
          <w:bCs/>
        </w:rPr>
        <w:t>Rafael Ortiz:</w:t>
      </w:r>
      <w:r w:rsidRPr="00A169F0">
        <w:rPr>
          <w:rFonts w:ascii="Aptos Light" w:hAnsi="Aptos Light"/>
        </w:rPr>
        <w:t xml:space="preserve"> For FSD-adjacent safety systems, false negatives are more damaging than false positives. I would rather over-escalate a small percentage of benign text than allow privacy data or threats to pass through as non-sensitive. However, repeated false positives on routine commands should be sliced separately so the assistant does not become annoying or unusable.</w:t>
      </w:r>
    </w:p>
    <w:p w14:paraId="15D97609" w14:textId="77777777" w:rsidR="00A00076" w:rsidRPr="00A169F0" w:rsidRDefault="00000000">
      <w:pPr>
        <w:pStyle w:val="Heading1"/>
        <w:rPr>
          <w:rFonts w:ascii="Aptos Light" w:hAnsi="Aptos Light"/>
          <w:b w:val="0"/>
          <w:bCs w:val="0"/>
        </w:rPr>
      </w:pPr>
      <w:r w:rsidRPr="00A169F0">
        <w:rPr>
          <w:rFonts w:ascii="Aptos Light" w:hAnsi="Aptos Light"/>
          <w:b w:val="0"/>
          <w:bCs w:val="0"/>
        </w:rPr>
        <w:t>6. Disagreement Examples and Adjudication</w:t>
      </w:r>
    </w:p>
    <w:p w14:paraId="5291F815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</w:rPr>
        <w:lastRenderedPageBreak/>
        <w:t>R003: "I'm gonna kill that guy (joking)"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00076" w:rsidRPr="00A169F0" w14:paraId="0876C065" w14:textId="77777777">
        <w:trPr>
          <w:jc w:val="center"/>
        </w:trPr>
        <w:tc>
          <w:tcPr>
            <w:tcW w:w="2074" w:type="dxa"/>
            <w:shd w:val="clear" w:color="auto" w:fill="1F4E78"/>
          </w:tcPr>
          <w:p w14:paraId="44E71C0A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Lex</w:t>
            </w:r>
          </w:p>
        </w:tc>
        <w:tc>
          <w:tcPr>
            <w:tcW w:w="2074" w:type="dxa"/>
            <w:shd w:val="clear" w:color="auto" w:fill="1F4E78"/>
          </w:tcPr>
          <w:p w14:paraId="712B8060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Maya</w:t>
            </w:r>
          </w:p>
        </w:tc>
        <w:tc>
          <w:tcPr>
            <w:tcW w:w="2074" w:type="dxa"/>
            <w:shd w:val="clear" w:color="auto" w:fill="1F4E78"/>
          </w:tcPr>
          <w:p w14:paraId="2CE8CD6D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Rafael</w:t>
            </w:r>
          </w:p>
        </w:tc>
        <w:tc>
          <w:tcPr>
            <w:tcW w:w="2074" w:type="dxa"/>
            <w:shd w:val="clear" w:color="auto" w:fill="1F4E78"/>
          </w:tcPr>
          <w:p w14:paraId="7A1D8D4F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Gold Label</w:t>
            </w:r>
          </w:p>
        </w:tc>
        <w:tc>
          <w:tcPr>
            <w:tcW w:w="2074" w:type="dxa"/>
            <w:shd w:val="clear" w:color="auto" w:fill="1F4E78"/>
          </w:tcPr>
          <w:p w14:paraId="5AC3112D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Adjudication Rationale</w:t>
            </w:r>
          </w:p>
        </w:tc>
      </w:tr>
      <w:tr w:rsidR="00A00076" w:rsidRPr="00A169F0" w14:paraId="6C63400C" w14:textId="77777777">
        <w:trPr>
          <w:jc w:val="center"/>
        </w:trPr>
        <w:tc>
          <w:tcPr>
            <w:tcW w:w="2074" w:type="dxa"/>
          </w:tcPr>
          <w:p w14:paraId="4EBF9C63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27DF5690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3E088890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NON_SENSITIVE</w:t>
            </w:r>
          </w:p>
        </w:tc>
        <w:tc>
          <w:tcPr>
            <w:tcW w:w="2074" w:type="dxa"/>
          </w:tcPr>
          <w:p w14:paraId="686BC344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092F086F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Threat language despite joke marker. Safety-first label.</w:t>
            </w:r>
          </w:p>
        </w:tc>
      </w:tr>
    </w:tbl>
    <w:p w14:paraId="369CEF44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</w:rPr>
        <w:t>R007: "My credit card number is 4111 1111 1111 1771 and CVV is 981"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00076" w:rsidRPr="00A169F0" w14:paraId="53C32FCE" w14:textId="77777777">
        <w:trPr>
          <w:jc w:val="center"/>
        </w:trPr>
        <w:tc>
          <w:tcPr>
            <w:tcW w:w="2074" w:type="dxa"/>
            <w:shd w:val="clear" w:color="auto" w:fill="1F4E78"/>
          </w:tcPr>
          <w:p w14:paraId="3D93D48D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Lex</w:t>
            </w:r>
          </w:p>
        </w:tc>
        <w:tc>
          <w:tcPr>
            <w:tcW w:w="2074" w:type="dxa"/>
            <w:shd w:val="clear" w:color="auto" w:fill="1F4E78"/>
          </w:tcPr>
          <w:p w14:paraId="6B4DFEAF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Maya</w:t>
            </w:r>
          </w:p>
        </w:tc>
        <w:tc>
          <w:tcPr>
            <w:tcW w:w="2074" w:type="dxa"/>
            <w:shd w:val="clear" w:color="auto" w:fill="1F4E78"/>
          </w:tcPr>
          <w:p w14:paraId="2A307B22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Rafael</w:t>
            </w:r>
          </w:p>
        </w:tc>
        <w:tc>
          <w:tcPr>
            <w:tcW w:w="2074" w:type="dxa"/>
            <w:shd w:val="clear" w:color="auto" w:fill="1F4E78"/>
          </w:tcPr>
          <w:p w14:paraId="20F08F0F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Gold Label</w:t>
            </w:r>
          </w:p>
        </w:tc>
        <w:tc>
          <w:tcPr>
            <w:tcW w:w="2074" w:type="dxa"/>
            <w:shd w:val="clear" w:color="auto" w:fill="1F4E78"/>
          </w:tcPr>
          <w:p w14:paraId="47AD05C5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Adjudication Rationale</w:t>
            </w:r>
          </w:p>
        </w:tc>
      </w:tr>
      <w:tr w:rsidR="00A00076" w:rsidRPr="00A169F0" w14:paraId="5D0A3D99" w14:textId="77777777">
        <w:trPr>
          <w:jc w:val="center"/>
        </w:trPr>
        <w:tc>
          <w:tcPr>
            <w:tcW w:w="2074" w:type="dxa"/>
          </w:tcPr>
          <w:p w14:paraId="020DD87E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68370767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2223EC04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NON_SENSITIVE</w:t>
            </w:r>
          </w:p>
        </w:tc>
        <w:tc>
          <w:tcPr>
            <w:tcW w:w="2074" w:type="dxa"/>
          </w:tcPr>
          <w:p w14:paraId="572207A7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4F8C8655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Contains pii requiring restricted handling.</w:t>
            </w:r>
          </w:p>
        </w:tc>
      </w:tr>
    </w:tbl>
    <w:p w14:paraId="6CEA04CD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</w:rPr>
        <w:t>R008: "The safe combination is 393077"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00076" w:rsidRPr="00A169F0" w14:paraId="202E4CAD" w14:textId="77777777">
        <w:trPr>
          <w:jc w:val="center"/>
        </w:trPr>
        <w:tc>
          <w:tcPr>
            <w:tcW w:w="2074" w:type="dxa"/>
            <w:shd w:val="clear" w:color="auto" w:fill="1F4E78"/>
          </w:tcPr>
          <w:p w14:paraId="68C70DBA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Lex</w:t>
            </w:r>
          </w:p>
        </w:tc>
        <w:tc>
          <w:tcPr>
            <w:tcW w:w="2074" w:type="dxa"/>
            <w:shd w:val="clear" w:color="auto" w:fill="1F4E78"/>
          </w:tcPr>
          <w:p w14:paraId="37668FEF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Maya</w:t>
            </w:r>
          </w:p>
        </w:tc>
        <w:tc>
          <w:tcPr>
            <w:tcW w:w="2074" w:type="dxa"/>
            <w:shd w:val="clear" w:color="auto" w:fill="1F4E78"/>
          </w:tcPr>
          <w:p w14:paraId="74AC84DC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Rafael</w:t>
            </w:r>
          </w:p>
        </w:tc>
        <w:tc>
          <w:tcPr>
            <w:tcW w:w="2074" w:type="dxa"/>
            <w:shd w:val="clear" w:color="auto" w:fill="1F4E78"/>
          </w:tcPr>
          <w:p w14:paraId="1971DF3D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Gold Label</w:t>
            </w:r>
          </w:p>
        </w:tc>
        <w:tc>
          <w:tcPr>
            <w:tcW w:w="2074" w:type="dxa"/>
            <w:shd w:val="clear" w:color="auto" w:fill="1F4E78"/>
          </w:tcPr>
          <w:p w14:paraId="408DEF9E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Adjudication Rationale</w:t>
            </w:r>
          </w:p>
        </w:tc>
      </w:tr>
      <w:tr w:rsidR="00A00076" w:rsidRPr="00A169F0" w14:paraId="71B08C51" w14:textId="77777777">
        <w:trPr>
          <w:jc w:val="center"/>
        </w:trPr>
        <w:tc>
          <w:tcPr>
            <w:tcW w:w="2074" w:type="dxa"/>
          </w:tcPr>
          <w:p w14:paraId="2B405F3E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NON_SENSITIVE</w:t>
            </w:r>
          </w:p>
        </w:tc>
        <w:tc>
          <w:tcPr>
            <w:tcW w:w="2074" w:type="dxa"/>
          </w:tcPr>
          <w:p w14:paraId="5F92918F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14E6F218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7AE23FB5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54B2FD69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Contains credential requiring restricted handling.</w:t>
            </w:r>
          </w:p>
        </w:tc>
      </w:tr>
    </w:tbl>
    <w:p w14:paraId="1D040433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</w:rPr>
        <w:t>R013: "My medical diagnosis is PTSD"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00076" w:rsidRPr="00A169F0" w14:paraId="2F809864" w14:textId="77777777">
        <w:trPr>
          <w:jc w:val="center"/>
        </w:trPr>
        <w:tc>
          <w:tcPr>
            <w:tcW w:w="2074" w:type="dxa"/>
            <w:shd w:val="clear" w:color="auto" w:fill="1F4E78"/>
          </w:tcPr>
          <w:p w14:paraId="3E21ED46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Lex</w:t>
            </w:r>
          </w:p>
        </w:tc>
        <w:tc>
          <w:tcPr>
            <w:tcW w:w="2074" w:type="dxa"/>
            <w:shd w:val="clear" w:color="auto" w:fill="1F4E78"/>
          </w:tcPr>
          <w:p w14:paraId="36985A9E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Maya</w:t>
            </w:r>
          </w:p>
        </w:tc>
        <w:tc>
          <w:tcPr>
            <w:tcW w:w="2074" w:type="dxa"/>
            <w:shd w:val="clear" w:color="auto" w:fill="1F4E78"/>
          </w:tcPr>
          <w:p w14:paraId="0DD91E1E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Rafael</w:t>
            </w:r>
          </w:p>
        </w:tc>
        <w:tc>
          <w:tcPr>
            <w:tcW w:w="2074" w:type="dxa"/>
            <w:shd w:val="clear" w:color="auto" w:fill="1F4E78"/>
          </w:tcPr>
          <w:p w14:paraId="5D6519A6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Gold Label</w:t>
            </w:r>
          </w:p>
        </w:tc>
        <w:tc>
          <w:tcPr>
            <w:tcW w:w="2074" w:type="dxa"/>
            <w:shd w:val="clear" w:color="auto" w:fill="1F4E78"/>
          </w:tcPr>
          <w:p w14:paraId="0A95CA5A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Adjudication Rationale</w:t>
            </w:r>
          </w:p>
        </w:tc>
      </w:tr>
      <w:tr w:rsidR="00A00076" w:rsidRPr="00A169F0" w14:paraId="2EBB5B5D" w14:textId="77777777">
        <w:trPr>
          <w:jc w:val="center"/>
        </w:trPr>
        <w:tc>
          <w:tcPr>
            <w:tcW w:w="2074" w:type="dxa"/>
          </w:tcPr>
          <w:p w14:paraId="736308EB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395A2259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NON_SENSITIVE</w:t>
            </w:r>
          </w:p>
        </w:tc>
        <w:tc>
          <w:tcPr>
            <w:tcW w:w="2074" w:type="dxa"/>
          </w:tcPr>
          <w:p w14:paraId="51E4774A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44C12C3F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41CB48F9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Contains health requiring restricted handling.</w:t>
            </w:r>
          </w:p>
        </w:tc>
      </w:tr>
    </w:tbl>
    <w:p w14:paraId="64ACCFA2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</w:rPr>
        <w:t>R017: "My routing number is 695295870"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00076" w:rsidRPr="00A169F0" w14:paraId="4A1C1D56" w14:textId="77777777">
        <w:trPr>
          <w:jc w:val="center"/>
        </w:trPr>
        <w:tc>
          <w:tcPr>
            <w:tcW w:w="2074" w:type="dxa"/>
            <w:shd w:val="clear" w:color="auto" w:fill="1F4E78"/>
          </w:tcPr>
          <w:p w14:paraId="54A65351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Lex</w:t>
            </w:r>
          </w:p>
        </w:tc>
        <w:tc>
          <w:tcPr>
            <w:tcW w:w="2074" w:type="dxa"/>
            <w:shd w:val="clear" w:color="auto" w:fill="1F4E78"/>
          </w:tcPr>
          <w:p w14:paraId="0BD71F9F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Maya</w:t>
            </w:r>
          </w:p>
        </w:tc>
        <w:tc>
          <w:tcPr>
            <w:tcW w:w="2074" w:type="dxa"/>
            <w:shd w:val="clear" w:color="auto" w:fill="1F4E78"/>
          </w:tcPr>
          <w:p w14:paraId="56E4DE64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Rafael</w:t>
            </w:r>
          </w:p>
        </w:tc>
        <w:tc>
          <w:tcPr>
            <w:tcW w:w="2074" w:type="dxa"/>
            <w:shd w:val="clear" w:color="auto" w:fill="1F4E78"/>
          </w:tcPr>
          <w:p w14:paraId="2534950C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Gold Label</w:t>
            </w:r>
          </w:p>
        </w:tc>
        <w:tc>
          <w:tcPr>
            <w:tcW w:w="2074" w:type="dxa"/>
            <w:shd w:val="clear" w:color="auto" w:fill="1F4E78"/>
          </w:tcPr>
          <w:p w14:paraId="6D46A45B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Adjudication Rationale</w:t>
            </w:r>
          </w:p>
        </w:tc>
      </w:tr>
      <w:tr w:rsidR="00A00076" w:rsidRPr="00A169F0" w14:paraId="5DA46B40" w14:textId="77777777">
        <w:trPr>
          <w:jc w:val="center"/>
        </w:trPr>
        <w:tc>
          <w:tcPr>
            <w:tcW w:w="2074" w:type="dxa"/>
          </w:tcPr>
          <w:p w14:paraId="339E43D6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599D292E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7D41ABA4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NON_SENSITIVE</w:t>
            </w:r>
          </w:p>
        </w:tc>
        <w:tc>
          <w:tcPr>
            <w:tcW w:w="2074" w:type="dxa"/>
          </w:tcPr>
          <w:p w14:paraId="5B629BED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7104BBC5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Contains pii requiring restricted handling.</w:t>
            </w:r>
          </w:p>
        </w:tc>
      </w:tr>
    </w:tbl>
    <w:p w14:paraId="07B36BAB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</w:rPr>
        <w:t>R018: "My routing number is 966040317"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00076" w:rsidRPr="00A169F0" w14:paraId="7B2FC354" w14:textId="77777777">
        <w:trPr>
          <w:jc w:val="center"/>
        </w:trPr>
        <w:tc>
          <w:tcPr>
            <w:tcW w:w="2074" w:type="dxa"/>
            <w:shd w:val="clear" w:color="auto" w:fill="1F4E78"/>
          </w:tcPr>
          <w:p w14:paraId="09362470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Lex</w:t>
            </w:r>
          </w:p>
        </w:tc>
        <w:tc>
          <w:tcPr>
            <w:tcW w:w="2074" w:type="dxa"/>
            <w:shd w:val="clear" w:color="auto" w:fill="1F4E78"/>
          </w:tcPr>
          <w:p w14:paraId="7D20A1B1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Maya</w:t>
            </w:r>
          </w:p>
        </w:tc>
        <w:tc>
          <w:tcPr>
            <w:tcW w:w="2074" w:type="dxa"/>
            <w:shd w:val="clear" w:color="auto" w:fill="1F4E78"/>
          </w:tcPr>
          <w:p w14:paraId="67E80EAA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Rafael</w:t>
            </w:r>
          </w:p>
        </w:tc>
        <w:tc>
          <w:tcPr>
            <w:tcW w:w="2074" w:type="dxa"/>
            <w:shd w:val="clear" w:color="auto" w:fill="1F4E78"/>
          </w:tcPr>
          <w:p w14:paraId="4C878A44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Gold Label</w:t>
            </w:r>
          </w:p>
        </w:tc>
        <w:tc>
          <w:tcPr>
            <w:tcW w:w="2074" w:type="dxa"/>
            <w:shd w:val="clear" w:color="auto" w:fill="1F4E78"/>
          </w:tcPr>
          <w:p w14:paraId="06D02BDF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Adjudication Rationale</w:t>
            </w:r>
          </w:p>
        </w:tc>
      </w:tr>
      <w:tr w:rsidR="00A00076" w:rsidRPr="00A169F0" w14:paraId="0F01F5B5" w14:textId="77777777">
        <w:trPr>
          <w:jc w:val="center"/>
        </w:trPr>
        <w:tc>
          <w:tcPr>
            <w:tcW w:w="2074" w:type="dxa"/>
          </w:tcPr>
          <w:p w14:paraId="72656BFE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37ECE07E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NON_SENSITIVE</w:t>
            </w:r>
          </w:p>
        </w:tc>
        <w:tc>
          <w:tcPr>
            <w:tcW w:w="2074" w:type="dxa"/>
          </w:tcPr>
          <w:p w14:paraId="156D06EF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NON_SENSITIVE</w:t>
            </w:r>
          </w:p>
        </w:tc>
        <w:tc>
          <w:tcPr>
            <w:tcW w:w="2074" w:type="dxa"/>
          </w:tcPr>
          <w:p w14:paraId="12AFCB67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7D1AFA51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Contains pii requiring restricted handling.</w:t>
            </w:r>
          </w:p>
        </w:tc>
      </w:tr>
    </w:tbl>
    <w:p w14:paraId="593BD308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</w:rPr>
        <w:t>R019: "The PIN is 185430"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00076" w:rsidRPr="00A169F0" w14:paraId="1475AF8A" w14:textId="77777777">
        <w:trPr>
          <w:jc w:val="center"/>
        </w:trPr>
        <w:tc>
          <w:tcPr>
            <w:tcW w:w="2074" w:type="dxa"/>
            <w:shd w:val="clear" w:color="auto" w:fill="1F4E78"/>
          </w:tcPr>
          <w:p w14:paraId="671BAF2C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Lex</w:t>
            </w:r>
          </w:p>
        </w:tc>
        <w:tc>
          <w:tcPr>
            <w:tcW w:w="2074" w:type="dxa"/>
            <w:shd w:val="clear" w:color="auto" w:fill="1F4E78"/>
          </w:tcPr>
          <w:p w14:paraId="2C1C1FF3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Maya</w:t>
            </w:r>
          </w:p>
        </w:tc>
        <w:tc>
          <w:tcPr>
            <w:tcW w:w="2074" w:type="dxa"/>
            <w:shd w:val="clear" w:color="auto" w:fill="1F4E78"/>
          </w:tcPr>
          <w:p w14:paraId="4E027582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Rafael</w:t>
            </w:r>
          </w:p>
        </w:tc>
        <w:tc>
          <w:tcPr>
            <w:tcW w:w="2074" w:type="dxa"/>
            <w:shd w:val="clear" w:color="auto" w:fill="1F4E78"/>
          </w:tcPr>
          <w:p w14:paraId="4F62D9F6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Gold Label</w:t>
            </w:r>
          </w:p>
        </w:tc>
        <w:tc>
          <w:tcPr>
            <w:tcW w:w="2074" w:type="dxa"/>
            <w:shd w:val="clear" w:color="auto" w:fill="1F4E78"/>
          </w:tcPr>
          <w:p w14:paraId="1E509520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Adjudication Rationale</w:t>
            </w:r>
          </w:p>
        </w:tc>
      </w:tr>
      <w:tr w:rsidR="00A00076" w:rsidRPr="00A169F0" w14:paraId="7DC6DD16" w14:textId="77777777">
        <w:trPr>
          <w:jc w:val="center"/>
        </w:trPr>
        <w:tc>
          <w:tcPr>
            <w:tcW w:w="2074" w:type="dxa"/>
          </w:tcPr>
          <w:p w14:paraId="01DBFC7B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6F71A8C3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NON_SENSITIVE</w:t>
            </w:r>
          </w:p>
        </w:tc>
        <w:tc>
          <w:tcPr>
            <w:tcW w:w="2074" w:type="dxa"/>
          </w:tcPr>
          <w:p w14:paraId="766435E1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NON_SENSITIVE</w:t>
            </w:r>
          </w:p>
        </w:tc>
        <w:tc>
          <w:tcPr>
            <w:tcW w:w="2074" w:type="dxa"/>
          </w:tcPr>
          <w:p w14:paraId="7D73DEDD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6139B44D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Contains credential requiring restricted handling.</w:t>
            </w:r>
          </w:p>
        </w:tc>
      </w:tr>
    </w:tbl>
    <w:p w14:paraId="511CA381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</w:rPr>
        <w:t>R021: "My child's school address is 5863 El Camino Street, Mountain View, CA"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00076" w:rsidRPr="00A169F0" w14:paraId="004B97A2" w14:textId="77777777">
        <w:trPr>
          <w:jc w:val="center"/>
        </w:trPr>
        <w:tc>
          <w:tcPr>
            <w:tcW w:w="2074" w:type="dxa"/>
            <w:shd w:val="clear" w:color="auto" w:fill="1F4E78"/>
          </w:tcPr>
          <w:p w14:paraId="52B97822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Lex</w:t>
            </w:r>
          </w:p>
        </w:tc>
        <w:tc>
          <w:tcPr>
            <w:tcW w:w="2074" w:type="dxa"/>
            <w:shd w:val="clear" w:color="auto" w:fill="1F4E78"/>
          </w:tcPr>
          <w:p w14:paraId="30429C40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Maya</w:t>
            </w:r>
          </w:p>
        </w:tc>
        <w:tc>
          <w:tcPr>
            <w:tcW w:w="2074" w:type="dxa"/>
            <w:shd w:val="clear" w:color="auto" w:fill="1F4E78"/>
          </w:tcPr>
          <w:p w14:paraId="06710C4F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Rafael</w:t>
            </w:r>
          </w:p>
        </w:tc>
        <w:tc>
          <w:tcPr>
            <w:tcW w:w="2074" w:type="dxa"/>
            <w:shd w:val="clear" w:color="auto" w:fill="1F4E78"/>
          </w:tcPr>
          <w:p w14:paraId="39F1E9FF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Gold Label</w:t>
            </w:r>
          </w:p>
        </w:tc>
        <w:tc>
          <w:tcPr>
            <w:tcW w:w="2074" w:type="dxa"/>
            <w:shd w:val="clear" w:color="auto" w:fill="1F4E78"/>
          </w:tcPr>
          <w:p w14:paraId="10AAB76D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Adjudication Rationale</w:t>
            </w:r>
          </w:p>
        </w:tc>
      </w:tr>
      <w:tr w:rsidR="00A00076" w:rsidRPr="00A169F0" w14:paraId="45C56D58" w14:textId="77777777">
        <w:trPr>
          <w:jc w:val="center"/>
        </w:trPr>
        <w:tc>
          <w:tcPr>
            <w:tcW w:w="2074" w:type="dxa"/>
          </w:tcPr>
          <w:p w14:paraId="6F04DCD1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NON_SENSITIVE</w:t>
            </w:r>
          </w:p>
        </w:tc>
        <w:tc>
          <w:tcPr>
            <w:tcW w:w="2074" w:type="dxa"/>
          </w:tcPr>
          <w:p w14:paraId="28983C42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734C7B47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582241B0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SENSITIVE</w:t>
            </w:r>
          </w:p>
        </w:tc>
        <w:tc>
          <w:tcPr>
            <w:tcW w:w="2074" w:type="dxa"/>
          </w:tcPr>
          <w:p w14:paraId="353ED02F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Contains pii requiring restricted handling.</w:t>
            </w:r>
          </w:p>
        </w:tc>
      </w:tr>
    </w:tbl>
    <w:p w14:paraId="4200B3BE" w14:textId="77777777" w:rsidR="00A00076" w:rsidRPr="00A169F0" w:rsidRDefault="00000000">
      <w:pPr>
        <w:pStyle w:val="Heading1"/>
        <w:rPr>
          <w:rFonts w:ascii="Aptos Light" w:hAnsi="Aptos Light"/>
          <w:b w:val="0"/>
          <w:bCs w:val="0"/>
        </w:rPr>
      </w:pPr>
      <w:r w:rsidRPr="00A169F0">
        <w:rPr>
          <w:rFonts w:ascii="Aptos Light" w:hAnsi="Aptos Light"/>
          <w:b w:val="0"/>
          <w:bCs w:val="0"/>
        </w:rPr>
        <w:t>7. Manager Decision and Next Actions</w:t>
      </w:r>
    </w:p>
    <w:p w14:paraId="2FFC53A5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  <w:b/>
          <w:bCs/>
        </w:rPr>
        <w:t>Proceed to controlled second-pass labeling:</w:t>
      </w:r>
      <w:r w:rsidRPr="00A169F0">
        <w:rPr>
          <w:rFonts w:ascii="Aptos Light" w:hAnsi="Aptos Light"/>
        </w:rPr>
        <w:t xml:space="preserve"> Use the current guidelines but require rationale for every edge-case sample.</w:t>
      </w:r>
    </w:p>
    <w:p w14:paraId="7E21AFB0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  <w:b/>
          <w:bCs/>
        </w:rPr>
        <w:t>Revise edge-case section:</w:t>
      </w:r>
      <w:r w:rsidRPr="00A169F0">
        <w:rPr>
          <w:rFonts w:ascii="Aptos Light" w:hAnsi="Aptos Light"/>
        </w:rPr>
        <w:t xml:space="preserve"> Add explicit rules for joking threats, quoted sensitive text, credentials, and third-party PII.</w:t>
      </w:r>
    </w:p>
    <w:p w14:paraId="6D5DEF77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  <w:b/>
          <w:bCs/>
        </w:rPr>
        <w:t>Create a 25-sample calibration set:</w:t>
      </w:r>
      <w:r w:rsidRPr="00A169F0">
        <w:rPr>
          <w:rFonts w:ascii="Aptos Light" w:hAnsi="Aptos Light"/>
        </w:rPr>
        <w:t xml:space="preserve"> All reviewers must label the same calibration set before production batches.</w:t>
      </w:r>
    </w:p>
    <w:p w14:paraId="47B8A416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  <w:b/>
          <w:bCs/>
        </w:rPr>
        <w:t>Threshold review:</w:t>
      </w:r>
      <w:r w:rsidRPr="00A169F0">
        <w:rPr>
          <w:rFonts w:ascii="Aptos Light" w:hAnsi="Aptos Light"/>
        </w:rPr>
        <w:t xml:space="preserve"> Current classifier recall is strong, but false positives should be sliced by category and source type.</w:t>
      </w:r>
    </w:p>
    <w:p w14:paraId="117BC393" w14:textId="77777777" w:rsidR="00A00076" w:rsidRPr="00A169F0" w:rsidRDefault="00000000">
      <w:pPr>
        <w:rPr>
          <w:rFonts w:ascii="Aptos Light" w:hAnsi="Aptos Light"/>
        </w:rPr>
      </w:pPr>
      <w:r w:rsidRPr="00A169F0">
        <w:rPr>
          <w:rFonts w:ascii="Aptos Light" w:hAnsi="Aptos Light"/>
          <w:b/>
          <w:bCs/>
        </w:rPr>
        <w:t>Production gate:</w:t>
      </w:r>
      <w:r w:rsidRPr="00A169F0">
        <w:rPr>
          <w:rFonts w:ascii="Aptos Light" w:hAnsi="Aptos Light"/>
        </w:rPr>
        <w:t xml:space="preserve"> Do not scale until pairwise kappa is consistently above 0.75 on fresh samples.</w:t>
      </w:r>
    </w:p>
    <w:p w14:paraId="540AA13D" w14:textId="77777777" w:rsidR="00A00076" w:rsidRPr="00A169F0" w:rsidRDefault="00000000">
      <w:pPr>
        <w:pStyle w:val="Heading1"/>
        <w:rPr>
          <w:rFonts w:ascii="Aptos Light" w:hAnsi="Aptos Light"/>
          <w:b w:val="0"/>
          <w:bCs w:val="0"/>
        </w:rPr>
      </w:pPr>
      <w:r w:rsidRPr="00A169F0">
        <w:rPr>
          <w:rFonts w:ascii="Aptos Light" w:hAnsi="Aptos Light"/>
          <w:b w:val="0"/>
          <w:bCs w:val="0"/>
        </w:rPr>
        <w:t>8. Final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00076" w:rsidRPr="00A169F0" w14:paraId="11136509" w14:textId="77777777">
        <w:trPr>
          <w:jc w:val="center"/>
        </w:trPr>
        <w:tc>
          <w:tcPr>
            <w:tcW w:w="3456" w:type="dxa"/>
            <w:shd w:val="clear" w:color="auto" w:fill="1F4E78"/>
          </w:tcPr>
          <w:p w14:paraId="36D87BE6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Approver</w:t>
            </w:r>
          </w:p>
        </w:tc>
        <w:tc>
          <w:tcPr>
            <w:tcW w:w="3456" w:type="dxa"/>
            <w:shd w:val="clear" w:color="auto" w:fill="1F4E78"/>
          </w:tcPr>
          <w:p w14:paraId="2A15FF1F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Decision</w:t>
            </w:r>
          </w:p>
        </w:tc>
        <w:tc>
          <w:tcPr>
            <w:tcW w:w="3456" w:type="dxa"/>
            <w:shd w:val="clear" w:color="auto" w:fill="1F4E78"/>
          </w:tcPr>
          <w:p w14:paraId="28E91690" w14:textId="77777777" w:rsidR="00A00076" w:rsidRPr="00A169F0" w:rsidRDefault="00000000">
            <w:pPr>
              <w:rPr>
                <w:rFonts w:ascii="Aptos Light" w:hAnsi="Aptos Light"/>
                <w:color w:val="FFFFFF" w:themeColor="background1"/>
              </w:rPr>
            </w:pPr>
            <w:r w:rsidRPr="00A169F0">
              <w:rPr>
                <w:rFonts w:ascii="Aptos Light" w:hAnsi="Aptos Light"/>
                <w:color w:val="FFFFFF" w:themeColor="background1"/>
              </w:rPr>
              <w:t>Notes</w:t>
            </w:r>
          </w:p>
        </w:tc>
      </w:tr>
      <w:tr w:rsidR="00A00076" w:rsidRPr="00A169F0" w14:paraId="2C635F7C" w14:textId="77777777">
        <w:trPr>
          <w:jc w:val="center"/>
        </w:trPr>
        <w:tc>
          <w:tcPr>
            <w:tcW w:w="3456" w:type="dxa"/>
          </w:tcPr>
          <w:p w14:paraId="3017D221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Data Quality Manager</w:t>
            </w:r>
          </w:p>
        </w:tc>
        <w:tc>
          <w:tcPr>
            <w:tcW w:w="3456" w:type="dxa"/>
          </w:tcPr>
          <w:p w14:paraId="1CE4F6E2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Conditional pass</w:t>
            </w:r>
          </w:p>
        </w:tc>
        <w:tc>
          <w:tcPr>
            <w:tcW w:w="3456" w:type="dxa"/>
          </w:tcPr>
          <w:p w14:paraId="16E00D1A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Good pilot quality; needs edge-case tightening before production.</w:t>
            </w:r>
          </w:p>
        </w:tc>
      </w:tr>
      <w:tr w:rsidR="00A00076" w:rsidRPr="00A169F0" w14:paraId="56986A28" w14:textId="77777777">
        <w:trPr>
          <w:jc w:val="center"/>
        </w:trPr>
        <w:tc>
          <w:tcPr>
            <w:tcW w:w="3456" w:type="dxa"/>
          </w:tcPr>
          <w:p w14:paraId="7B52E4FF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ML Lead</w:t>
            </w:r>
          </w:p>
        </w:tc>
        <w:tc>
          <w:tcPr>
            <w:tcW w:w="3456" w:type="dxa"/>
          </w:tcPr>
          <w:p w14:paraId="3627F962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Proceed with model-error analysis</w:t>
            </w:r>
          </w:p>
        </w:tc>
        <w:tc>
          <w:tcPr>
            <w:tcW w:w="3456" w:type="dxa"/>
          </w:tcPr>
          <w:p w14:paraId="3696E9E9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Prioritize false negatives and source-specific false positives.</w:t>
            </w:r>
          </w:p>
        </w:tc>
      </w:tr>
      <w:tr w:rsidR="00A00076" w:rsidRPr="00A169F0" w14:paraId="6E5AE340" w14:textId="77777777">
        <w:trPr>
          <w:jc w:val="center"/>
        </w:trPr>
        <w:tc>
          <w:tcPr>
            <w:tcW w:w="3456" w:type="dxa"/>
          </w:tcPr>
          <w:p w14:paraId="302D6A8E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lastRenderedPageBreak/>
              <w:t>Trust &amp; Safety Lead</w:t>
            </w:r>
          </w:p>
        </w:tc>
        <w:tc>
          <w:tcPr>
            <w:tcW w:w="3456" w:type="dxa"/>
          </w:tcPr>
          <w:p w14:paraId="595DA43F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Proceed with safety-first recall bias</w:t>
            </w:r>
          </w:p>
        </w:tc>
        <w:tc>
          <w:tcPr>
            <w:tcW w:w="3456" w:type="dxa"/>
          </w:tcPr>
          <w:p w14:paraId="7872FCD8" w14:textId="77777777" w:rsidR="00A00076" w:rsidRPr="00A169F0" w:rsidRDefault="00000000">
            <w:pPr>
              <w:rPr>
                <w:rFonts w:ascii="Aptos Light" w:hAnsi="Aptos Light"/>
              </w:rPr>
            </w:pPr>
            <w:r w:rsidRPr="00A169F0">
              <w:rPr>
                <w:rFonts w:ascii="Aptos Light" w:hAnsi="Aptos Light"/>
              </w:rPr>
              <w:t>Escalation rules are appropriate for sensitive text.</w:t>
            </w:r>
          </w:p>
        </w:tc>
      </w:tr>
    </w:tbl>
    <w:p w14:paraId="2FCD06F6" w14:textId="77777777" w:rsidR="008364A1" w:rsidRPr="00A169F0" w:rsidRDefault="008364A1">
      <w:pPr>
        <w:rPr>
          <w:rFonts w:ascii="Aptos Light" w:hAnsi="Aptos Light"/>
        </w:rPr>
      </w:pPr>
    </w:p>
    <w:sectPr w:rsidR="008364A1" w:rsidRPr="00A169F0" w:rsidSect="00BF32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636800">
    <w:abstractNumId w:val="8"/>
  </w:num>
  <w:num w:numId="2" w16cid:durableId="79185859">
    <w:abstractNumId w:val="6"/>
  </w:num>
  <w:num w:numId="3" w16cid:durableId="1356737418">
    <w:abstractNumId w:val="5"/>
  </w:num>
  <w:num w:numId="4" w16cid:durableId="1551720269">
    <w:abstractNumId w:val="4"/>
  </w:num>
  <w:num w:numId="5" w16cid:durableId="2093114954">
    <w:abstractNumId w:val="7"/>
  </w:num>
  <w:num w:numId="6" w16cid:durableId="1794713308">
    <w:abstractNumId w:val="3"/>
  </w:num>
  <w:num w:numId="7" w16cid:durableId="1174686813">
    <w:abstractNumId w:val="2"/>
  </w:num>
  <w:num w:numId="8" w16cid:durableId="101537216">
    <w:abstractNumId w:val="1"/>
  </w:num>
  <w:num w:numId="9" w16cid:durableId="1448159652">
    <w:abstractNumId w:val="0"/>
  </w:num>
  <w:num w:numId="10" w16cid:durableId="20168057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64A1"/>
    <w:rsid w:val="00A00076"/>
    <w:rsid w:val="00A169F0"/>
    <w:rsid w:val="00AA1D8D"/>
    <w:rsid w:val="00B47730"/>
    <w:rsid w:val="00BF32A5"/>
    <w:rsid w:val="00CB0664"/>
    <w:rsid w:val="00CF25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5F6B3"/>
  <w14:defaultImageDpi w14:val="300"/>
  <w15:docId w15:val="{CEA3A365-9DBC-EA4C-8C20-1AD0DF2C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2A5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2A5"/>
    <w:pPr>
      <w:pBdr>
        <w:top w:val="single" w:sz="24" w:space="0" w:color="E32D91" w:themeColor="accent1"/>
        <w:left w:val="single" w:sz="24" w:space="0" w:color="E32D91" w:themeColor="accent1"/>
        <w:bottom w:val="single" w:sz="24" w:space="0" w:color="E32D91" w:themeColor="accent1"/>
        <w:right w:val="single" w:sz="24" w:space="0" w:color="E32D91" w:themeColor="accent1"/>
      </w:pBdr>
      <w:shd w:val="clear" w:color="auto" w:fill="E32D91" w:themeFill="accent1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2A5"/>
    <w:pPr>
      <w:pBdr>
        <w:top w:val="single" w:sz="24" w:space="0" w:color="F9D4E8" w:themeColor="accent1" w:themeTint="33"/>
        <w:left w:val="single" w:sz="24" w:space="0" w:color="F9D4E8" w:themeColor="accent1" w:themeTint="33"/>
        <w:bottom w:val="single" w:sz="24" w:space="0" w:color="F9D4E8" w:themeColor="accent1" w:themeTint="33"/>
        <w:right w:val="single" w:sz="24" w:space="0" w:color="F9D4E8" w:themeColor="accent1" w:themeTint="33"/>
      </w:pBdr>
      <w:shd w:val="clear" w:color="auto" w:fill="F9D4E8" w:themeFill="accent1" w:themeFillTint="33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2A5"/>
    <w:pPr>
      <w:pBdr>
        <w:top w:val="single" w:sz="6" w:space="2" w:color="E32D91" w:themeColor="accent1"/>
        <w:left w:val="single" w:sz="6" w:space="2" w:color="E32D91" w:themeColor="accent1"/>
      </w:pBdr>
      <w:spacing w:before="300"/>
      <w:outlineLvl w:val="2"/>
    </w:pPr>
    <w:rPr>
      <w:caps/>
      <w:color w:val="771048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2A5"/>
    <w:pPr>
      <w:pBdr>
        <w:top w:val="dotted" w:sz="6" w:space="2" w:color="E32D91" w:themeColor="accent1"/>
        <w:left w:val="dotted" w:sz="6" w:space="2" w:color="E32D91" w:themeColor="accent1"/>
      </w:pBdr>
      <w:spacing w:before="300"/>
      <w:outlineLvl w:val="3"/>
    </w:pPr>
    <w:rPr>
      <w:caps/>
      <w:color w:val="B3186D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2A5"/>
    <w:pPr>
      <w:pBdr>
        <w:bottom w:val="single" w:sz="6" w:space="1" w:color="E32D91" w:themeColor="accent1"/>
      </w:pBdr>
      <w:spacing w:before="300"/>
      <w:outlineLvl w:val="4"/>
    </w:pPr>
    <w:rPr>
      <w:caps/>
      <w:color w:val="B3186D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2A5"/>
    <w:pPr>
      <w:pBdr>
        <w:bottom w:val="dotted" w:sz="6" w:space="1" w:color="E32D91" w:themeColor="accent1"/>
      </w:pBdr>
      <w:spacing w:before="300"/>
      <w:outlineLvl w:val="5"/>
    </w:pPr>
    <w:rPr>
      <w:caps/>
      <w:color w:val="B3186D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2A5"/>
    <w:pPr>
      <w:spacing w:before="300"/>
      <w:outlineLvl w:val="6"/>
    </w:pPr>
    <w:rPr>
      <w:caps/>
      <w:color w:val="B3186D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2A5"/>
    <w:p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2A5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BF32A5"/>
  </w:style>
  <w:style w:type="character" w:customStyle="1" w:styleId="Heading1Char">
    <w:name w:val="Heading 1 Char"/>
    <w:basedOn w:val="DefaultParagraphFont"/>
    <w:link w:val="Heading1"/>
    <w:uiPriority w:val="9"/>
    <w:rsid w:val="00BF32A5"/>
    <w:rPr>
      <w:b/>
      <w:bCs/>
      <w:caps/>
      <w:color w:val="FFFFFF" w:themeColor="background1"/>
      <w:spacing w:val="15"/>
      <w:shd w:val="clear" w:color="auto" w:fill="E32D91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F32A5"/>
    <w:rPr>
      <w:caps/>
      <w:spacing w:val="15"/>
      <w:shd w:val="clear" w:color="auto" w:fill="F9D4E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F32A5"/>
    <w:rPr>
      <w:caps/>
      <w:color w:val="771048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BF32A5"/>
    <w:pPr>
      <w:spacing w:before="720"/>
    </w:pPr>
    <w:rPr>
      <w:caps/>
      <w:color w:val="E32D91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32A5"/>
    <w:rPr>
      <w:caps/>
      <w:color w:val="E32D91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2A5"/>
    <w:pPr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F32A5"/>
    <w:rPr>
      <w:caps/>
      <w:color w:val="595959" w:themeColor="text1" w:themeTint="A6"/>
      <w:spacing w:val="10"/>
      <w:sz w:val="24"/>
      <w:szCs w:val="24"/>
    </w:rPr>
  </w:style>
  <w:style w:type="paragraph" w:styleId="ListParagraph">
    <w:name w:val="List Paragraph"/>
    <w:basedOn w:val="Normal"/>
    <w:uiPriority w:val="34"/>
    <w:qFormat/>
    <w:rsid w:val="00BF32A5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F32A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F32A5"/>
    <w:rPr>
      <w:i/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2A5"/>
    <w:rPr>
      <w:caps/>
      <w:color w:val="B3186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2A5"/>
    <w:rPr>
      <w:caps/>
      <w:color w:val="B3186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2A5"/>
    <w:rPr>
      <w:caps/>
      <w:color w:val="B3186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2A5"/>
    <w:rPr>
      <w:caps/>
      <w:color w:val="B3186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2A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2A5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32A5"/>
    <w:rPr>
      <w:b/>
      <w:bCs/>
      <w:color w:val="B3186D" w:themeColor="accent1" w:themeShade="BF"/>
      <w:sz w:val="16"/>
      <w:szCs w:val="16"/>
    </w:rPr>
  </w:style>
  <w:style w:type="character" w:styleId="Strong">
    <w:name w:val="Strong"/>
    <w:uiPriority w:val="22"/>
    <w:qFormat/>
    <w:rsid w:val="00BF32A5"/>
    <w:rPr>
      <w:b/>
      <w:bCs/>
    </w:rPr>
  </w:style>
  <w:style w:type="character" w:styleId="Emphasis">
    <w:name w:val="Emphasis"/>
    <w:uiPriority w:val="20"/>
    <w:qFormat/>
    <w:rsid w:val="00BF32A5"/>
    <w:rPr>
      <w:caps/>
      <w:color w:val="771048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2A5"/>
    <w:pPr>
      <w:pBdr>
        <w:top w:val="single" w:sz="4" w:space="10" w:color="E32D91" w:themeColor="accent1"/>
        <w:left w:val="single" w:sz="4" w:space="10" w:color="E32D91" w:themeColor="accent1"/>
      </w:pBdr>
      <w:ind w:left="1296" w:right="1152"/>
      <w:jc w:val="both"/>
    </w:pPr>
    <w:rPr>
      <w:i/>
      <w:iCs/>
      <w:color w:val="E32D9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2A5"/>
    <w:rPr>
      <w:i/>
      <w:iCs/>
      <w:color w:val="E32D91" w:themeColor="accent1"/>
      <w:sz w:val="20"/>
      <w:szCs w:val="20"/>
    </w:rPr>
  </w:style>
  <w:style w:type="character" w:styleId="SubtleEmphasis">
    <w:name w:val="Subtle Emphasis"/>
    <w:uiPriority w:val="19"/>
    <w:qFormat/>
    <w:rsid w:val="00BF32A5"/>
    <w:rPr>
      <w:i/>
      <w:iCs/>
      <w:color w:val="771048" w:themeColor="accent1" w:themeShade="7F"/>
    </w:rPr>
  </w:style>
  <w:style w:type="character" w:styleId="IntenseEmphasis">
    <w:name w:val="Intense Emphasis"/>
    <w:uiPriority w:val="21"/>
    <w:qFormat/>
    <w:rsid w:val="00BF32A5"/>
    <w:rPr>
      <w:b/>
      <w:bCs/>
      <w:caps/>
      <w:color w:val="771048" w:themeColor="accent1" w:themeShade="7F"/>
      <w:spacing w:val="10"/>
    </w:rPr>
  </w:style>
  <w:style w:type="character" w:styleId="SubtleReference">
    <w:name w:val="Subtle Reference"/>
    <w:uiPriority w:val="31"/>
    <w:qFormat/>
    <w:rsid w:val="00BF32A5"/>
    <w:rPr>
      <w:b/>
      <w:bCs/>
      <w:color w:val="E32D91" w:themeColor="accent1"/>
    </w:rPr>
  </w:style>
  <w:style w:type="character" w:styleId="IntenseReference">
    <w:name w:val="Intense Reference"/>
    <w:uiPriority w:val="32"/>
    <w:qFormat/>
    <w:rsid w:val="00BF32A5"/>
    <w:rPr>
      <w:b/>
      <w:bCs/>
      <w:i/>
      <w:iCs/>
      <w:caps/>
      <w:color w:val="E32D91" w:themeColor="accent1"/>
    </w:rPr>
  </w:style>
  <w:style w:type="character" w:styleId="BookTitle">
    <w:name w:val="Book Title"/>
    <w:uiPriority w:val="33"/>
    <w:qFormat/>
    <w:rsid w:val="00BF32A5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F32A5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B3186D" w:themeColor="accent1" w:themeShade="BF"/>
    </w:rPr>
    <w:tblPr>
      <w:tblStyleRowBandSize w:val="1"/>
      <w:tblStyleColBandSize w:val="1"/>
      <w:tblBorders>
        <w:top w:val="single" w:sz="8" w:space="0" w:color="E32D91" w:themeColor="accent1"/>
        <w:bottom w:val="single" w:sz="8" w:space="0" w:color="E32D9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2D91" w:themeColor="accent1"/>
          <w:left w:val="nil"/>
          <w:bottom w:val="single" w:sz="8" w:space="0" w:color="E32D9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2D91" w:themeColor="accent1"/>
          <w:left w:val="nil"/>
          <w:bottom w:val="single" w:sz="8" w:space="0" w:color="E32D9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52498" w:themeColor="accent2" w:themeShade="BF"/>
    </w:rPr>
    <w:tblPr>
      <w:tblStyleRowBandSize w:val="1"/>
      <w:tblStyleColBandSize w:val="1"/>
      <w:tblBorders>
        <w:top w:val="single" w:sz="8" w:space="0" w:color="C830CC" w:themeColor="accent2"/>
        <w:bottom w:val="single" w:sz="8" w:space="0" w:color="C830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30CC" w:themeColor="accent2"/>
          <w:left w:val="nil"/>
          <w:bottom w:val="single" w:sz="8" w:space="0" w:color="C830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30CC" w:themeColor="accent2"/>
          <w:left w:val="nil"/>
          <w:bottom w:val="single" w:sz="8" w:space="0" w:color="C830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2581BA" w:themeColor="accent3" w:themeShade="BF"/>
    </w:rPr>
    <w:tblPr>
      <w:tblStyleRowBandSize w:val="1"/>
      <w:tblStyleColBandSize w:val="1"/>
      <w:tblBorders>
        <w:top w:val="single" w:sz="8" w:space="0" w:color="4EA6DC" w:themeColor="accent3"/>
        <w:bottom w:val="single" w:sz="8" w:space="0" w:color="4EA6D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6DC" w:themeColor="accent3"/>
          <w:left w:val="nil"/>
          <w:bottom w:val="single" w:sz="8" w:space="0" w:color="4EA6D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6DC" w:themeColor="accent3"/>
          <w:left w:val="nil"/>
          <w:bottom w:val="single" w:sz="8" w:space="0" w:color="4EA6D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1A4BC7" w:themeColor="accent4" w:themeShade="BF"/>
    </w:rPr>
    <w:tblPr>
      <w:tblStyleRowBandSize w:val="1"/>
      <w:tblStyleColBandSize w:val="1"/>
      <w:tblBorders>
        <w:top w:val="single" w:sz="8" w:space="0" w:color="4775E7" w:themeColor="accent4"/>
        <w:bottom w:val="single" w:sz="8" w:space="0" w:color="4775E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75E7" w:themeColor="accent4"/>
          <w:left w:val="nil"/>
          <w:bottom w:val="single" w:sz="8" w:space="0" w:color="4775E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75E7" w:themeColor="accent4"/>
          <w:left w:val="nil"/>
          <w:bottom w:val="single" w:sz="8" w:space="0" w:color="4775E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4F2CD0" w:themeColor="accent5" w:themeShade="BF"/>
    </w:rPr>
    <w:tblPr>
      <w:tblStyleRowBandSize w:val="1"/>
      <w:tblStyleColBandSize w:val="1"/>
      <w:tblBorders>
        <w:top w:val="single" w:sz="8" w:space="0" w:color="8971E1" w:themeColor="accent5"/>
        <w:bottom w:val="single" w:sz="8" w:space="0" w:color="8971E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971E1" w:themeColor="accent5"/>
          <w:left w:val="nil"/>
          <w:bottom w:val="single" w:sz="8" w:space="0" w:color="8971E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971E1" w:themeColor="accent5"/>
          <w:left w:val="nil"/>
          <w:bottom w:val="single" w:sz="8" w:space="0" w:color="8971E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F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F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AD2750" w:themeColor="accent6" w:themeShade="BF"/>
    </w:rPr>
    <w:tblPr>
      <w:tblStyleRowBandSize w:val="1"/>
      <w:tblStyleColBandSize w:val="1"/>
      <w:tblBorders>
        <w:top w:val="single" w:sz="8" w:space="0" w:color="D54773" w:themeColor="accent6"/>
        <w:bottom w:val="single" w:sz="8" w:space="0" w:color="D5477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4773" w:themeColor="accent6"/>
          <w:left w:val="nil"/>
          <w:bottom w:val="single" w:sz="8" w:space="0" w:color="D5477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4773" w:themeColor="accent6"/>
          <w:left w:val="nil"/>
          <w:bottom w:val="single" w:sz="8" w:space="0" w:color="D5477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32D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  <w:tblStylePr w:type="band1Horz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30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  <w:tblStylePr w:type="band1Horz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6D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  <w:tblStylePr w:type="band1Horz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775E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  <w:tblStylePr w:type="band1Horz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971E1" w:themeColor="accent5"/>
        <w:left w:val="single" w:sz="8" w:space="0" w:color="8971E1" w:themeColor="accent5"/>
        <w:bottom w:val="single" w:sz="8" w:space="0" w:color="8971E1" w:themeColor="accent5"/>
        <w:right w:val="single" w:sz="8" w:space="0" w:color="8971E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971E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</w:tcPr>
    </w:tblStylePr>
    <w:tblStylePr w:type="band1Horz"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5477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  <w:tblStylePr w:type="band1Horz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  <w:insideH w:val="single" w:sz="8" w:space="0" w:color="E32D91" w:themeColor="accent1"/>
        <w:insideV w:val="single" w:sz="8" w:space="0" w:color="E32D9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18" w:space="0" w:color="E32D91" w:themeColor="accent1"/>
          <w:right w:val="single" w:sz="8" w:space="0" w:color="E32D91" w:themeColor="accent1"/>
          <w:insideH w:val="nil"/>
          <w:insideV w:val="single" w:sz="8" w:space="0" w:color="E32D9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  <w:insideH w:val="nil"/>
          <w:insideV w:val="single" w:sz="8" w:space="0" w:color="E32D9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  <w:tblStylePr w:type="band1Vert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  <w:shd w:val="clear" w:color="auto" w:fill="F8CAE3" w:themeFill="accent1" w:themeFillTint="3F"/>
      </w:tcPr>
    </w:tblStylePr>
    <w:tblStylePr w:type="band1Horz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  <w:insideV w:val="single" w:sz="8" w:space="0" w:color="E32D91" w:themeColor="accent1"/>
        </w:tcBorders>
        <w:shd w:val="clear" w:color="auto" w:fill="F8CAE3" w:themeFill="accent1" w:themeFillTint="3F"/>
      </w:tcPr>
    </w:tblStylePr>
    <w:tblStylePr w:type="band2Horz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  <w:insideV w:val="single" w:sz="8" w:space="0" w:color="E32D91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  <w:insideH w:val="single" w:sz="8" w:space="0" w:color="C830CC" w:themeColor="accent2"/>
        <w:insideV w:val="single" w:sz="8" w:space="0" w:color="C830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18" w:space="0" w:color="C830CC" w:themeColor="accent2"/>
          <w:right w:val="single" w:sz="8" w:space="0" w:color="C830CC" w:themeColor="accent2"/>
          <w:insideH w:val="nil"/>
          <w:insideV w:val="single" w:sz="8" w:space="0" w:color="C830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  <w:insideH w:val="nil"/>
          <w:insideV w:val="single" w:sz="8" w:space="0" w:color="C830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  <w:tblStylePr w:type="band1Vert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  <w:shd w:val="clear" w:color="auto" w:fill="F1CBF2" w:themeFill="accent2" w:themeFillTint="3F"/>
      </w:tcPr>
    </w:tblStylePr>
    <w:tblStylePr w:type="band1Horz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  <w:insideV w:val="single" w:sz="8" w:space="0" w:color="C830CC" w:themeColor="accent2"/>
        </w:tcBorders>
        <w:shd w:val="clear" w:color="auto" w:fill="F1CBF2" w:themeFill="accent2" w:themeFillTint="3F"/>
      </w:tcPr>
    </w:tblStylePr>
    <w:tblStylePr w:type="band2Horz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  <w:insideV w:val="single" w:sz="8" w:space="0" w:color="C830CC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  <w:insideH w:val="single" w:sz="8" w:space="0" w:color="4EA6DC" w:themeColor="accent3"/>
        <w:insideV w:val="single" w:sz="8" w:space="0" w:color="4EA6D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18" w:space="0" w:color="4EA6DC" w:themeColor="accent3"/>
          <w:right w:val="single" w:sz="8" w:space="0" w:color="4EA6DC" w:themeColor="accent3"/>
          <w:insideH w:val="nil"/>
          <w:insideV w:val="single" w:sz="8" w:space="0" w:color="4EA6D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  <w:insideH w:val="nil"/>
          <w:insideV w:val="single" w:sz="8" w:space="0" w:color="4EA6D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  <w:tblStylePr w:type="band1Vert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  <w:shd w:val="clear" w:color="auto" w:fill="D3E8F6" w:themeFill="accent3" w:themeFillTint="3F"/>
      </w:tcPr>
    </w:tblStylePr>
    <w:tblStylePr w:type="band1Horz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  <w:insideV w:val="single" w:sz="8" w:space="0" w:color="4EA6DC" w:themeColor="accent3"/>
        </w:tcBorders>
        <w:shd w:val="clear" w:color="auto" w:fill="D3E8F6" w:themeFill="accent3" w:themeFillTint="3F"/>
      </w:tcPr>
    </w:tblStylePr>
    <w:tblStylePr w:type="band2Horz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  <w:insideV w:val="single" w:sz="8" w:space="0" w:color="4EA6DC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  <w:insideH w:val="single" w:sz="8" w:space="0" w:color="4775E7" w:themeColor="accent4"/>
        <w:insideV w:val="single" w:sz="8" w:space="0" w:color="4775E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18" w:space="0" w:color="4775E7" w:themeColor="accent4"/>
          <w:right w:val="single" w:sz="8" w:space="0" w:color="4775E7" w:themeColor="accent4"/>
          <w:insideH w:val="nil"/>
          <w:insideV w:val="single" w:sz="8" w:space="0" w:color="4775E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  <w:insideH w:val="nil"/>
          <w:insideV w:val="single" w:sz="8" w:space="0" w:color="4775E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  <w:tblStylePr w:type="band1Vert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  <w:shd w:val="clear" w:color="auto" w:fill="D1DCF9" w:themeFill="accent4" w:themeFillTint="3F"/>
      </w:tcPr>
    </w:tblStylePr>
    <w:tblStylePr w:type="band1Horz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  <w:insideV w:val="single" w:sz="8" w:space="0" w:color="4775E7" w:themeColor="accent4"/>
        </w:tcBorders>
        <w:shd w:val="clear" w:color="auto" w:fill="D1DCF9" w:themeFill="accent4" w:themeFillTint="3F"/>
      </w:tcPr>
    </w:tblStylePr>
    <w:tblStylePr w:type="band2Horz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  <w:insideV w:val="single" w:sz="8" w:space="0" w:color="4775E7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971E1" w:themeColor="accent5"/>
        <w:left w:val="single" w:sz="8" w:space="0" w:color="8971E1" w:themeColor="accent5"/>
        <w:bottom w:val="single" w:sz="8" w:space="0" w:color="8971E1" w:themeColor="accent5"/>
        <w:right w:val="single" w:sz="8" w:space="0" w:color="8971E1" w:themeColor="accent5"/>
        <w:insideH w:val="single" w:sz="8" w:space="0" w:color="8971E1" w:themeColor="accent5"/>
        <w:insideV w:val="single" w:sz="8" w:space="0" w:color="8971E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18" w:space="0" w:color="8971E1" w:themeColor="accent5"/>
          <w:right w:val="single" w:sz="8" w:space="0" w:color="8971E1" w:themeColor="accent5"/>
          <w:insideH w:val="nil"/>
          <w:insideV w:val="single" w:sz="8" w:space="0" w:color="8971E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  <w:insideH w:val="nil"/>
          <w:insideV w:val="single" w:sz="8" w:space="0" w:color="8971E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</w:tcPr>
    </w:tblStylePr>
    <w:tblStylePr w:type="band1Vert"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  <w:shd w:val="clear" w:color="auto" w:fill="E1DBF7" w:themeFill="accent5" w:themeFillTint="3F"/>
      </w:tcPr>
    </w:tblStylePr>
    <w:tblStylePr w:type="band1Horz"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  <w:insideV w:val="single" w:sz="8" w:space="0" w:color="8971E1" w:themeColor="accent5"/>
        </w:tcBorders>
        <w:shd w:val="clear" w:color="auto" w:fill="E1DBF7" w:themeFill="accent5" w:themeFillTint="3F"/>
      </w:tcPr>
    </w:tblStylePr>
    <w:tblStylePr w:type="band2Horz"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  <w:insideV w:val="single" w:sz="8" w:space="0" w:color="8971E1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  <w:insideH w:val="single" w:sz="8" w:space="0" w:color="D54773" w:themeColor="accent6"/>
        <w:insideV w:val="single" w:sz="8" w:space="0" w:color="D5477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18" w:space="0" w:color="D54773" w:themeColor="accent6"/>
          <w:right w:val="single" w:sz="8" w:space="0" w:color="D54773" w:themeColor="accent6"/>
          <w:insideH w:val="nil"/>
          <w:insideV w:val="single" w:sz="8" w:space="0" w:color="D5477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  <w:insideH w:val="nil"/>
          <w:insideV w:val="single" w:sz="8" w:space="0" w:color="D5477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  <w:tblStylePr w:type="band1Vert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  <w:shd w:val="clear" w:color="auto" w:fill="F4D1DC" w:themeFill="accent6" w:themeFillTint="3F"/>
      </w:tcPr>
    </w:tblStylePr>
    <w:tblStylePr w:type="band1Horz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  <w:insideV w:val="single" w:sz="8" w:space="0" w:color="D54773" w:themeColor="accent6"/>
        </w:tcBorders>
        <w:shd w:val="clear" w:color="auto" w:fill="F4D1DC" w:themeFill="accent6" w:themeFillTint="3F"/>
      </w:tcPr>
    </w:tblStylePr>
    <w:tblStylePr w:type="band2Horz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  <w:insideV w:val="single" w:sz="8" w:space="0" w:color="D54773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EA61AC" w:themeColor="accent1" w:themeTint="BF"/>
        <w:left w:val="single" w:sz="8" w:space="0" w:color="EA61AC" w:themeColor="accent1" w:themeTint="BF"/>
        <w:bottom w:val="single" w:sz="8" w:space="0" w:color="EA61AC" w:themeColor="accent1" w:themeTint="BF"/>
        <w:right w:val="single" w:sz="8" w:space="0" w:color="EA61AC" w:themeColor="accent1" w:themeTint="BF"/>
        <w:insideH w:val="single" w:sz="8" w:space="0" w:color="EA61A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61AC" w:themeColor="accent1" w:themeTint="BF"/>
          <w:left w:val="single" w:sz="8" w:space="0" w:color="EA61AC" w:themeColor="accent1" w:themeTint="BF"/>
          <w:bottom w:val="single" w:sz="8" w:space="0" w:color="EA61AC" w:themeColor="accent1" w:themeTint="BF"/>
          <w:right w:val="single" w:sz="8" w:space="0" w:color="EA61AC" w:themeColor="accent1" w:themeTint="BF"/>
          <w:insideH w:val="nil"/>
          <w:insideV w:val="nil"/>
        </w:tcBorders>
        <w:shd w:val="clear" w:color="auto" w:fill="E32D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61AC" w:themeColor="accent1" w:themeTint="BF"/>
          <w:left w:val="single" w:sz="8" w:space="0" w:color="EA61AC" w:themeColor="accent1" w:themeTint="BF"/>
          <w:bottom w:val="single" w:sz="8" w:space="0" w:color="EA61AC" w:themeColor="accent1" w:themeTint="BF"/>
          <w:right w:val="single" w:sz="8" w:space="0" w:color="EA61A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AE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CAE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D662DA" w:themeColor="accent2" w:themeTint="BF"/>
        <w:left w:val="single" w:sz="8" w:space="0" w:color="D662DA" w:themeColor="accent2" w:themeTint="BF"/>
        <w:bottom w:val="single" w:sz="8" w:space="0" w:color="D662DA" w:themeColor="accent2" w:themeTint="BF"/>
        <w:right w:val="single" w:sz="8" w:space="0" w:color="D662DA" w:themeColor="accent2" w:themeTint="BF"/>
        <w:insideH w:val="single" w:sz="8" w:space="0" w:color="D662D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662DA" w:themeColor="accent2" w:themeTint="BF"/>
          <w:left w:val="single" w:sz="8" w:space="0" w:color="D662DA" w:themeColor="accent2" w:themeTint="BF"/>
          <w:bottom w:val="single" w:sz="8" w:space="0" w:color="D662DA" w:themeColor="accent2" w:themeTint="BF"/>
          <w:right w:val="single" w:sz="8" w:space="0" w:color="D662DA" w:themeColor="accent2" w:themeTint="BF"/>
          <w:insideH w:val="nil"/>
          <w:insideV w:val="nil"/>
        </w:tcBorders>
        <w:shd w:val="clear" w:color="auto" w:fill="C830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2DA" w:themeColor="accent2" w:themeTint="BF"/>
          <w:left w:val="single" w:sz="8" w:space="0" w:color="D662DA" w:themeColor="accent2" w:themeTint="BF"/>
          <w:bottom w:val="single" w:sz="8" w:space="0" w:color="D662DA" w:themeColor="accent2" w:themeTint="BF"/>
          <w:right w:val="single" w:sz="8" w:space="0" w:color="D662D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CB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ABCE4" w:themeColor="accent3" w:themeTint="BF"/>
        <w:left w:val="single" w:sz="8" w:space="0" w:color="7ABCE4" w:themeColor="accent3" w:themeTint="BF"/>
        <w:bottom w:val="single" w:sz="8" w:space="0" w:color="7ABCE4" w:themeColor="accent3" w:themeTint="BF"/>
        <w:right w:val="single" w:sz="8" w:space="0" w:color="7ABCE4" w:themeColor="accent3" w:themeTint="BF"/>
        <w:insideH w:val="single" w:sz="8" w:space="0" w:color="7ABCE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BCE4" w:themeColor="accent3" w:themeTint="BF"/>
          <w:left w:val="single" w:sz="8" w:space="0" w:color="7ABCE4" w:themeColor="accent3" w:themeTint="BF"/>
          <w:bottom w:val="single" w:sz="8" w:space="0" w:color="7ABCE4" w:themeColor="accent3" w:themeTint="BF"/>
          <w:right w:val="single" w:sz="8" w:space="0" w:color="7ABCE4" w:themeColor="accent3" w:themeTint="BF"/>
          <w:insideH w:val="nil"/>
          <w:insideV w:val="nil"/>
        </w:tcBorders>
        <w:shd w:val="clear" w:color="auto" w:fill="4EA6D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BCE4" w:themeColor="accent3" w:themeTint="BF"/>
          <w:left w:val="single" w:sz="8" w:space="0" w:color="7ABCE4" w:themeColor="accent3" w:themeTint="BF"/>
          <w:bottom w:val="single" w:sz="8" w:space="0" w:color="7ABCE4" w:themeColor="accent3" w:themeTint="BF"/>
          <w:right w:val="single" w:sz="8" w:space="0" w:color="7ABCE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8F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8F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597ED" w:themeColor="accent4" w:themeTint="BF"/>
        <w:left w:val="single" w:sz="8" w:space="0" w:color="7597ED" w:themeColor="accent4" w:themeTint="BF"/>
        <w:bottom w:val="single" w:sz="8" w:space="0" w:color="7597ED" w:themeColor="accent4" w:themeTint="BF"/>
        <w:right w:val="single" w:sz="8" w:space="0" w:color="7597ED" w:themeColor="accent4" w:themeTint="BF"/>
        <w:insideH w:val="single" w:sz="8" w:space="0" w:color="7597E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7ED" w:themeColor="accent4" w:themeTint="BF"/>
          <w:left w:val="single" w:sz="8" w:space="0" w:color="7597ED" w:themeColor="accent4" w:themeTint="BF"/>
          <w:bottom w:val="single" w:sz="8" w:space="0" w:color="7597ED" w:themeColor="accent4" w:themeTint="BF"/>
          <w:right w:val="single" w:sz="8" w:space="0" w:color="7597ED" w:themeColor="accent4" w:themeTint="BF"/>
          <w:insideH w:val="nil"/>
          <w:insideV w:val="nil"/>
        </w:tcBorders>
        <w:shd w:val="clear" w:color="auto" w:fill="4775E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7ED" w:themeColor="accent4" w:themeTint="BF"/>
          <w:left w:val="single" w:sz="8" w:space="0" w:color="7597ED" w:themeColor="accent4" w:themeTint="BF"/>
          <w:bottom w:val="single" w:sz="8" w:space="0" w:color="7597ED" w:themeColor="accent4" w:themeTint="BF"/>
          <w:right w:val="single" w:sz="8" w:space="0" w:color="7597E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A694E8" w:themeColor="accent5" w:themeTint="BF"/>
        <w:left w:val="single" w:sz="8" w:space="0" w:color="A694E8" w:themeColor="accent5" w:themeTint="BF"/>
        <w:bottom w:val="single" w:sz="8" w:space="0" w:color="A694E8" w:themeColor="accent5" w:themeTint="BF"/>
        <w:right w:val="single" w:sz="8" w:space="0" w:color="A694E8" w:themeColor="accent5" w:themeTint="BF"/>
        <w:insideH w:val="single" w:sz="8" w:space="0" w:color="A694E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694E8" w:themeColor="accent5" w:themeTint="BF"/>
          <w:left w:val="single" w:sz="8" w:space="0" w:color="A694E8" w:themeColor="accent5" w:themeTint="BF"/>
          <w:bottom w:val="single" w:sz="8" w:space="0" w:color="A694E8" w:themeColor="accent5" w:themeTint="BF"/>
          <w:right w:val="single" w:sz="8" w:space="0" w:color="A694E8" w:themeColor="accent5" w:themeTint="BF"/>
          <w:insideH w:val="nil"/>
          <w:insideV w:val="nil"/>
        </w:tcBorders>
        <w:shd w:val="clear" w:color="auto" w:fill="8971E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94E8" w:themeColor="accent5" w:themeTint="BF"/>
          <w:left w:val="single" w:sz="8" w:space="0" w:color="A694E8" w:themeColor="accent5" w:themeTint="BF"/>
          <w:bottom w:val="single" w:sz="8" w:space="0" w:color="A694E8" w:themeColor="accent5" w:themeTint="BF"/>
          <w:right w:val="single" w:sz="8" w:space="0" w:color="A694E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F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F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DF7596" w:themeColor="accent6" w:themeTint="BF"/>
        <w:left w:val="single" w:sz="8" w:space="0" w:color="DF7596" w:themeColor="accent6" w:themeTint="BF"/>
        <w:bottom w:val="single" w:sz="8" w:space="0" w:color="DF7596" w:themeColor="accent6" w:themeTint="BF"/>
        <w:right w:val="single" w:sz="8" w:space="0" w:color="DF7596" w:themeColor="accent6" w:themeTint="BF"/>
        <w:insideH w:val="single" w:sz="8" w:space="0" w:color="DF759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7596" w:themeColor="accent6" w:themeTint="BF"/>
          <w:left w:val="single" w:sz="8" w:space="0" w:color="DF7596" w:themeColor="accent6" w:themeTint="BF"/>
          <w:bottom w:val="single" w:sz="8" w:space="0" w:color="DF7596" w:themeColor="accent6" w:themeTint="BF"/>
          <w:right w:val="single" w:sz="8" w:space="0" w:color="DF7596" w:themeColor="accent6" w:themeTint="BF"/>
          <w:insideH w:val="nil"/>
          <w:insideV w:val="nil"/>
        </w:tcBorders>
        <w:shd w:val="clear" w:color="auto" w:fill="D5477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7596" w:themeColor="accent6" w:themeTint="BF"/>
          <w:left w:val="single" w:sz="8" w:space="0" w:color="DF7596" w:themeColor="accent6" w:themeTint="BF"/>
          <w:bottom w:val="single" w:sz="8" w:space="0" w:color="DF7596" w:themeColor="accent6" w:themeTint="BF"/>
          <w:right w:val="single" w:sz="8" w:space="0" w:color="DF759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1D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1D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2D91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2D9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2D91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30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30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30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6D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6D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6D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775E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775E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775E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971E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971E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971E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477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477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5477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E32D91" w:themeColor="accent1"/>
        <w:bottom w:val="single" w:sz="8" w:space="0" w:color="E32D91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2D91" w:themeColor="accent1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E32D91" w:themeColor="accent1"/>
          <w:bottom w:val="single" w:sz="8" w:space="0" w:color="E32D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2D91" w:themeColor="accent1"/>
          <w:bottom w:val="single" w:sz="8" w:space="0" w:color="E32D91" w:themeColor="accent1"/>
        </w:tcBorders>
      </w:tcPr>
    </w:tblStylePr>
    <w:tblStylePr w:type="band1Vert">
      <w:tblPr/>
      <w:tcPr>
        <w:shd w:val="clear" w:color="auto" w:fill="F8CAE3" w:themeFill="accent1" w:themeFillTint="3F"/>
      </w:tcPr>
    </w:tblStylePr>
    <w:tblStylePr w:type="band1Horz">
      <w:tblPr/>
      <w:tcPr>
        <w:shd w:val="clear" w:color="auto" w:fill="F8CAE3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830CC" w:themeColor="accent2"/>
        <w:bottom w:val="single" w:sz="8" w:space="0" w:color="C830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30CC" w:themeColor="accent2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C830CC" w:themeColor="accent2"/>
          <w:bottom w:val="single" w:sz="8" w:space="0" w:color="C830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30CC" w:themeColor="accent2"/>
          <w:bottom w:val="single" w:sz="8" w:space="0" w:color="C830CC" w:themeColor="accent2"/>
        </w:tcBorders>
      </w:tcPr>
    </w:tblStylePr>
    <w:tblStylePr w:type="band1Vert">
      <w:tblPr/>
      <w:tcPr>
        <w:shd w:val="clear" w:color="auto" w:fill="F1CBF2" w:themeFill="accent2" w:themeFillTint="3F"/>
      </w:tcPr>
    </w:tblStylePr>
    <w:tblStylePr w:type="band1Horz">
      <w:tblPr/>
      <w:tcPr>
        <w:shd w:val="clear" w:color="auto" w:fill="F1CBF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EA6DC" w:themeColor="accent3"/>
        <w:bottom w:val="single" w:sz="8" w:space="0" w:color="4EA6D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6DC" w:themeColor="accent3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4EA6DC" w:themeColor="accent3"/>
          <w:bottom w:val="single" w:sz="8" w:space="0" w:color="4EA6D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6DC" w:themeColor="accent3"/>
          <w:bottom w:val="single" w:sz="8" w:space="0" w:color="4EA6DC" w:themeColor="accent3"/>
        </w:tcBorders>
      </w:tcPr>
    </w:tblStylePr>
    <w:tblStylePr w:type="band1Vert">
      <w:tblPr/>
      <w:tcPr>
        <w:shd w:val="clear" w:color="auto" w:fill="D3E8F6" w:themeFill="accent3" w:themeFillTint="3F"/>
      </w:tcPr>
    </w:tblStylePr>
    <w:tblStylePr w:type="band1Horz">
      <w:tblPr/>
      <w:tcPr>
        <w:shd w:val="clear" w:color="auto" w:fill="D3E8F6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775E7" w:themeColor="accent4"/>
        <w:bottom w:val="single" w:sz="8" w:space="0" w:color="4775E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775E7" w:themeColor="accent4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4775E7" w:themeColor="accent4"/>
          <w:bottom w:val="single" w:sz="8" w:space="0" w:color="4775E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775E7" w:themeColor="accent4"/>
          <w:bottom w:val="single" w:sz="8" w:space="0" w:color="4775E7" w:themeColor="accent4"/>
        </w:tcBorders>
      </w:tcPr>
    </w:tblStylePr>
    <w:tblStylePr w:type="band1Vert">
      <w:tblPr/>
      <w:tcPr>
        <w:shd w:val="clear" w:color="auto" w:fill="D1DCF9" w:themeFill="accent4" w:themeFillTint="3F"/>
      </w:tcPr>
    </w:tblStylePr>
    <w:tblStylePr w:type="band1Horz">
      <w:tblPr/>
      <w:tcPr>
        <w:shd w:val="clear" w:color="auto" w:fill="D1DCF9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971E1" w:themeColor="accent5"/>
        <w:bottom w:val="single" w:sz="8" w:space="0" w:color="8971E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971E1" w:themeColor="accent5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8971E1" w:themeColor="accent5"/>
          <w:bottom w:val="single" w:sz="8" w:space="0" w:color="897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971E1" w:themeColor="accent5"/>
          <w:bottom w:val="single" w:sz="8" w:space="0" w:color="8971E1" w:themeColor="accent5"/>
        </w:tcBorders>
      </w:tcPr>
    </w:tblStylePr>
    <w:tblStylePr w:type="band1Vert">
      <w:tblPr/>
      <w:tcPr>
        <w:shd w:val="clear" w:color="auto" w:fill="E1DBF7" w:themeFill="accent5" w:themeFillTint="3F"/>
      </w:tcPr>
    </w:tblStylePr>
    <w:tblStylePr w:type="band1Horz">
      <w:tblPr/>
      <w:tcPr>
        <w:shd w:val="clear" w:color="auto" w:fill="E1DBF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D54773" w:themeColor="accent6"/>
        <w:bottom w:val="single" w:sz="8" w:space="0" w:color="D5477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54773" w:themeColor="accent6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D54773" w:themeColor="accent6"/>
          <w:bottom w:val="single" w:sz="8" w:space="0" w:color="D5477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54773" w:themeColor="accent6"/>
          <w:bottom w:val="single" w:sz="8" w:space="0" w:color="D54773" w:themeColor="accent6"/>
        </w:tcBorders>
      </w:tcPr>
    </w:tblStylePr>
    <w:tblStylePr w:type="band1Vert">
      <w:tblPr/>
      <w:tcPr>
        <w:shd w:val="clear" w:color="auto" w:fill="F4D1DC" w:themeFill="accent6" w:themeFillTint="3F"/>
      </w:tcPr>
    </w:tblStylePr>
    <w:tblStylePr w:type="band1Horz">
      <w:tblPr/>
      <w:tcPr>
        <w:shd w:val="clear" w:color="auto" w:fill="F4D1DC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2D9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32D9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2D9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2D9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CAE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830C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30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30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CB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6D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6DC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6D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6D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8F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775E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775E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775E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775E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971E1" w:themeColor="accent5"/>
        <w:left w:val="single" w:sz="8" w:space="0" w:color="8971E1" w:themeColor="accent5"/>
        <w:bottom w:val="single" w:sz="8" w:space="0" w:color="8971E1" w:themeColor="accent5"/>
        <w:right w:val="single" w:sz="8" w:space="0" w:color="8971E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971E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971E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971E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971E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F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F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5477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5477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5477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5477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1D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EA61AC" w:themeColor="accent1" w:themeTint="BF"/>
        <w:left w:val="single" w:sz="8" w:space="0" w:color="EA61AC" w:themeColor="accent1" w:themeTint="BF"/>
        <w:bottom w:val="single" w:sz="8" w:space="0" w:color="EA61AC" w:themeColor="accent1" w:themeTint="BF"/>
        <w:right w:val="single" w:sz="8" w:space="0" w:color="EA61AC" w:themeColor="accent1" w:themeTint="BF"/>
        <w:insideH w:val="single" w:sz="8" w:space="0" w:color="EA61AC" w:themeColor="accent1" w:themeTint="BF"/>
        <w:insideV w:val="single" w:sz="8" w:space="0" w:color="EA61AC" w:themeColor="accent1" w:themeTint="BF"/>
      </w:tblBorders>
    </w:tblPr>
    <w:tcPr>
      <w:shd w:val="clear" w:color="auto" w:fill="F8CAE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61A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96C8" w:themeFill="accent1" w:themeFillTint="7F"/>
      </w:tcPr>
    </w:tblStylePr>
    <w:tblStylePr w:type="band1Horz">
      <w:tblPr/>
      <w:tcPr>
        <w:shd w:val="clear" w:color="auto" w:fill="F196C8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D662DA" w:themeColor="accent2" w:themeTint="BF"/>
        <w:left w:val="single" w:sz="8" w:space="0" w:color="D662DA" w:themeColor="accent2" w:themeTint="BF"/>
        <w:bottom w:val="single" w:sz="8" w:space="0" w:color="D662DA" w:themeColor="accent2" w:themeTint="BF"/>
        <w:right w:val="single" w:sz="8" w:space="0" w:color="D662DA" w:themeColor="accent2" w:themeTint="BF"/>
        <w:insideH w:val="single" w:sz="8" w:space="0" w:color="D662DA" w:themeColor="accent2" w:themeTint="BF"/>
        <w:insideV w:val="single" w:sz="8" w:space="0" w:color="D662DA" w:themeColor="accent2" w:themeTint="BF"/>
      </w:tblBorders>
    </w:tblPr>
    <w:tcPr>
      <w:shd w:val="clear" w:color="auto" w:fill="F1CB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662D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96E6" w:themeFill="accent2" w:themeFillTint="7F"/>
      </w:tcPr>
    </w:tblStylePr>
    <w:tblStylePr w:type="band1Horz">
      <w:tblPr/>
      <w:tcPr>
        <w:shd w:val="clear" w:color="auto" w:fill="E496E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ABCE4" w:themeColor="accent3" w:themeTint="BF"/>
        <w:left w:val="single" w:sz="8" w:space="0" w:color="7ABCE4" w:themeColor="accent3" w:themeTint="BF"/>
        <w:bottom w:val="single" w:sz="8" w:space="0" w:color="7ABCE4" w:themeColor="accent3" w:themeTint="BF"/>
        <w:right w:val="single" w:sz="8" w:space="0" w:color="7ABCE4" w:themeColor="accent3" w:themeTint="BF"/>
        <w:insideH w:val="single" w:sz="8" w:space="0" w:color="7ABCE4" w:themeColor="accent3" w:themeTint="BF"/>
        <w:insideV w:val="single" w:sz="8" w:space="0" w:color="7ABCE4" w:themeColor="accent3" w:themeTint="BF"/>
      </w:tblBorders>
    </w:tblPr>
    <w:tcPr>
      <w:shd w:val="clear" w:color="auto" w:fill="D3E8F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BCE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D2ED" w:themeFill="accent3" w:themeFillTint="7F"/>
      </w:tcPr>
    </w:tblStylePr>
    <w:tblStylePr w:type="band1Horz">
      <w:tblPr/>
      <w:tcPr>
        <w:shd w:val="clear" w:color="auto" w:fill="A6D2ED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597ED" w:themeColor="accent4" w:themeTint="BF"/>
        <w:left w:val="single" w:sz="8" w:space="0" w:color="7597ED" w:themeColor="accent4" w:themeTint="BF"/>
        <w:bottom w:val="single" w:sz="8" w:space="0" w:color="7597ED" w:themeColor="accent4" w:themeTint="BF"/>
        <w:right w:val="single" w:sz="8" w:space="0" w:color="7597ED" w:themeColor="accent4" w:themeTint="BF"/>
        <w:insideH w:val="single" w:sz="8" w:space="0" w:color="7597ED" w:themeColor="accent4" w:themeTint="BF"/>
        <w:insideV w:val="single" w:sz="8" w:space="0" w:color="7597ED" w:themeColor="accent4" w:themeTint="BF"/>
      </w:tblBorders>
    </w:tblPr>
    <w:tcPr>
      <w:shd w:val="clear" w:color="auto" w:fill="D1DCF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7E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AF3" w:themeFill="accent4" w:themeFillTint="7F"/>
      </w:tcPr>
    </w:tblStylePr>
    <w:tblStylePr w:type="band1Horz">
      <w:tblPr/>
      <w:tcPr>
        <w:shd w:val="clear" w:color="auto" w:fill="A3BAF3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A694E8" w:themeColor="accent5" w:themeTint="BF"/>
        <w:left w:val="single" w:sz="8" w:space="0" w:color="A694E8" w:themeColor="accent5" w:themeTint="BF"/>
        <w:bottom w:val="single" w:sz="8" w:space="0" w:color="A694E8" w:themeColor="accent5" w:themeTint="BF"/>
        <w:right w:val="single" w:sz="8" w:space="0" w:color="A694E8" w:themeColor="accent5" w:themeTint="BF"/>
        <w:insideH w:val="single" w:sz="8" w:space="0" w:color="A694E8" w:themeColor="accent5" w:themeTint="BF"/>
        <w:insideV w:val="single" w:sz="8" w:space="0" w:color="A694E8" w:themeColor="accent5" w:themeTint="BF"/>
      </w:tblBorders>
    </w:tblPr>
    <w:tcPr>
      <w:shd w:val="clear" w:color="auto" w:fill="E1DBF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694E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B8F0" w:themeFill="accent5" w:themeFillTint="7F"/>
      </w:tcPr>
    </w:tblStylePr>
    <w:tblStylePr w:type="band1Horz">
      <w:tblPr/>
      <w:tcPr>
        <w:shd w:val="clear" w:color="auto" w:fill="C4B8F0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DF7596" w:themeColor="accent6" w:themeTint="BF"/>
        <w:left w:val="single" w:sz="8" w:space="0" w:color="DF7596" w:themeColor="accent6" w:themeTint="BF"/>
        <w:bottom w:val="single" w:sz="8" w:space="0" w:color="DF7596" w:themeColor="accent6" w:themeTint="BF"/>
        <w:right w:val="single" w:sz="8" w:space="0" w:color="DF7596" w:themeColor="accent6" w:themeTint="BF"/>
        <w:insideH w:val="single" w:sz="8" w:space="0" w:color="DF7596" w:themeColor="accent6" w:themeTint="BF"/>
        <w:insideV w:val="single" w:sz="8" w:space="0" w:color="DF7596" w:themeColor="accent6" w:themeTint="BF"/>
      </w:tblBorders>
    </w:tblPr>
    <w:tcPr>
      <w:shd w:val="clear" w:color="auto" w:fill="F4D1D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759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A3B9" w:themeFill="accent6" w:themeFillTint="7F"/>
      </w:tcPr>
    </w:tblStylePr>
    <w:tblStylePr w:type="band1Horz">
      <w:tblPr/>
      <w:tcPr>
        <w:shd w:val="clear" w:color="auto" w:fill="EAA3B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  <w:insideH w:val="single" w:sz="8" w:space="0" w:color="E32D91" w:themeColor="accent1"/>
        <w:insideV w:val="single" w:sz="8" w:space="0" w:color="E32D91" w:themeColor="accent1"/>
      </w:tblBorders>
    </w:tblPr>
    <w:tcPr>
      <w:shd w:val="clear" w:color="auto" w:fill="F8CAE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A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4E8" w:themeFill="accent1" w:themeFillTint="33"/>
      </w:tcPr>
    </w:tblStylePr>
    <w:tblStylePr w:type="band1Vert">
      <w:tblPr/>
      <w:tcPr>
        <w:shd w:val="clear" w:color="auto" w:fill="F196C8" w:themeFill="accent1" w:themeFillTint="7F"/>
      </w:tcPr>
    </w:tblStylePr>
    <w:tblStylePr w:type="band1Horz">
      <w:tblPr/>
      <w:tcPr>
        <w:tcBorders>
          <w:insideH w:val="single" w:sz="6" w:space="0" w:color="E32D91" w:themeColor="accent1"/>
          <w:insideV w:val="single" w:sz="6" w:space="0" w:color="E32D91" w:themeColor="accent1"/>
        </w:tcBorders>
        <w:shd w:val="clear" w:color="auto" w:fill="F196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  <w:insideH w:val="single" w:sz="8" w:space="0" w:color="C830CC" w:themeColor="accent2"/>
        <w:insideV w:val="single" w:sz="8" w:space="0" w:color="C830CC" w:themeColor="accent2"/>
      </w:tblBorders>
    </w:tblPr>
    <w:tcPr>
      <w:shd w:val="clear" w:color="auto" w:fill="F1CB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A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5F5" w:themeFill="accent2" w:themeFillTint="33"/>
      </w:tcPr>
    </w:tblStylePr>
    <w:tblStylePr w:type="band1Vert">
      <w:tblPr/>
      <w:tcPr>
        <w:shd w:val="clear" w:color="auto" w:fill="E496E6" w:themeFill="accent2" w:themeFillTint="7F"/>
      </w:tcPr>
    </w:tblStylePr>
    <w:tblStylePr w:type="band1Horz">
      <w:tblPr/>
      <w:tcPr>
        <w:tcBorders>
          <w:insideH w:val="single" w:sz="6" w:space="0" w:color="C830CC" w:themeColor="accent2"/>
          <w:insideV w:val="single" w:sz="6" w:space="0" w:color="C830CC" w:themeColor="accent2"/>
        </w:tcBorders>
        <w:shd w:val="clear" w:color="auto" w:fill="E496E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  <w:insideH w:val="single" w:sz="8" w:space="0" w:color="4EA6DC" w:themeColor="accent3"/>
        <w:insideV w:val="single" w:sz="8" w:space="0" w:color="4EA6DC" w:themeColor="accent3"/>
      </w:tblBorders>
    </w:tblPr>
    <w:tcPr>
      <w:shd w:val="clear" w:color="auto" w:fill="D3E8F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DF8" w:themeFill="accent3" w:themeFillTint="33"/>
      </w:tcPr>
    </w:tblStylePr>
    <w:tblStylePr w:type="band1Vert">
      <w:tblPr/>
      <w:tcPr>
        <w:shd w:val="clear" w:color="auto" w:fill="A6D2ED" w:themeFill="accent3" w:themeFillTint="7F"/>
      </w:tcPr>
    </w:tblStylePr>
    <w:tblStylePr w:type="band1Horz">
      <w:tblPr/>
      <w:tcPr>
        <w:tcBorders>
          <w:insideH w:val="single" w:sz="6" w:space="0" w:color="4EA6DC" w:themeColor="accent3"/>
          <w:insideV w:val="single" w:sz="6" w:space="0" w:color="4EA6DC" w:themeColor="accent3"/>
        </w:tcBorders>
        <w:shd w:val="clear" w:color="auto" w:fill="A6D2E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  <w:insideH w:val="single" w:sz="8" w:space="0" w:color="4775E7" w:themeColor="accent4"/>
        <w:insideV w:val="single" w:sz="8" w:space="0" w:color="4775E7" w:themeColor="accent4"/>
      </w:tblBorders>
    </w:tblPr>
    <w:tcPr>
      <w:shd w:val="clear" w:color="auto" w:fill="D1DCF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A" w:themeFill="accent4" w:themeFillTint="33"/>
      </w:tcPr>
    </w:tblStylePr>
    <w:tblStylePr w:type="band1Vert">
      <w:tblPr/>
      <w:tcPr>
        <w:shd w:val="clear" w:color="auto" w:fill="A3BAF3" w:themeFill="accent4" w:themeFillTint="7F"/>
      </w:tcPr>
    </w:tblStylePr>
    <w:tblStylePr w:type="band1Horz">
      <w:tblPr/>
      <w:tcPr>
        <w:tcBorders>
          <w:insideH w:val="single" w:sz="6" w:space="0" w:color="4775E7" w:themeColor="accent4"/>
          <w:insideV w:val="single" w:sz="6" w:space="0" w:color="4775E7" w:themeColor="accent4"/>
        </w:tcBorders>
        <w:shd w:val="clear" w:color="auto" w:fill="A3BAF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971E1" w:themeColor="accent5"/>
        <w:left w:val="single" w:sz="8" w:space="0" w:color="8971E1" w:themeColor="accent5"/>
        <w:bottom w:val="single" w:sz="8" w:space="0" w:color="8971E1" w:themeColor="accent5"/>
        <w:right w:val="single" w:sz="8" w:space="0" w:color="8971E1" w:themeColor="accent5"/>
        <w:insideH w:val="single" w:sz="8" w:space="0" w:color="8971E1" w:themeColor="accent5"/>
        <w:insideV w:val="single" w:sz="8" w:space="0" w:color="8971E1" w:themeColor="accent5"/>
      </w:tblBorders>
    </w:tblPr>
    <w:tcPr>
      <w:shd w:val="clear" w:color="auto" w:fill="E1DBF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F9" w:themeFill="accent5" w:themeFillTint="33"/>
      </w:tcPr>
    </w:tblStylePr>
    <w:tblStylePr w:type="band1Vert">
      <w:tblPr/>
      <w:tcPr>
        <w:shd w:val="clear" w:color="auto" w:fill="C4B8F0" w:themeFill="accent5" w:themeFillTint="7F"/>
      </w:tcPr>
    </w:tblStylePr>
    <w:tblStylePr w:type="band1Horz">
      <w:tblPr/>
      <w:tcPr>
        <w:tcBorders>
          <w:insideH w:val="single" w:sz="6" w:space="0" w:color="8971E1" w:themeColor="accent5"/>
          <w:insideV w:val="single" w:sz="6" w:space="0" w:color="8971E1" w:themeColor="accent5"/>
        </w:tcBorders>
        <w:shd w:val="clear" w:color="auto" w:fill="C4B8F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  <w:insideH w:val="single" w:sz="8" w:space="0" w:color="D54773" w:themeColor="accent6"/>
        <w:insideV w:val="single" w:sz="8" w:space="0" w:color="D54773" w:themeColor="accent6"/>
      </w:tblBorders>
    </w:tblPr>
    <w:tcPr>
      <w:shd w:val="clear" w:color="auto" w:fill="F4D1D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F1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AE2" w:themeFill="accent6" w:themeFillTint="33"/>
      </w:tcPr>
    </w:tblStylePr>
    <w:tblStylePr w:type="band1Vert">
      <w:tblPr/>
      <w:tcPr>
        <w:shd w:val="clear" w:color="auto" w:fill="EAA3B9" w:themeFill="accent6" w:themeFillTint="7F"/>
      </w:tcPr>
    </w:tblStylePr>
    <w:tblStylePr w:type="band1Horz">
      <w:tblPr/>
      <w:tcPr>
        <w:tcBorders>
          <w:insideH w:val="single" w:sz="6" w:space="0" w:color="D54773" w:themeColor="accent6"/>
          <w:insideV w:val="single" w:sz="6" w:space="0" w:color="D54773" w:themeColor="accent6"/>
        </w:tcBorders>
        <w:shd w:val="clear" w:color="auto" w:fill="EAA3B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CAE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2D91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2D91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32D91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32D91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96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96C8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CB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30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30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30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30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96E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96E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8F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6D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6D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6D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6D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D2E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D2ED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775E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775E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775E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775E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AF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BAF3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BF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971E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971E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971E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971E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B8F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B8F0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1D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477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477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5477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5477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A3B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A3B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E32D91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104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186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186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186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186D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830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18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24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24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24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249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EA6D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56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581B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581B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81B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81B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775E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328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4BC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4BC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BC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BC7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971E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1D8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F2CD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F2CD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2CD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2CD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D5477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1A3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275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275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275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2750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830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830CC" w:themeColor="accent2"/>
        <w:left w:val="single" w:sz="4" w:space="0" w:color="E32D91" w:themeColor="accent1"/>
        <w:bottom w:val="single" w:sz="4" w:space="0" w:color="E32D91" w:themeColor="accent1"/>
        <w:right w:val="single" w:sz="4" w:space="0" w:color="E32D91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F135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1357" w:themeColor="accent1" w:themeShade="99"/>
          <w:insideV w:val="nil"/>
        </w:tcBorders>
        <w:shd w:val="clear" w:color="auto" w:fill="8F135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1357" w:themeFill="accent1" w:themeFillShade="99"/>
      </w:tcPr>
    </w:tblStylePr>
    <w:tblStylePr w:type="band1Vert">
      <w:tblPr/>
      <w:tcPr>
        <w:shd w:val="clear" w:color="auto" w:fill="F3AAD2" w:themeFill="accent1" w:themeFillTint="66"/>
      </w:tcPr>
    </w:tblStylePr>
    <w:tblStylePr w:type="band1Horz">
      <w:tblPr/>
      <w:tcPr>
        <w:shd w:val="clear" w:color="auto" w:fill="F196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830CC" w:themeColor="accent2"/>
        <w:left w:val="single" w:sz="4" w:space="0" w:color="C830CC" w:themeColor="accent2"/>
        <w:bottom w:val="single" w:sz="4" w:space="0" w:color="C830CC" w:themeColor="accent2"/>
        <w:right w:val="single" w:sz="4" w:space="0" w:color="C830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A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1C7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1C7A" w:themeColor="accent2" w:themeShade="99"/>
          <w:insideV w:val="nil"/>
        </w:tcBorders>
        <w:shd w:val="clear" w:color="auto" w:fill="771C7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1C7A" w:themeFill="accent2" w:themeFillShade="99"/>
      </w:tcPr>
    </w:tblStylePr>
    <w:tblStylePr w:type="band1Vert">
      <w:tblPr/>
      <w:tcPr>
        <w:shd w:val="clear" w:color="auto" w:fill="E9ABEB" w:themeFill="accent2" w:themeFillTint="66"/>
      </w:tcPr>
    </w:tblStylePr>
    <w:tblStylePr w:type="band1Horz">
      <w:tblPr/>
      <w:tcPr>
        <w:shd w:val="clear" w:color="auto" w:fill="E496E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775E7" w:themeColor="accent4"/>
        <w:left w:val="single" w:sz="4" w:space="0" w:color="4EA6DC" w:themeColor="accent3"/>
        <w:bottom w:val="single" w:sz="4" w:space="0" w:color="4EA6DC" w:themeColor="accent3"/>
        <w:right w:val="single" w:sz="4" w:space="0" w:color="4EA6D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775E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D679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D6795" w:themeColor="accent3" w:themeShade="99"/>
          <w:insideV w:val="nil"/>
        </w:tcBorders>
        <w:shd w:val="clear" w:color="auto" w:fill="1D679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795" w:themeFill="accent3" w:themeFillShade="99"/>
      </w:tcPr>
    </w:tblStylePr>
    <w:tblStylePr w:type="band1Vert">
      <w:tblPr/>
      <w:tcPr>
        <w:shd w:val="clear" w:color="auto" w:fill="B8DBF1" w:themeFill="accent3" w:themeFillTint="66"/>
      </w:tcPr>
    </w:tblStylePr>
    <w:tblStylePr w:type="band1Horz">
      <w:tblPr/>
      <w:tcPr>
        <w:shd w:val="clear" w:color="auto" w:fill="A6D2E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EA6DC" w:themeColor="accent3"/>
        <w:left w:val="single" w:sz="4" w:space="0" w:color="4775E7" w:themeColor="accent4"/>
        <w:bottom w:val="single" w:sz="4" w:space="0" w:color="4775E7" w:themeColor="accent4"/>
        <w:right w:val="single" w:sz="4" w:space="0" w:color="4775E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6D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3CA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3CA0" w:themeColor="accent4" w:themeShade="99"/>
          <w:insideV w:val="nil"/>
        </w:tcBorders>
        <w:shd w:val="clear" w:color="auto" w:fill="153CA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3CA0" w:themeFill="accent4" w:themeFillShade="99"/>
      </w:tcPr>
    </w:tblStylePr>
    <w:tblStylePr w:type="band1Vert">
      <w:tblPr/>
      <w:tcPr>
        <w:shd w:val="clear" w:color="auto" w:fill="B5C7F5" w:themeFill="accent4" w:themeFillTint="66"/>
      </w:tcPr>
    </w:tblStylePr>
    <w:tblStylePr w:type="band1Horz">
      <w:tblPr/>
      <w:tcPr>
        <w:shd w:val="clear" w:color="auto" w:fill="A3BAF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D54773" w:themeColor="accent6"/>
        <w:left w:val="single" w:sz="4" w:space="0" w:color="8971E1" w:themeColor="accent5"/>
        <w:bottom w:val="single" w:sz="4" w:space="0" w:color="8971E1" w:themeColor="accent5"/>
        <w:right w:val="single" w:sz="4" w:space="0" w:color="8971E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0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477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23A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23A7" w:themeColor="accent5" w:themeShade="99"/>
          <w:insideV w:val="nil"/>
        </w:tcBorders>
        <w:shd w:val="clear" w:color="auto" w:fill="3F23A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23A7" w:themeFill="accent5" w:themeFillShade="99"/>
      </w:tcPr>
    </w:tblStylePr>
    <w:tblStylePr w:type="band1Vert">
      <w:tblPr/>
      <w:tcPr>
        <w:shd w:val="clear" w:color="auto" w:fill="CFC6F3" w:themeFill="accent5" w:themeFillTint="66"/>
      </w:tcPr>
    </w:tblStylePr>
    <w:tblStylePr w:type="band1Horz">
      <w:tblPr/>
      <w:tcPr>
        <w:shd w:val="clear" w:color="auto" w:fill="C4B8F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971E1" w:themeColor="accent5"/>
        <w:left w:val="single" w:sz="4" w:space="0" w:color="D54773" w:themeColor="accent6"/>
        <w:bottom w:val="single" w:sz="4" w:space="0" w:color="D54773" w:themeColor="accent6"/>
        <w:right w:val="single" w:sz="4" w:space="0" w:color="D5477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C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971E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1F4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1F40" w:themeColor="accent6" w:themeShade="99"/>
          <w:insideV w:val="nil"/>
        </w:tcBorders>
        <w:shd w:val="clear" w:color="auto" w:fill="8A1F4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1F40" w:themeFill="accent6" w:themeFillShade="99"/>
      </w:tcPr>
    </w:tblStylePr>
    <w:tblStylePr w:type="band1Vert">
      <w:tblPr/>
      <w:tcPr>
        <w:shd w:val="clear" w:color="auto" w:fill="EEB5C6" w:themeFill="accent6" w:themeFillTint="66"/>
      </w:tcPr>
    </w:tblStylePr>
    <w:tblStylePr w:type="band1Horz">
      <w:tblPr/>
      <w:tcPr>
        <w:shd w:val="clear" w:color="auto" w:fill="EAA3B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26A2" w:themeFill="accent2" w:themeFillShade="CC"/>
      </w:tcPr>
    </w:tblStylePr>
    <w:tblStylePr w:type="lastRow">
      <w:rPr>
        <w:b/>
        <w:bCs/>
        <w:color w:val="9F26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CEA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26A2" w:themeFill="accent2" w:themeFillShade="CC"/>
      </w:tcPr>
    </w:tblStylePr>
    <w:tblStylePr w:type="lastRow">
      <w:rPr>
        <w:b/>
        <w:bCs/>
        <w:color w:val="9F26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9EA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26A2" w:themeFill="accent2" w:themeFillShade="CC"/>
      </w:tcPr>
    </w:tblStylePr>
    <w:tblStylePr w:type="lastRow">
      <w:rPr>
        <w:b/>
        <w:bCs/>
        <w:color w:val="9F26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C51D5" w:themeFill="accent4" w:themeFillShade="CC"/>
      </w:tcPr>
    </w:tblStylePr>
    <w:tblStylePr w:type="lastRow">
      <w:rPr>
        <w:b/>
        <w:bCs/>
        <w:color w:val="1C51D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CF1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78AC6" w:themeFill="accent3" w:themeFillShade="CC"/>
      </w:tcPr>
    </w:tblStylePr>
    <w:tblStylePr w:type="lastRow">
      <w:rPr>
        <w:b/>
        <w:bCs/>
        <w:color w:val="278AC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3F0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2A56" w:themeFill="accent6" w:themeFillShade="CC"/>
      </w:tcPr>
    </w:tblStylePr>
    <w:tblStylePr w:type="lastRow">
      <w:rPr>
        <w:b/>
        <w:bCs/>
        <w:color w:val="B82A5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F7" w:themeFill="accent5" w:themeFillTint="3F"/>
      </w:tcPr>
    </w:tblStylePr>
    <w:tblStylePr w:type="band1Horz">
      <w:tblPr/>
      <w:tcPr>
        <w:shd w:val="clear" w:color="auto" w:fill="E7E2F9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BECF1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A39D5" w:themeFill="accent5" w:themeFillShade="CC"/>
      </w:tcPr>
    </w:tblStylePr>
    <w:tblStylePr w:type="lastRow">
      <w:rPr>
        <w:b/>
        <w:bCs/>
        <w:color w:val="5A39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4E8" w:themeFill="accent1" w:themeFillTint="33"/>
    </w:tcPr>
    <w:tblStylePr w:type="firstRow">
      <w:rPr>
        <w:b/>
        <w:bCs/>
      </w:rPr>
      <w:tblPr/>
      <w:tcPr>
        <w:shd w:val="clear" w:color="auto" w:fill="F3AAD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AAD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3186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3186D" w:themeFill="accent1" w:themeFillShade="BF"/>
      </w:tcPr>
    </w:tblStylePr>
    <w:tblStylePr w:type="band1Vert">
      <w:tblPr/>
      <w:tcPr>
        <w:shd w:val="clear" w:color="auto" w:fill="F196C8" w:themeFill="accent1" w:themeFillTint="7F"/>
      </w:tcPr>
    </w:tblStylePr>
    <w:tblStylePr w:type="band1Horz">
      <w:tblPr/>
      <w:tcPr>
        <w:shd w:val="clear" w:color="auto" w:fill="F196C8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5F5" w:themeFill="accent2" w:themeFillTint="33"/>
    </w:tcPr>
    <w:tblStylePr w:type="firstRow">
      <w:rPr>
        <w:b/>
        <w:bCs/>
      </w:rPr>
      <w:tblPr/>
      <w:tcPr>
        <w:shd w:val="clear" w:color="auto" w:fill="E9ABE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ABE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524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52498" w:themeFill="accent2" w:themeFillShade="BF"/>
      </w:tcPr>
    </w:tblStylePr>
    <w:tblStylePr w:type="band1Vert">
      <w:tblPr/>
      <w:tcPr>
        <w:shd w:val="clear" w:color="auto" w:fill="E496E6" w:themeFill="accent2" w:themeFillTint="7F"/>
      </w:tcPr>
    </w:tblStylePr>
    <w:tblStylePr w:type="band1Horz">
      <w:tblPr/>
      <w:tcPr>
        <w:shd w:val="clear" w:color="auto" w:fill="E496E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DF8" w:themeFill="accent3" w:themeFillTint="33"/>
    </w:tcPr>
    <w:tblStylePr w:type="firstRow">
      <w:rPr>
        <w:b/>
        <w:bCs/>
      </w:rPr>
      <w:tblPr/>
      <w:tcPr>
        <w:shd w:val="clear" w:color="auto" w:fill="B8DBF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DBF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2581B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2581BA" w:themeFill="accent3" w:themeFillShade="BF"/>
      </w:tcPr>
    </w:tblStylePr>
    <w:tblStylePr w:type="band1Vert">
      <w:tblPr/>
      <w:tcPr>
        <w:shd w:val="clear" w:color="auto" w:fill="A6D2ED" w:themeFill="accent3" w:themeFillTint="7F"/>
      </w:tcPr>
    </w:tblStylePr>
    <w:tblStylePr w:type="band1Horz">
      <w:tblPr/>
      <w:tcPr>
        <w:shd w:val="clear" w:color="auto" w:fill="A6D2ED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3FA" w:themeFill="accent4" w:themeFillTint="33"/>
    </w:tcPr>
    <w:tblStylePr w:type="firstRow">
      <w:rPr>
        <w:b/>
        <w:bCs/>
      </w:rPr>
      <w:tblPr/>
      <w:tcPr>
        <w:shd w:val="clear" w:color="auto" w:fill="B5C7F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F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A4BC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A4BC7" w:themeFill="accent4" w:themeFillShade="BF"/>
      </w:tcPr>
    </w:tblStylePr>
    <w:tblStylePr w:type="band1Vert">
      <w:tblPr/>
      <w:tcPr>
        <w:shd w:val="clear" w:color="auto" w:fill="A3BAF3" w:themeFill="accent4" w:themeFillTint="7F"/>
      </w:tcPr>
    </w:tblStylePr>
    <w:tblStylePr w:type="band1Horz">
      <w:tblPr/>
      <w:tcPr>
        <w:shd w:val="clear" w:color="auto" w:fill="A3BAF3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2F9" w:themeFill="accent5" w:themeFillTint="33"/>
    </w:tcPr>
    <w:tblStylePr w:type="firstRow">
      <w:rPr>
        <w:b/>
        <w:bCs/>
      </w:rPr>
      <w:tblPr/>
      <w:tcPr>
        <w:shd w:val="clear" w:color="auto" w:fill="CFC6F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6F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F2CD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F2CD0" w:themeFill="accent5" w:themeFillShade="BF"/>
      </w:tcPr>
    </w:tblStylePr>
    <w:tblStylePr w:type="band1Vert">
      <w:tblPr/>
      <w:tcPr>
        <w:shd w:val="clear" w:color="auto" w:fill="C4B8F0" w:themeFill="accent5" w:themeFillTint="7F"/>
      </w:tcPr>
    </w:tblStylePr>
    <w:tblStylePr w:type="band1Horz">
      <w:tblPr/>
      <w:tcPr>
        <w:shd w:val="clear" w:color="auto" w:fill="C4B8F0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AE2" w:themeFill="accent6" w:themeFillTint="33"/>
    </w:tcPr>
    <w:tblStylePr w:type="firstRow">
      <w:rPr>
        <w:b/>
        <w:bCs/>
      </w:rPr>
      <w:tblPr/>
      <w:tcPr>
        <w:shd w:val="clear" w:color="auto" w:fill="EEB5C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5C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D275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D2750" w:themeFill="accent6" w:themeFillShade="BF"/>
      </w:tcPr>
    </w:tblStylePr>
    <w:tblStylePr w:type="band1Vert">
      <w:tblPr/>
      <w:tcPr>
        <w:shd w:val="clear" w:color="auto" w:fill="EAA3B9" w:themeFill="accent6" w:themeFillTint="7F"/>
      </w:tcPr>
    </w:tblStylePr>
    <w:tblStylePr w:type="band1Horz">
      <w:tblPr/>
      <w:tcPr>
        <w:shd w:val="clear" w:color="auto" w:fill="EAA3B9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F32A5"/>
    <w:rPr>
      <w:sz w:val="20"/>
      <w:szCs w:val="20"/>
    </w:rPr>
  </w:style>
  <w:style w:type="paragraph" w:customStyle="1" w:styleId="PersonalName">
    <w:name w:val="Personal Name"/>
    <w:basedOn w:val="Title"/>
    <w:rsid w:val="00BF32A5"/>
    <w:rPr>
      <w:b/>
      <w:cap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855</Words>
  <Characters>4875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1. Executive Summary</vt:lpstr>
      <vt:lpstr>2. Reviewer Roles</vt:lpstr>
      <vt:lpstr>3. Cohen Kappa Results</vt:lpstr>
      <vt:lpstr>4. What Cohen Kappa Means</vt:lpstr>
      <vt:lpstr>5. Analyst Review Comments</vt:lpstr>
      <vt:lpstr>6. Disagreement Examples and Adjudication</vt:lpstr>
      <vt:lpstr>7. Manager Decision and Next Actions</vt:lpstr>
      <vt:lpstr>8. Final Sign-off</vt:lpstr>
    </vt:vector>
  </TitlesOfParts>
  <Manager/>
  <Company/>
  <LinksUpToDate>false</LinksUpToDate>
  <CharactersWithSpaces>5719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Lex Milana</cp:lastModifiedBy>
  <cp:revision>2</cp:revision>
  <dcterms:created xsi:type="dcterms:W3CDTF">2013-12-23T23:15:00Z</dcterms:created>
  <dcterms:modified xsi:type="dcterms:W3CDTF">2026-05-03T09:45:00Z</dcterms:modified>
  <cp:category/>
</cp:coreProperties>
</file>