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фильтрации нефти с детальным составом (четыре группы н-алканов, асфальтены, смолы), кинетикой кристаллизации парафина, удержанием смол и асфальтенов породой, гелеобразованием и теплообменом пласта с вмещающими породами. По четырем сериям керновых опытов среднеквадратичное отклонение проницаемости составило 0.013–0.044 против 0.05–0.28 или закупорки керна у прежней модели; сеть пор и горл с подобранной по керну кинетикой закупоривает керн, поэтому в пласте использован пучок капилляров. Расчет заводнения элемента пласта с нефтью Жетыбая при 55°C показал, что закачка воды при 20°C снижает коэффициент извлечения нефти за 5 лет на 0.034, и 56% этого снижения дает парафин — главным образом через потерю приемистости. Эффекты теплообмена с вмещающими породами и парафина не аддитивны: их взаимодействие составляет 49% эффекта теплообмена, а без теплообмена отложения парафина больше в 3.9 раза. Кинетика кристаллизации в пласте проявляется разделом пересыщения между объемом нефти и стенками пор; скрытая теплота и тепловое неравновесие флюидов и породы не влияют. Удержание смол и асфальтенов, подобранное выше температуры кристаллизации, дает скин-фактор 27.9 и заслоняет парафин.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</w:t>
      </w:r>
      <w:r>
        <w:t xml:space="preserve"> </w:t>
      </w:r>
      <w:r>
        <w:t xml:space="preserve">Классическое решение задачи получено Ловерье [5, 6]; Винсом и Вестервельд [7] заменили свертку истории температуры на границе пласта пробным профилем температуры в породах [8].</w:t>
      </w:r>
    </w:p>
    <w:p>
      <w:pPr>
        <w:pStyle w:val="BodyText"/>
      </w:pPr>
      <w:r>
        <w:t xml:space="preserve">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</w:t>
      </w:r>
      <w:r>
        <w:t xml:space="preserve">, а проницаемость связана с отложением степенной зависимостью [13, 14] или функцией распределения пор [15]</w:t>
      </w:r>
      <w:r>
        <w:t xml:space="preserve">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породами, проверить ее по четырем независимым сериям керновых опытов с заданным температурным режимом и на этой основе оценить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разделив вклады теплообмена и парафина.</w:t>
      </w:r>
      <w:r>
        <w:t xml:space="preserve"> </w:t>
      </w:r>
    </w:p>
    <w:bookmarkEnd w:id="10"/>
    <w:bookmarkStart w:id="20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фильтрация несжимаемых воды и нефти без капиллярных и гравитационных сил. Нефтяная фаза состоит из групп н-алканов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1, …,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асфальтенов, смол и остатка; все доли массовые. Балансы массы воды (1) и компонента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нефтяной фазы (2):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— пористость;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насыщенности;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скорости фильтрации;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дебиты скважин;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c</w:t>
      </w:r>
      <w:r>
        <w:t xml:space="preserve"> </w:t>
      </w:r>
      <w:r>
        <w:t xml:space="preserve">— сток в отложения, выраженный через скорости потери порового объема: осаждения кристаллов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1</w:t>
      </w:r>
      <w:r>
        <w:t xml:space="preserve">, пробок в горлах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2</w:t>
      </w:r>
      <w:r>
        <w:t xml:space="preserve">, кристаллизации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 осадка флокул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pa</w:t>
      </w:r>
      <w:r>
        <w:t xml:space="preserve"> </w:t>
      </w:r>
      <w:r>
        <w:t xml:space="preserve">и удержания смол и асфальтенов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. Для группы парафина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endChr m:val="]"/>
              <m:grow/>
            </m:dPr>
            <m:e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ρ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плотность кристаллического парафина в (3). Сумма скоростей равна скорости убыли пористости (4):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— абсолютная проницаемость;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o</w:t>
      </w:r>
      <w:r>
        <w:t xml:space="preserve">,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относительные фазовые проницаемости (модель Кори); μ</w:t>
      </w:r>
      <w:r>
        <w:rPr>
          <w:i/>
          <w:iCs/>
          <w:vertAlign w:val="subscript"/>
        </w:rPr>
        <w:t xml:space="preserve">o</w:t>
      </w:r>
      <w:r>
        <w:t xml:space="preserve">, μ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вязкости;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endChr m:val="]"/>
                  <m:grow/>
                </m:dPr>
                <m:e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[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(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f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теплоемкости воды, породы и кристаллического парафина;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эффективная теплоемкость нефтяной фазы; ρ</w:t>
      </w:r>
      <w:r>
        <w:rPr>
          <w:i/>
          <w:iCs/>
          <w:vertAlign w:val="subscript"/>
        </w:rPr>
        <w:t xml:space="preserve">f</w:t>
      </w:r>
      <w:r>
        <w:t xml:space="preserve"> </w:t>
      </w:r>
      <w:r>
        <w:t xml:space="preserve">— плотность породы;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пористость; Λ — эффективная теплопроводность;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— потери тепла через кровлю и подошву; для нагнетательной скважины берется температура закачки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inj</w:t>
      </w:r>
      <w:r>
        <w:t xml:space="preserve">. Носитель скрытой теплоты (7)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[17];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ее опорное значение.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Кровля и подошва непроницаемы и обмениваются теплом с полубесконечными вмещающими породами (теплопроводность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, температуропроводность α</w:t>
      </w:r>
      <w:r>
        <w:rPr>
          <w:vertAlign w:val="subscript"/>
        </w:rPr>
        <w:t xml:space="preserve">ff</w:t>
      </w:r>
      <w:r>
        <w:t xml:space="preserve">). По Ловерье [5]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пласта,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температура, множитель 2 учитывает кровлю и подошву.</w:t>
      </w:r>
      <w:r>
        <w:t xml:space="preserve"> </w:t>
      </w:r>
      <w:r>
        <w:t xml:space="preserve"> </w:t>
      </w:r>
      <w:r>
        <w:t xml:space="preserve">Метод Винсома—Вестервельда [7] учитывает предысторию прогрева пробным профилем температуры в породах (9)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— расстояние от границы пласта, Δ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находятся из уравнения теплопроводности на границе и баланса накопленной в породах энергии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(10):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&lt;0: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Н-алканы C17–C60 (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) разбиты на четыре группы со свойствами по Вону [17]; каждая выпадает в собственную твердую фазу [18] с пределом растворимости (11)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скачок молярного объема при плавлении;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сдвиг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эффективные параметры, подобранные по кривой выпадения нефти Жетыбая [19]. С растворителем молярной массы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и растворенным газом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(</w:t>
      </w:r>
      <w:r>
        <w:rPr>
          <w:i/>
          <w:iCs/>
        </w:rPr>
        <w:t xml:space="preserve">P</w:t>
      </w:r>
      <w:r>
        <w:t xml:space="preserve">) растворенная доля группы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газ понижает WAT живой нефти; при одной группе (12) переходит в модель бинарного идеального раствора [9, 10]. Растворимость асфальтенов описывается моделью Хиршберга [20].</w:t>
      </w:r>
      <w:r>
        <w:t xml:space="preserve"> </w:t>
      </w:r>
    </w:p>
    <w:bookmarkEnd w:id="14"/>
    <w:bookmarkStart w:id="15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) и кристаллизацией на стенках пор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 Δ</w:t>
      </w:r>
      <w:r>
        <w:rPr>
          <w:i/>
          <w:iCs/>
        </w:rPr>
        <w:t xml:space="preserve">t</w:t>
      </w:r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−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a</w:t>
      </w:r>
      <w:r>
        <w:t xml:space="preserve">, где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→ ∞,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Взвешенные кристаллы диаметра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переносятся к стенкам капилляров конвективной диффузией и блокируют капилляр, если не проходят его горло (отношение радиусов горла и канала γ) [21].</w:t>
      </w:r>
      <w:r>
        <w:t xml:space="preserve"> </w:t>
      </w:r>
      <w:r>
        <w:t xml:space="preserve">Скорость сужения канала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 решению Левека и скорость его блокирования [11, 21]: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длина порового канала; β — доля блокируемых каналов; η — извилистость;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— множитель броуновской диффузии в (15); μ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вязкость жидкости с кристаллами (18).</w:t>
      </w:r>
      <w:r>
        <w:t xml:space="preserve"> </w:t>
      </w:r>
    </w:p>
    <w:p>
      <w:pPr>
        <w:pStyle w:val="BodyText"/>
      </w:pPr>
      <w:r>
        <w:t xml:space="preserve">Скорости (14) ограничены подводом: за шаг оседает не больше взвеси, чем есть в ячейке.</w:t>
      </w:r>
    </w:p>
    <w:bookmarkEnd w:id="15"/>
    <w:bookmarkStart w:id="16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Γ — удержанная масса на единицу объема породы;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— доля в нефти;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&lt;0 — эффективная энтальпия;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[22]. Удержанный объем σ снижает проницаемость по Сивану [3]: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 σ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bookmarkEnd w:id="16"/>
    <w:bookmarkStart w:id="17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[23]: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ϕ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— объемная доля взвешенных кристаллов. Ниже точки гелеобразования нефть вязкопластична с пределом текучести τ</w:t>
      </w:r>
      <w:r>
        <w:rPr>
          <w:i/>
          <w:iCs/>
          <w:vertAlign w:val="subscript"/>
        </w:rPr>
        <w:t xml:space="preserve">y</w:t>
      </w:r>
      <w:r>
        <w:t xml:space="preserve">(ϕ), где ϕ — доля твердого парафина в поре вместе с осадком, и подвижность нефти умножается на множитель Букингема—Райнера</w:t>
      </w:r>
      <w:r>
        <w:t xml:space="preserve"> </w:t>
      </w:r>
      <w:r>
        <w:rPr>
          <w:i/>
          <w:iCs/>
        </w:rPr>
        <w:t xml:space="preserve">F</w:t>
      </w:r>
      <w:r>
        <w:t xml:space="preserve">(τ</w:t>
      </w:r>
      <w:r>
        <w:rPr>
          <w:i/>
          <w:iCs/>
          <w:vertAlign w:val="subscript"/>
        </w:rPr>
        <w:t xml:space="preserve">y</w:t>
      </w:r>
      <w:r>
        <w:t xml:space="preserve">/τ</w:t>
      </w:r>
      <w:r>
        <w:rPr>
          <w:i/>
          <w:iCs/>
          <w:vertAlign w:val="subscript"/>
        </w:rPr>
        <w:t xml:space="preserve">w</w:t>
      </w:r>
      <w:r>
        <w:t xml:space="preserve">), осредненный по капиллярам: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Через μ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гель входит в уравнение давления, продуктивность скважин и перетоки.</w:t>
      </w:r>
    </w:p>
    <w:bookmarkEnd w:id="17"/>
    <w:bookmarkStart w:id="18" w:name="поровое-пространство"/>
    <w:p>
      <w:pPr>
        <w:pStyle w:val="Heading2"/>
      </w:pPr>
      <w:r>
        <w:t xml:space="preserve">Поровое пространство</w:t>
      </w:r>
    </w:p>
    <w:p>
      <w:pPr>
        <w:pStyle w:val="FirstParagraph"/>
      </w:pPr>
      <w:r>
        <w:t xml:space="preserve">Функция распределения капилляров по радиусам φ(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 с начальным логнормальным распределением Косуги [24]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медианный радиус,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— стандартное отклонение ln</w:t>
      </w:r>
      <w:r>
        <w:rPr>
          <w:i/>
          <w:iCs/>
        </w:rPr>
        <w:t xml:space="preserve">r</w:t>
      </w:r>
      <w:r>
        <w:t xml:space="preserve">, меняется по уравнению [21]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(21) — тупиковая пористость заблокированных каналов; извилистость η выбрана так, чтобы пучок имел проницаемость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В сети пор и горл [16, 25] проводимость дают горла радиуса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γ(</w:t>
      </w:r>
      <w:r>
        <w:rPr>
          <w:i/>
          <w:iCs/>
        </w:rPr>
        <w:t xml:space="preserve">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h</w:t>
      </w:r>
      <w:r>
        <w:t xml:space="preserve">) −</w:t>
      </w:r>
      <w:r>
        <w:t xml:space="preserve"> </w:t>
      </w:r>
      <w:r>
        <w:rPr>
          <w:i/>
          <w:iCs/>
        </w:rPr>
        <w:t xml:space="preserve">h</w:t>
      </w:r>
      <w:r>
        <w:t xml:space="preserve">, 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w:r>
        <w:rPr>
          <w:i/>
          <w:iCs/>
        </w:rPr>
        <w:t xml:space="preserve">z</w:t>
      </w:r>
      <w:r>
        <w:t xml:space="preserve">. Эффективная проводимость горла</w:t>
      </w:r>
      <w:r>
        <w:t xml:space="preserve">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i</w:t>
      </w:r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доля закрытых и заблокированных. Проницаемость сети исчезает на пороге протекания 2/</w:t>
      </w:r>
      <w:r>
        <w:rPr>
          <w:i/>
          <w:iCs/>
        </w:rPr>
        <w:t xml:space="preserve">z</w:t>
      </w:r>
      <w:r>
        <w:t xml:space="preserve">, а не при закрытии всех каналов.</w:t>
      </w:r>
    </w:p>
    <w:bookmarkEnd w:id="18"/>
    <w:bookmarkStart w:id="19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объемов; давление находится неявно, насыщенность, состав и температура — явно (IMPES) с шагом по числу Куранта, уравнение (20) — неявной прогонкой по радиусам, кинетика и удержание — неявно за шаг. Балансы массы компонентов выполняются с точностью 10</w:t>
      </w:r>
      <w:r>
        <w:rPr>
          <w:vertAlign w:val="superscript"/>
        </w:rPr>
        <w:t xml:space="preserve">−16</w:t>
      </w:r>
      <w:r>
        <w:t xml:space="preserve">. Межфазный теплообмен в варианте с тепловым неравновесием рассчитывается по корреляции Вакао—Кагеи для зернистого слоя [26].</w:t>
      </w:r>
    </w:p>
    <w:bookmarkEnd w:id="19"/>
    <w:bookmarkEnd w:id="20"/>
    <w:bookmarkStart w:id="21" w:name="опыты-и-подбор-параметров"/>
    <w:p>
      <w:pPr>
        <w:pStyle w:val="Heading1"/>
      </w:pPr>
      <w:r>
        <w:t xml:space="preserve">ОПЫТЫ И ПОДБОР ПАРАМЕТРОВ</w:t>
      </w:r>
    </w:p>
    <w:p>
      <w:pPr>
        <w:pStyle w:val="FirstParagraph"/>
      </w:pPr>
      <w:r>
        <w:t xml:space="preserve">Модель проверялась по четырем сериям керновых опытов с заданным температурным режимом: прокачка парафинистой нефти через керн Berea ниже точки помутнения (Sutton и Roberts [27], данные — по [9, 11]), ступенчатое охлаждение керна с нефтью Жетыбая 90 → 65 → 45 → 25°C (Li и др. [19]), охлаждение керна со скоростью 1°C/ч (Sandyga и др. [2]) и пары пористость — проницаемость после отложения парафина (He и др. [28]).</w:t>
      </w:r>
      <w:r>
        <w:t xml:space="preserve"> </w:t>
      </w:r>
    </w:p>
    <w:p>
      <w:pPr>
        <w:pStyle w:val="BodyText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разделены: по опытам Sutton и Roberts — диаметр кристалла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множитель диффузии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(15) и вынос отложений; по ступеням 90–45°C опыта Li и др. — удержание (16), (17), по ступени 25°C — кинетика (13); по опыту Sandyga и др. — кристаллизация на стенках. Термодинамика групп, вязкость и гель определены по независимым измерениям свойств нефти [19], пары He и др. не подбирались.</w:t>
      </w:r>
      <w:r>
        <w:t xml:space="preserve"> </w:t>
      </w:r>
    </w:p>
    <w:bookmarkEnd w:id="21"/>
    <w:bookmarkStart w:id="34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1, кривые — на рис. 1–4.</w:t>
      </w:r>
    </w:p>
    <w:p>
      <w:pPr>
        <w:pStyle w:val="BodyText"/>
      </w:pPr>
      <w:r>
        <w:t xml:space="preserve">Таблица 1. Среднеквадратичное отклонение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(</w:t>
      </w:r>
      <w:r>
        <w:rPr>
          <w:i/>
          <w:iCs/>
        </w:rPr>
        <w:t xml:space="preserve">m</w:t>
      </w:r>
      <w:r>
        <w:t xml:space="preserve">/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)</w:t>
      </w:r>
      <w:r>
        <w:rPr>
          <w:i/>
          <w:iCs/>
          <w:vertAlign w:val="superscript"/>
        </w:rPr>
        <w:t xml:space="preserve">n</w:t>
      </w:r>
      <w:r>
        <w:t xml:space="preserve"> </w:t>
      </w:r>
      <w:r>
        <w:t xml:space="preserve">с подобранным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5.7; прежняя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1). Пучок капилляров с выносом отложений описывает оба опыта с СКО 0.034 и 0.037 при шумовом пороге 0.029 и 0.025 (модель Wang и Civan [11] — 0.040 и 0.060): начальный провал проницаемости дает блокирование узких каналов кристаллами, медленный спад — сужение широких.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aspo_f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2). Выше WAT (90, 65 и 45°C) парафин растворен, и проницаемость теряется из-за удержания смол и асфальтенов, растущего при охлаждении (−Δ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кДж/моль): СКО ступеней 0.019, 0.027, 0.042, тогда как прежняя модель закупоривает керн. На ступени 25°C добавляется кристаллизация (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= 13.5 мкм,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63 с), СКО 0.013.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aspo_f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3а). Рост градиента давления в 44 раза при охлаждении с 40 до 32.8°C модель с кристаллизацией на стенках пор описывает с СКО 0.036 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прежняя модель — 0.255.</w:t>
      </w:r>
      <w:r>
        <w:t xml:space="preserve"> 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aspo_f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4). Пучок теряет проницаемость много медленнее пористости (СКО 0.281); сеть пор и горл с одним подобранным параметром дает 0.044, степенная зависимость — 0.039, а приближение эффективной среды (22) совпадает с расчетом случайной решетки 14</w:t>
      </w:r>
      <w:r>
        <w:rPr>
          <w:vertAlign w:val="superscript"/>
        </w:rPr>
        <w:t xml:space="preserve">3</w:t>
      </w:r>
      <w:r>
        <w:t xml:space="preserve"> </w:t>
      </w:r>
      <w:r>
        <w:t xml:space="preserve">до 0.008.</w:t>
      </w:r>
      <w:r>
        <w:t xml:space="preserve"> 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aspo_f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 кинетикой, подобранной для пучка, сеть закупоривает керн Li и др. на ступени 45°C (СКО 0.428), а с кристаллами 2–10 мкм — на ступени 25°C (СКО 0.24–0.33), чего в опыте нет: при блокировании горл кристаллами сеть рано переходит порог протекания, как и в опытах Sutton и Roberts и Sandyga и др.</w:t>
      </w:r>
      <w:r>
        <w:t xml:space="preserve"> </w:t>
      </w:r>
      <w:r>
        <w:t xml:space="preserve">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34"/>
    <w:bookmarkStart w:id="48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35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. В опыте Sandyga и др. (1/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45 мин) число Дамкелера Da 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1.3 — режим наибольшей чувствительности к скорости. По прогнозу модели (рис. 3б) к 32.8°C градиент давления вырастает в 959 раз при 0.25°C/ч (Da = 5.3), когда пересыщение снимается на стенках у самой WAT, и лишь в 3 раза при 4°C/ч (Da = 0.3). Опыт при двух скоростях охлаждения позволил бы отделить кинетику кристаллизации от равновесной модели.</w:t>
      </w:r>
      <w:r>
        <w:t xml:space="preserve"> </w:t>
      </w:r>
    </w:p>
    <w:bookmarkEnd w:id="35"/>
    <w:bookmarkStart w:id="36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× 10 м (сетка 50 × 50) с нагнетательной и добывающей скважинами в противоположных углах при забойных давлениях 17 и 7 МПа; начальное давление 12 МПа, расчет — на 5 лет. Нефть Жетыбая: парафин 25.0% масс., смолы 5.52%, асфальтены 0.91%, давление насыщения 9.5 МПа. Пластовая температура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55°C выше WAT живой нефти (38.7–40.0°C) не менее чем на 15°C. Базовый вариант — закачка воды при 20°C, теплообмен по методу Винсома—Вестервельда, кинетика кристаллизации из подбора по опыту Li и др., пучок капилляров.</w:t>
      </w:r>
      <w:r>
        <w:t xml:space="preserve"> </w:t>
      </w:r>
    </w:p>
    <w:p>
      <w:pPr>
        <w:pStyle w:val="BodyText"/>
      </w:pPr>
      <w:r>
        <w:t xml:space="preserve">Удержание смол и асфальтенов рассматривается отдельным вариантом, остальные варианты отличаются от базового одним фактором; варианты с нефтью без парафина вместе с базовым и вариантом без теплообмена образуют полный факторный план (табл. 2, 3).</w:t>
      </w:r>
      <w:r>
        <w:t xml:space="preserve"> </w:t>
      </w:r>
    </w:p>
    <w:p>
      <w:pPr>
        <w:pStyle w:val="BodyText"/>
      </w:pPr>
      <w:r>
        <w:t xml:space="preserve">Таблица 2. Показатели вариантов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36"/>
    <w:bookmarkStart w:id="4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5а): через год вода продвинулась по диагонали на 198 м, изотерма середины перепада температур — на 34 м, поскольку скорость теплового фронта составляет лишь</w:t>
      </w:r>
      <w:r>
        <w:t xml:space="preserve"> </w:t>
      </w:r>
      <w:r>
        <w:rPr>
          <w:i/>
          <w:iCs/>
        </w:rPr>
        <w:t xml:space="preserve">m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 </w:t>
      </w:r>
      <w:r>
        <w:t xml:space="preserve">= 0.42 средней скорости воды в порах [29]. Через 5 лет ниже WAT охлаждено 15.2% площади элемента.</w:t>
      </w:r>
      <w:r>
        <w:t xml:space="preserve"> </w:t>
      </w:r>
    </w:p>
    <w:p>
      <w:pPr>
        <w:pStyle w:val="BodyText"/>
      </w:pPr>
      <w:r>
        <w:t xml:space="preserve">Парафин выпадает в охлажденной зоне позади фронта вытеснения: осело 390 т (по группам C17–22 / C23–30 / C31–40 / C41–60 — 1 / 24 / 30 / 45%), до 6.0% порового объема. Наибольшее повреждение — у нагнетательной скважины (рис. 5б):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0.568, скин-фактор 1.6; гель занимает 7% площади.</w:t>
      </w:r>
      <w:r>
        <w:t xml:space="preserve"> 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aspo_f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3, рис. 6).</w:t>
      </w:r>
    </w:p>
    <w:p>
      <w:pPr>
        <w:pStyle w:val="BodyText"/>
      </w:pPr>
      <w:r>
        <w:t xml:space="preserve">Таблица 3. Разложение эффектов по полному факторному плану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не аддитивны: для нефти без парафина теплообмен меняет КИН на 0.003 (через вязкость), для парафинистой — на 0.006; взаимодействие составляет 49% эффекта теплообмена. Парафин снижает КИН на 0.019 с теплообменом и на 0.022 без него и дает 56% потери КИН от охлаждения (0.034), главным образом через приемистость (закачка меньше на 20%). Дополнительный парафин без теплообмена оседает в промытой зоне, где нефть почти неподвижна, поэтому КИН снижается мало.</w:t>
      </w:r>
      <w:r>
        <w:t xml:space="preserve"> 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aspo_f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bookmarkEnd w:id="45"/>
    <w:bookmarkStart w:id="46" w:name="удержание-смол-и-асфальтенов-1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Начальное удержание смол и асфальтенов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составляет 0.96 от предельного по (17), а константа Ленгмюра при охлаждении до 20°C растет в 4·10² раз, поэтому прирост удержания в призабойной зоне резко снижает проницаемость: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0.069, скин-фактор 27.9; закачано 37.9 тыс. м³ против 95.6, КИН 0.249 против 0.329, и влияние парафина заслонено. Вывод опирается на экстраполяцию удержания ниже 45°C, поэтому этот вариант — оценка сверху.</w:t>
      </w:r>
      <w:r>
        <w:t xml:space="preserve"> </w:t>
      </w:r>
    </w:p>
    <w:bookmarkEnd w:id="46"/>
    <w:bookmarkStart w:id="47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(Φ = 1 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~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), а разделом пересыщения: 39% его кристаллизуется на стенках и равномерно сужает каналы, почти не снижая проницаемости пучка, тогда как при равновесной кристаллизации кристаллы блокируют каналы у скважины (скин-фактор 3.3 против 1.6, КИН ниже на 0.011).</w:t>
      </w:r>
      <w:r>
        <w:t xml:space="preserve"> </w:t>
      </w:r>
    </w:p>
    <w:p>
      <w:pPr>
        <w:pStyle w:val="BodyText"/>
      </w:pPr>
      <w:r>
        <w:t xml:space="preserve">Без давления и газа в равновесии WAT повышается до 45.3°C и парафина выпадает 817 т, но вместе с газом уходит и флокуляция асфальтенов у добывающей скважины, и КИН выше на 0.015.</w:t>
      </w:r>
      <w:r>
        <w:t xml:space="preserve"> </w:t>
      </w:r>
    </w:p>
    <w:p>
      <w:pPr>
        <w:pStyle w:val="BodyText"/>
      </w:pPr>
      <w:r>
        <w:t xml:space="preserve">Скрытая теплота кристаллизации (число Стефана 22) меняет КИН на −0.0002, тепловое неравновесие флюидов и породы (время релаксации 0.01 с) — на относительную величину 1·10⁻¹³.</w:t>
      </w:r>
      <w:r>
        <w:t xml:space="preserve"> </w:t>
      </w:r>
    </w:p>
    <w:bookmarkEnd w:id="47"/>
    <w:bookmarkEnd w:id="48"/>
    <w:bookmarkStart w:id="49" w:name="заключение"/>
    <w:p>
      <w:pPr>
        <w:pStyle w:val="Heading1"/>
      </w:pPr>
      <w: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pStyle w:val="Compact"/>
        <w:numPr>
          <w:ilvl w:val="0"/>
          <w:numId w:val="1002"/>
        </w:numPr>
      </w:pPr>
      <w:r>
        <w:t xml:space="preserve">Сеть пор и горл лучше пучка описывает связь проницаемости с пористостью (0.044 против 0.281), но с кинетикой, подобранной для пучка, закупоривает керн при 25°C; блокирование горл кристаллами и их сужение отложением требуют раздельного описания.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В керне число Дамкелера кристаллизации близко к единице, и результат опыта зависит от скорости охлаждения; в пласте кинетика проявляется разделом пересыщения между объемом и стенками пор, и равновесная кристаллизация завышает скин-фактор (3.3 против 1.6).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3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3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49"/>
    <w:bookmarkStart w:id="5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p>
      <w:r>
        <w:br w:type="page"/>
      </w:r>
    </w:p>
    <w:bookmarkEnd w:id="50"/>
    <w:bookmarkStart w:id="63" w:name="подписи-к-рисункам"/>
    <w:p>
      <w:pPr>
        <w:pStyle w:val="Heading1"/>
      </w:pPr>
      <w:r>
        <w:t xml:space="preserve">ПОДПИСИ К РИСУНКАМ</w:t>
      </w:r>
    </w:p>
    <w:p>
      <w:pPr>
        <w:pStyle w:val="FirstParagraph"/>
      </w:pPr>
      <w:r>
        <w:drawing>
          <wp:inline>
            <wp:extent cx="6079151" cy="238938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aspo_f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Проницаемость керна Berea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aspo_f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aspo_f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aspo_f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aspo_f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Поля температуры, °C (а),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aspo_f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63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2026-10-05T13:04:25Z</dcterms:created>
  <dcterms:modified xsi:type="dcterms:W3CDTF">2026-10-05T13:04:25Z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