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Разделы 2–7 описывают,</w:t>
      </w:r>
      <w:r>
        <w:t xml:space="preserve"> </w:t>
      </w:r>
      <w:r>
        <w:rPr>
          <w:b/>
          <w:bCs/>
        </w:rPr>
        <w:t xml:space="preserve">сколько</w:t>
      </w:r>
      <w:r>
        <w:t xml:space="preserve"> </w:t>
      </w:r>
      <w:r>
        <w:t xml:space="preserve">твердой фазы образуется (равновесие) и как отложения меняют пористость, проницаемость и подвижность нефти. Здесь описано,</w:t>
      </w:r>
      <w:r>
        <w:t xml:space="preserve"> </w:t>
      </w:r>
      <w:r>
        <w:rPr>
          <w:b/>
          <w:bCs/>
        </w:rPr>
        <w:t xml:space="preserve">с какой скоростью и где</w:t>
      </w:r>
      <w:r>
        <w:t xml:space="preserve"> </w:t>
      </w:r>
      <w:r>
        <w:t xml:space="preserve">выпавшее оседает. Это кинетическая часть модели по обзору (</w:t>
      </w:r>
      <w:r>
        <w:rPr>
          <w:rStyle w:val="VerbatimChar"/>
        </w:rPr>
        <w:t xml:space="preserve">твт_статья/full_review.pdf</w:t>
      </w:r>
      <w:r>
        <w:t xml:space="preserve">, разд. 2, 3.6, 4, 5.4). Каждый механизм включается своим флагом в</w:t>
      </w:r>
      <w:r>
        <w:t xml:space="preserve"> </w:t>
      </w:r>
      <w:r>
        <w:rPr>
          <w:rStyle w:val="VerbatimChar"/>
        </w:rPr>
        <w:t xml:space="preserve">paraphin/constants.py</w:t>
      </w:r>
      <w:r>
        <w:t xml:space="preserve">; по умолчанию все выключены. Любой из флагов переводит расчет кольматации на ядро</w:t>
      </w:r>
      <w:r>
        <w:t xml:space="preserve"> </w:t>
      </w:r>
      <w:r>
        <w:rPr>
          <w:rStyle w:val="VerbatimChar"/>
        </w:rPr>
        <w:t xml:space="preserve">paraphin/equations/Deposition.py</w:t>
      </w:r>
      <w:r>
        <w:t xml:space="preserve">. Числовые параметры механизмов — начальные значения runtime-вектора</w:t>
      </w:r>
      <w:r>
        <w:t xml:space="preserve"> </w:t>
      </w:r>
      <w:r>
        <w:rPr>
          <w:rStyle w:val="VerbatimChar"/>
        </w:rPr>
        <w:t xml:space="preserve">solver.kin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paraphin/kinetics_params.py</w:t>
      </w:r>
      <w:r>
        <w:t xml:space="preserve">): калибровка по опытам меняет его без перекомпиляции.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Флаг</w:t>
            </w:r>
          </w:p>
        </w:tc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Формулы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wax_kinetics</w:t>
            </w:r>
          </w:p>
        </w:tc>
        <w:tc>
          <w:tcPr/>
          <w:p>
            <w:pPr>
              <w:pStyle w:val="Compact"/>
            </w:pPr>
            <w:r>
              <w:t xml:space="preserve">конечная скорость кристаллизации в объеме и на стенках пор</w:t>
            </w:r>
          </w:p>
        </w:tc>
        <w:tc>
          <w:tcPr/>
          <w:p>
            <w:pPr>
              <w:pStyle w:val="Compact"/>
            </w:pPr>
            <w:r>
              <w:t xml:space="preserve">Huang et al., 2011</w:t>
            </w:r>
          </w:p>
        </w:tc>
        <w:tc>
          <w:tcPr/>
          <w:p>
            <w:pPr>
              <w:pStyle w:val="Compact"/>
            </w:pPr>
            <w:r>
              <w:t xml:space="preserve">(39)–(41)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wall_transport</w:t>
            </w:r>
          </w:p>
        </w:tc>
        <w:tc>
          <w:tcPr/>
          <w:p>
            <w:pPr>
              <w:pStyle w:val="Compact"/>
            </w:pPr>
            <w:r>
              <w:t xml:space="preserve">перенос частиц к стенке: сдвиговая дисперсия, гравитационное оседание</w:t>
            </w:r>
          </w:p>
        </w:tc>
        <w:tc>
          <w:tcPr/>
          <w:p>
            <w:pPr>
              <w:pStyle w:val="Compact"/>
            </w:pPr>
            <w:r>
              <w:t xml:space="preserve">Burger et al., 1981; Leighton, Acrivos, 1987</w:t>
            </w:r>
          </w:p>
        </w:tc>
        <w:tc>
          <w:tcPr/>
          <w:p>
            <w:pPr>
              <w:pStyle w:val="Compact"/>
            </w:pPr>
            <w:r>
              <w:t xml:space="preserve">(42)–(44)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entrainment</w:t>
            </w:r>
          </w:p>
        </w:tc>
        <w:tc>
          <w:tcPr/>
          <w:p>
            <w:pPr>
              <w:pStyle w:val="Compact"/>
            </w:pPr>
            <w:r>
              <w:t xml:space="preserve">вынос отложений потоком</w:t>
            </w:r>
          </w:p>
        </w:tc>
        <w:tc>
          <w:tcPr/>
          <w:p>
            <w:pPr>
              <w:pStyle w:val="Compact"/>
            </w:pPr>
            <w:r>
              <w:t xml:space="preserve">Gruesbeck, Collins, 1982; Wang, Civan, 2001</w:t>
            </w:r>
          </w:p>
        </w:tc>
        <w:tc>
          <w:tcPr/>
          <w:p>
            <w:pPr>
              <w:pStyle w:val="Compact"/>
            </w:pPr>
            <w:r>
              <w:t xml:space="preserve">(45)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asph_aggregation</w:t>
            </w:r>
          </w:p>
        </w:tc>
        <w:tc>
          <w:tcPr/>
          <w:p>
            <w:pPr>
              <w:pStyle w:val="Compact"/>
            </w:pPr>
            <w:r>
              <w:t xml:space="preserve">агрегация флокул, закупорка горл флокулами</w:t>
            </w:r>
          </w:p>
        </w:tc>
        <w:tc>
          <w:tcPr/>
          <w:p>
            <w:pPr>
              <w:pStyle w:val="Compact"/>
            </w:pPr>
            <w:r>
              <w:t xml:space="preserve">Смолуховский; Maqbool et al., 2009</w:t>
            </w:r>
          </w:p>
        </w:tc>
        <w:tc>
          <w:tcPr/>
          <w:p>
            <w:pPr>
              <w:pStyle w:val="Compact"/>
            </w:pPr>
            <w:r>
              <w:t xml:space="preserve">(46)–(48)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snowball</w:t>
            </w:r>
          </w:p>
        </w:tc>
        <w:tc>
          <w:tcPr/>
          <w:p>
            <w:pPr>
              <w:pStyle w:val="Compact"/>
            </w:pPr>
            <w:r>
              <w:t xml:space="preserve">«снежный ком»</w:t>
            </w:r>
          </w:p>
        </w:tc>
        <w:tc>
          <w:tcPr/>
          <w:p>
            <w:pPr>
              <w:pStyle w:val="Compact"/>
            </w:pPr>
            <w:r>
              <w:t xml:space="preserve">Onaka, Sato, 2021</w:t>
            </w:r>
          </w:p>
        </w:tc>
        <w:tc>
          <w:tcPr/>
          <w:p>
            <w:pPr>
              <w:pStyle w:val="Compact"/>
            </w:pPr>
            <w:r>
              <w:t xml:space="preserve">(49)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adsorption</w:t>
            </w:r>
          </w:p>
        </w:tc>
        <w:tc>
          <w:tcPr/>
          <w:p>
            <w:pPr>
              <w:pStyle w:val="Compact"/>
            </w:pPr>
            <w:r>
              <w:t xml:space="preserve">адсорбция и удержание асфальтенов и смол в горлах</w:t>
            </w:r>
          </w:p>
        </w:tc>
        <w:tc>
          <w:tcPr/>
          <w:p>
            <w:pPr>
              <w:pStyle w:val="Compact"/>
            </w:pPr>
            <w:r>
              <w:t xml:space="preserve">Ленгмюр; Civan, 2015</w:t>
            </w:r>
          </w:p>
        </w:tc>
        <w:tc>
          <w:tcPr/>
          <w:p>
            <w:pPr>
              <w:pStyle w:val="Compact"/>
            </w:pPr>
            <w:r>
              <w:t xml:space="preserve">(50)–(51)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wettability</w:t>
            </w:r>
          </w:p>
        </w:tc>
        <w:tc>
          <w:tcPr/>
          <w:p>
            <w:pPr>
              <w:pStyle w:val="Compact"/>
            </w:pPr>
            <w:r>
              <w:t xml:space="preserve">смена смачиваемости</w:t>
            </w:r>
          </w:p>
        </w:tc>
        <w:tc>
          <w:tcPr/>
          <w:p>
            <w:pPr>
              <w:pStyle w:val="Compact"/>
            </w:pPr>
            <w:r>
              <w:t xml:space="preserve">Qin et al., 2000</w:t>
            </w:r>
          </w:p>
        </w:tc>
        <w:tc>
          <w:tcPr/>
          <w:p>
            <w:pPr>
              <w:pStyle w:val="Compact"/>
            </w:pPr>
            <w:r>
              <w:t xml:space="preserve">(52)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deposit_aging</w:t>
            </w:r>
          </w:p>
        </w:tc>
        <w:tc>
          <w:tcPr/>
          <w:p>
            <w:pPr>
              <w:pStyle w:val="Compact"/>
            </w:pPr>
            <w:r>
              <w:t xml:space="preserve">отложение — гель с захваченной нефтью, старение встречной диффузией</w:t>
            </w:r>
          </w:p>
        </w:tc>
        <w:tc>
          <w:tcPr/>
          <w:p>
            <w:pPr>
              <w:pStyle w:val="Compact"/>
            </w:pPr>
            <w:r>
              <w:t xml:space="preserve">Singh et al., 2000</w:t>
            </w:r>
          </w:p>
        </w:tc>
        <w:tc>
          <w:tcPr/>
          <w:p>
            <w:pPr>
              <w:pStyle w:val="Compact"/>
            </w:pPr>
            <w:r>
              <w:t xml:space="preserve">(53)–(54)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deposition_model = 'filtration'</w:t>
            </w:r>
          </w:p>
        </w:tc>
        <w:tc>
          <w:tcPr/>
          <w:p>
            <w:pPr>
              <w:pStyle w:val="Compact"/>
            </w:pPr>
            <w:r>
              <w:t xml:space="preserve">континуальная глубинная фильтрация и корреляции k(φ, σ)</w:t>
            </w:r>
          </w:p>
        </w:tc>
        <w:tc>
          <w:tcPr/>
          <w:p>
            <w:pPr>
              <w:pStyle w:val="Compact"/>
            </w:pPr>
            <w:r>
              <w:t xml:space="preserve">Civan, 2015; Krauss, Mays, 2013</w:t>
            </w:r>
          </w:p>
        </w:tc>
        <w:tc>
          <w:tcPr/>
          <w:p>
            <w:pPr>
              <w:pStyle w:val="Compact"/>
            </w:pPr>
            <w:r>
              <w:t xml:space="preserve">(55)–(56)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thermal_nonequilibrium</w:t>
            </w:r>
          </w:p>
        </w:tc>
        <w:tc>
          <w:tcPr/>
          <w:p>
            <w:pPr>
              <w:pStyle w:val="Compact"/>
            </w:pPr>
            <w:r>
              <w:t xml:space="preserve">локальное тепловое неравновесие и диффузия по Фику к холодной породе</w:t>
            </w:r>
          </w:p>
        </w:tc>
        <w:tc>
          <w:tcPr/>
          <w:p>
            <w:pPr>
              <w:pStyle w:val="Compact"/>
            </w:pPr>
            <w:r>
              <w:t xml:space="preserve">Wakao, Kaguei, 1982</w:t>
            </w:r>
          </w:p>
        </w:tc>
        <w:tc>
          <w:tcPr/>
          <w:p>
            <w:pPr>
              <w:pStyle w:val="Compact"/>
            </w:pPr>
            <w:r>
              <w:t xml:space="preserve">(57)–(59)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скин-фактор скважины</w:t>
            </w:r>
          </w:p>
        </w:tc>
        <w:tc>
          <w:tcPr/>
          <w:p>
            <w:pPr>
              <w:pStyle w:val="Compact"/>
            </w:pPr>
            <w:r>
              <w:t xml:space="preserve">Hawkins, 1956</w:t>
            </w:r>
          </w:p>
        </w:tc>
        <w:tc>
          <w:tcPr/>
          <w:p>
            <w:pPr>
              <w:pStyle w:val="Compact"/>
            </w:pPr>
            <w:r>
              <w:t xml:space="preserve">(60)</w:t>
            </w:r>
          </w:p>
        </w:tc>
      </w:tr>
    </w:tbl>
    <w:bookmarkStart w:id="9" w:name="одна-схема-для-всех-механизмов"/>
    <w:p>
      <w:pPr>
        <w:pStyle w:val="Heading2"/>
      </w:pPr>
      <w:r>
        <w:t xml:space="preserve">13.1. Одна схема для всех механизмов</w:t>
      </w:r>
    </w:p>
    <w:p>
      <w:pPr>
        <w:pStyle w:val="FirstParagraph"/>
      </w:pPr>
      <w:r>
        <w:t xml:space="preserve">В модели пучка капилляров (разд. 6) все механизмы сводятся к двум величинам для каждого радиуса r:</w:t>
      </w:r>
    </w:p>
    <w:p>
      <w:pPr>
        <w:pStyle w:val="Compact"/>
        <w:numPr>
          <w:ilvl w:val="0"/>
          <w:numId w:val="1001"/>
        </w:numPr>
      </w:pPr>
      <w:r>
        <w:t xml:space="preserve">скорости изменения радиуса капилляра u(r) — сужение (u &lt; 0) или вынос (u &gt; 0);</w:t>
      </w:r>
    </w:p>
    <w:p>
      <w:pPr>
        <w:pStyle w:val="Compact"/>
        <w:numPr>
          <w:ilvl w:val="0"/>
          <w:numId w:val="1001"/>
        </w:numPr>
      </w:pPr>
      <w:r>
        <w:t xml:space="preserve">коэффициенту блокирования b(r).</w:t>
      </w:r>
    </w:p>
    <w:p>
      <w:pPr>
        <w:pStyle w:val="FirstParagraph"/>
      </w:pPr>
      <w:r>
        <w:t xml:space="preserve">Функция пор переносится по оси радиусов той же неявной схемой против потока, что и в базовой модели: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t> </m:t>
              </m:r>
              <m:r>
                <m:t>φ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φ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x</m:t>
                  </m:r>
                </m:sub>
              </m:sSub>
            </m:e>
          </m:nary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x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механизм, а</w:t>
      </w:r>
      <w:r>
        <w:t xml:space="preserve"> </w:t>
      </w:r>
      <m:oMath>
        <m:sSub>
          <m:e>
            <m:r>
              <m:t>λ</m:t>
            </m:r>
          </m:e>
          <m:sub>
            <m:r>
              <m:t>x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— ограничитель подводом. За шаг не может осесть больше частиц, чем останется в ячейке после оттока нефти через грани и скважину: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r>
          <m:t>t</m:t>
        </m:r>
        <m:r>
          <m:t> 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/</m:t>
        </m:r>
        <m:r>
          <m:t>V</m:t>
        </m:r>
        <m:r>
          <m:rPr>
            <m:sty m:val="p"/>
          </m:rPr>
          <m:t>)</m:t>
        </m:r>
        <m:r>
          <m:t> </m:t>
        </m:r>
        <m:sSub>
          <m:e>
            <m:r>
              <m:t>w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Убыль проводящих каналов за шаг делится между механизмами пропорционально их оценкам до прогонки. Вынос берется явно. Поэтому сумма скоростей потери порового объема по чистым материалам совпадает с изменением пористости: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a</m:t>
              </m:r>
              <m:r>
                <m:t>d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a</m:t>
              </m:r>
              <m:r>
                <m:t>d</m:t>
              </m:r>
              <m:r>
                <m:t>r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n</m:t>
              </m:r>
              <m:r>
                <m:t>e</m:t>
              </m:r>
              <m:r>
                <m:t>w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 </w:t>
      </w:r>
      <w:r>
        <w:t xml:space="preserve">— осадок и пробки парафина;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</m:oMath>
      <w:r>
        <w:t xml:space="preserve"> </w:t>
      </w:r>
      <w:r>
        <w:t xml:space="preserve">— осадок асфальтенов со смолами;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q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— стеночная кристаллизация;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— старение;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q</m:t>
            </m:r>
          </m:e>
          <m:sub>
            <m:r>
              <m:t>a</m:t>
            </m:r>
            <m:r>
              <m:t>d</m:t>
            </m:r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  <m:r>
              <m:t>d</m:t>
            </m:r>
            <m:r>
              <m:t>r</m:t>
            </m:r>
          </m:sub>
        </m:sSub>
      </m:oMath>
      <w:r>
        <w:t xml:space="preserve"> </w:t>
      </w:r>
      <w:r>
        <w:t xml:space="preserve">— адсорбция асфальтенов и смол.</w:t>
      </w:r>
    </w:p>
    <w:p>
      <w:pPr>
        <w:pStyle w:val="FirstParagraph"/>
      </w:pPr>
      <w:r>
        <w:t xml:space="preserve">На тождество (38b) опираются уравнения насыщенности, переноса компонентов и энергии, поэтому масса каждого компонента сохраняется до округления.</w:t>
      </w:r>
    </w:p>
    <w:p>
      <w:pPr>
        <w:pStyle w:val="BodyText"/>
      </w:pPr>
      <w:r>
        <w:t xml:space="preserve">Скорости переноса в кинетическом ядре считаются по текущему слою. В прежних ядрах они брались с прошлого шага, и запаздывание вместе с ограничителем подводом давало колебания доли флокул (разд. 12, п. 8).</w:t>
      </w:r>
    </w:p>
    <w:bookmarkEnd w:id="9"/>
    <w:bookmarkStart w:id="10" w:name="Xe4547ba143594493a8f9718504733fb4c397362"/>
    <w:p>
      <w:pPr>
        <w:pStyle w:val="Heading2"/>
      </w:pPr>
      <w:r>
        <w:t xml:space="preserve">13.2. Кинетика кристаллизации (флаг</w:t>
      </w:r>
      <w:r>
        <w:t xml:space="preserve"> </w:t>
      </w:r>
      <w:r>
        <w:rPr>
          <w:rStyle w:val="VerbatimChar"/>
        </w:rPr>
        <w:t xml:space="preserve">wax_kinetics</w:t>
      </w:r>
      <w:r>
        <w:t xml:space="preserve">)</w:t>
      </w:r>
    </w:p>
    <w:p>
      <w:pPr>
        <w:pStyle w:val="FirstParagraph"/>
      </w:pPr>
      <w:r>
        <w:t xml:space="preserve">Равновесная модель (разд. 3) предполагает, что пересыщение снимается мгновенно. Huang et al. (2011) показали, что обе предельные модели ошибаются: одна вообще не учитывает кристаллизации в потоке, другая предполагает мгновенную растворимость. Первая недооценивает толщину отложений, вторая переоценивает. Точный прогноз дает учет конечной скорости кристаллизации в объеме нефти, конкурирующей с отложением на стенке.</w:t>
      </w:r>
    </w:p>
    <w:p>
      <w:pPr>
        <w:pStyle w:val="BodyText"/>
      </w:pPr>
      <w:r>
        <w:t xml:space="preserve">В модели взвешенные кристаллы каждой группы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— отдельная переносимая величина, релаксирующая к равновесной взвеси</w:t>
      </w:r>
      <w:r>
        <w:t xml:space="preserve"> </w:t>
      </w:r>
      <m:oMath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e</m:t>
            </m:r>
            <m:r>
              <m:t>q</m:t>
            </m:r>
          </m:sup>
        </m:sSubSup>
      </m:oMath>
      <w:r>
        <w:t xml:space="preserve"> </w:t>
      </w:r>
      <w:r>
        <w:t xml:space="preserve">из (6):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r</m:t>
              </m:r>
            </m:sub>
          </m:sSub>
          <m:r>
            <m:t> </m:t>
          </m:r>
          <m:r>
            <m:rPr>
              <m:sty m:val="p"/>
            </m:rPr>
            <m:t>(</m:t>
          </m:r>
          <m:sSubSup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s</m:t>
              </m:r>
            </m:sub>
          </m:sSub>
          <m:r>
            <m:t> </m:t>
          </m:r>
          <m:r>
            <m:rPr>
              <m:sty m:val="p"/>
            </m:rPr>
            <m:t>(</m:t>
          </m:r>
          <m:sSubSup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&gt;</m:t>
          </m:r>
          <m:sSubSup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Пересыщение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e</m:t>
            </m:r>
            <m:r>
              <m:t>q</m:t>
            </m:r>
          </m:sup>
        </m:sSubSup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 растворенный парафин сверх предела растворимости. Оно расходуется двумя параллельными путями первого порядка: рост кристаллов в объеме (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) и кристаллизация прямо на стенках пор (</w:t>
      </w:r>
      <m:oMath>
        <m:sSub>
          <m:e>
            <m:r>
              <m:t>k</m:t>
            </m:r>
          </m:e>
          <m:sub>
            <m:r>
              <m:t>w</m:t>
            </m:r>
          </m:sub>
        </m:sSub>
      </m:oMath>
      <w:r>
        <w:t xml:space="preserve">). За шаг на стенки уходит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  <m:sup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p>
            </m:e>
          </m:d>
          <m:sSub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Кристаллизация на стенках сужает все проводящие каналы одинаково. Объем кристаллов за единицу времени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rPr>
                    <m:sty m:val="p"/>
                  </m:rPr>
                  <m:t>Δ</m:t>
                </m:r>
              </m:e>
              <m:sub>
                <m:r>
                  <m:t>k</m:t>
                </m:r>
              </m:sub>
              <m:sup>
                <m:r>
                  <m:t>w</m:t>
                </m:r>
                <m:r>
                  <m:t>a</m:t>
                </m:r>
                <m:r>
                  <m:t>l</m:t>
                </m:r>
                <m:r>
                  <m:t>l</m:t>
                </m:r>
              </m:sup>
            </m:sSubSup>
          </m:e>
        </m:nary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распределяется по удельной поверхности каналов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∫</m:t>
        </m:r>
        <m:r>
          <m:t>r</m:t>
        </m:r>
        <m:r>
          <m:t>φ</m:t>
        </m:r>
        <m:r>
          <m:t> </m:t>
        </m:r>
        <m:r>
          <m:t>d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Это принципиальное отличие от захвата взвеси: частицы размера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затыкают узкие каналы (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2</m:t>
        </m:r>
        <m:r>
          <m:t>γ</m:t>
        </m:r>
      </m:oMath>
      <w:r>
        <w:t xml:space="preserve">) и оседают в широких, то есть сортируют поры по размеру. Кристаллизация на стенках от размера пор не зависит. Томография Sandyga et al. (2020) показала, что при охлаждении керна все классы пор потеряли 76–87 % объема. Такое равномерное повреждение — признак стеночной кристаллизации (</w:t>
      </w:r>
      <w:r>
        <w:rPr>
          <w:rStyle w:val="VerbatimChar"/>
        </w:rPr>
        <w:t xml:space="preserve">experiments/</w:t>
      </w:r>
      <w:r>
        <w:t xml:space="preserve">).</w:t>
      </w:r>
    </w:p>
    <w:p>
      <w:pPr>
        <w:pStyle w:val="BodyText"/>
      </w:pPr>
      <w:r>
        <w:t xml:space="preserve">Равновесный предел: при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получается модель разд. 3. Скрытая теплота выделяется при любом уходе растворенного парафина — в объем или на стенку. Носитель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(разд. 8) считается по фактически растворенному парафину.</w:t>
      </w:r>
    </w:p>
    <w:bookmarkEnd w:id="10"/>
    <w:bookmarkStart w:id="11" w:name="X604b0e33b1c4bf4641a580407d5a1406b1db4d5"/>
    <w:p>
      <w:pPr>
        <w:pStyle w:val="Heading2"/>
      </w:pPr>
      <w:r>
        <w:t xml:space="preserve">13.3. Перенос частиц к стенке (флаг</w:t>
      </w:r>
      <w:r>
        <w:t xml:space="preserve"> </w:t>
      </w:r>
      <w:r>
        <w:rPr>
          <w:rStyle w:val="VerbatimChar"/>
        </w:rPr>
        <w:t xml:space="preserve">wall_transport</w:t>
      </w:r>
      <w:r>
        <w:t xml:space="preserve">)</w:t>
      </w:r>
    </w:p>
    <w:p>
      <w:pPr>
        <w:pStyle w:val="FirstParagraph"/>
      </w:pPr>
      <w:r>
        <w:t xml:space="preserve">Burger et al. (1981) выделили механизмы переноса частиц воска к стенке: молекулярную диффузию, сдвиговую дисперсию и броуновскую диффузию. Позже к ним добавили гравитационное оседание (обзор 2.2).</w:t>
      </w:r>
    </w:p>
    <w:p>
      <w:pPr>
        <w:pStyle w:val="BodyText"/>
      </w:pPr>
      <w:r>
        <w:t xml:space="preserve">Базовая модель считает скорость осаждения частиц в широком капилляре по решению Левека для ламинарного течения с броуновской диффузией: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t>S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w</m:t>
              </m:r>
            </m:e>
            <m:sub>
              <m:r>
                <m:t>x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sSubSup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r</m:t>
                          </m:r>
                          <m:sSub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p</m:t>
              </m:r>
              <m:r>
                <m:rPr>
                  <m:sty m:val="p"/>
                </m:rPr>
                <m:t>|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η</m:t>
              </m:r>
              <m:r>
                <m:t>μ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Коэффициент переноса частиц — сумма броуновской диффузии (Стокс–Эйнштейн) и сдвиговой дисперсии (Leighton, Acrivos, 1987; Eckstein et al., 1977):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r>
                <m:t>μ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h</m:t>
              </m:r>
            </m:sub>
          </m:sSub>
          <m:r>
            <m:t> </m:t>
          </m:r>
          <m:sSubSup>
            <m:e>
              <m:r>
                <m:t>ϕ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γ</m:t>
                  </m:r>
                </m:e>
              </m:acc>
            </m:e>
            <m:sub>
              <m:r>
                <m:t>w</m:t>
              </m:r>
            </m:sub>
          </m:sSub>
          <m:r>
            <m:t> </m:t>
          </m:r>
          <m:sSubSup>
            <m:e>
              <m:r>
                <m:t>a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γ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Гравитационное оседание — скорость Стокса: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a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|</m:t>
              </m:r>
              <m:sSub>
                <m:e>
                  <m:r>
                    <m:t>ρ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 </m:t>
              </m:r>
              <m:r>
                <m:t>g</m:t>
              </m:r>
            </m:num>
            <m:den>
              <m:r>
                <m:t>9</m:t>
              </m:r>
              <m:r>
                <m:t>μ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Поток на стенку горизонтального капилляра —</w:t>
      </w:r>
      <w:r>
        <w:t xml:space="preserve"> </w:t>
      </w:r>
      <m:oMath>
        <m:r>
          <m:t>c</m:t>
        </m:r>
        <m:r>
          <m:t> </m:t>
        </m:r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π</m:t>
        </m:r>
      </m:oMath>
      <w:r>
        <w:t xml:space="preserve">. Для изотропно ориентированного пучка среднее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, отсюда</w:t>
      </w:r>
      <w:r>
        <w:t xml:space="preserve"> </w:t>
      </w:r>
      <m:oMath>
        <m:sSub>
          <m:e>
            <m:r>
              <m:t>ε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 Сдвиговая дисперсия существенна только при заметной объемной доле частиц. Гравитационное оседание крупных кристаллов (15 мкм,</w:t>
      </w:r>
      <w:r>
        <w:t xml:space="preserve"> </w:t>
      </w:r>
      <m:oMath>
        <m:r>
          <m:rPr>
            <m:sty m:val="p"/>
          </m:rPr>
          <m:t>Δ</m:t>
        </m:r>
        <m:r>
          <m:t>ρ</m:t>
        </m:r>
        <m:r>
          <m:rPr>
            <m:sty m:val="p"/>
          </m:rPr>
          <m:t>=</m:t>
        </m:r>
        <m:r>
          <m:t>260</m:t>
        </m:r>
      </m:oMath>
      <w:r>
        <w:t xml:space="preserve"> </w:t>
      </w:r>
      <w:r>
        <w:t xml:space="preserve">кг/м³) дает скорость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м/с и при медленном течении превосходит броуновский перенос на порядки. Это проверяется на керновых опытах.</w:t>
      </w:r>
    </w:p>
    <w:bookmarkEnd w:id="11"/>
    <w:bookmarkStart w:id="12" w:name="вынос-отложений-флаг-entrainment"/>
    <w:p>
      <w:pPr>
        <w:pStyle w:val="Heading2"/>
      </w:pPr>
      <w:r>
        <w:t xml:space="preserve">13.4. Вынос отложений (флаг</w:t>
      </w:r>
      <w:r>
        <w:t xml:space="preserve"> </w:t>
      </w:r>
      <w:r>
        <w:rPr>
          <w:rStyle w:val="VerbatimChar"/>
        </w:rPr>
        <w:t xml:space="preserve">entrainment</w:t>
      </w:r>
      <w:r>
        <w:t xml:space="preserve">)</w:t>
      </w:r>
    </w:p>
    <w:p>
      <w:pPr>
        <w:pStyle w:val="FirstParagraph"/>
      </w:pPr>
      <w:r>
        <w:t xml:space="preserve">Отложения — мягкий гель, и поток сдирает его, когда касательное напряжение на стенке превышает предел прочности. Баланс толщины отложения (обзор 2.2.5; Gruesbeck, Collins, 1982; Wang, Civan, 2001):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c</m:t>
                          </m:r>
                          <m:r>
                            <m:t>r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r>
            <m:t>h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p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t>η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Вынесенный осадок возвращается в нефть в своем составе: парафин — во взвесь, асфальтены и смолы — во флокулы. Толщина отложения в капилляре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копится как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t</m:t>
        </m:r>
      </m:oMath>
      <w:r>
        <w:t xml:space="preserve">. Совместно с осаждением вынос дает стационарное плато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. Такое плато наблюдается в опытах Sutton, Roberts (1974) и Li et al. (2024) при 45–90 °C, а у прежней модели его не было.</w:t>
      </w:r>
    </w:p>
    <w:bookmarkEnd w:id="12"/>
    <w:bookmarkStart w:id="13" w:name="X29808275e0a016c8721df680511d78b374d2fbf"/>
    <w:p>
      <w:pPr>
        <w:pStyle w:val="Heading2"/>
      </w:pPr>
      <w:r>
        <w:t xml:space="preserve">13.5. Агрегация асфальтенов и закупорка горл флокулами (флаг</w:t>
      </w:r>
      <w:r>
        <w:t xml:space="preserve"> </w:t>
      </w:r>
      <w:r>
        <w:rPr>
          <w:rStyle w:val="VerbatimChar"/>
        </w:rPr>
        <w:t xml:space="preserve">asph_aggregation</w:t>
      </w:r>
      <w:r>
        <w:t xml:space="preserve">)</w:t>
      </w:r>
    </w:p>
    <w:p>
      <w:pPr>
        <w:pStyle w:val="FirstParagraph"/>
      </w:pPr>
      <w:r>
        <w:t xml:space="preserve">Выпадающие асфальтены — первичные частицы размера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r>
          <m:t>0.1</m:t>
        </m:r>
      </m:oMath>
      <w:r>
        <w:t xml:space="preserve"> </w:t>
      </w:r>
      <w:r>
        <w:t xml:space="preserve">мкм. Они растут агрегацией до микрон за минуты и часы (Maqbool et al., 2009); рост определяется режимом столкновений (обзор 2.3.3, 5.2).</w:t>
      </w:r>
    </w:p>
    <w:p>
      <w:pPr>
        <w:pStyle w:val="BodyText"/>
      </w:pPr>
      <w:r>
        <w:t xml:space="preserve">Число флокул в единице объема нефти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переносится с нефтью. Оно меняется по уравнению Смолуховского с броуновским ядром: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</m:den>
          </m:f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acc>
                    <m:accPr>
                      <m:chr m:val="̇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a</m:t>
                  </m:r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μ</m:t>
              </m:r>
              <m:r>
                <m:t>W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Коэффициент устойчивости Фукса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соответствует диффузионно-лимитированной агрегации (DLCA),</w:t>
      </w:r>
      <w:r>
        <w:t xml:space="preserve"> </w:t>
      </w:r>
      <m:oMath>
        <m:r>
          <m:t>W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— реакционно-лимитированной (RLCA). Размер флокулы — из массы фрактального агрегата: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a</m:t>
                          </m:r>
                          <m:r>
                            <m:t>f</m:t>
                          </m:r>
                        </m:sub>
                      </m:sSub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π</m:t>
              </m:r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–</w:t>
      </w:r>
      <m:oMath>
        <m:r>
          <m:t>2.1</m:t>
        </m:r>
      </m:oMath>
      <w:r>
        <w:t xml:space="preserve">. Флокула диаметра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проходит горло радиуса</w:t>
      </w:r>
      <w:r>
        <w:t xml:space="preserve"> </w:t>
      </w:r>
      <m:oMath>
        <m:r>
          <m:t>γ</m:t>
        </m:r>
        <m:r>
          <m:t>r</m:t>
        </m:r>
      </m:oMath>
      <w:r>
        <w:t xml:space="preserve"> </w:t>
      </w:r>
      <w:r>
        <w:t xml:space="preserve">только при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2</m:t>
        </m:r>
        <m:r>
          <m:t>γ</m:t>
        </m:r>
      </m:oMath>
      <w:r>
        <w:t xml:space="preserve">, а более узкие каналы затыкает. Коэффициент блокирования и объем пробки такие же, как у кристаллов парафина (разд. 6):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6</m:t>
              </m:r>
              <m:r>
                <m:t>β</m:t>
              </m:r>
            </m:num>
            <m:den>
              <m:sSubSup>
                <m:e>
                  <m:r>
                    <m:t>d</m:t>
                  </m:r>
                </m:e>
                <m:sub>
                  <m:r>
                    <m:t>f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t> 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p</m:t>
              </m:r>
              <m:r>
                <m:t>l</m:t>
              </m:r>
              <m:r>
                <m:t>u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bSup>
                <m:e>
                  <m:r>
                    <m:t>d</m:t>
                  </m:r>
                </m:e>
                <m:sub>
                  <m:r>
                    <m:t>f</m:t>
                  </m:r>
                </m:sub>
                <m:sup>
                  <m:r>
                    <m:t>3</m:t>
                  </m:r>
                </m:sup>
              </m:sSubSup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Без агрегации флокулы имели постоянный размер</w:t>
      </w:r>
      <w:r>
        <w:t xml:space="preserve"> </w:t>
      </w:r>
      <w:r>
        <w:rPr>
          <w:rStyle w:val="VerbatimChar"/>
        </w:rPr>
        <w:t xml:space="preserve">D_asph</w:t>
      </w:r>
      <w:r>
        <w:t xml:space="preserve"> </w:t>
      </w:r>
      <w:r>
        <w:t xml:space="preserve">и только сужали каналы (разд. 12, п. 4).</w:t>
      </w:r>
    </w:p>
    <w:bookmarkEnd w:id="13"/>
    <w:bookmarkStart w:id="14" w:name="снежный-ком-флаг-snowball"/>
    <w:p>
      <w:pPr>
        <w:pStyle w:val="Heading2"/>
      </w:pPr>
      <w:r>
        <w:t xml:space="preserve">13.6. «Снежный ком» (флаг</w:t>
      </w:r>
      <w:r>
        <w:t xml:space="preserve"> </w:t>
      </w:r>
      <w:r>
        <w:rPr>
          <w:rStyle w:val="VerbatimChar"/>
        </w:rPr>
        <w:t xml:space="preserve">snowball</w:t>
      </w:r>
      <w:r>
        <w:t xml:space="preserve">)</w:t>
      </w:r>
    </w:p>
    <w:p>
      <w:pPr>
        <w:pStyle w:val="FirstParagraph"/>
      </w:pPr>
      <w:r>
        <w:t xml:space="preserve">Опыты на стеклянных микромоделях показали, что осевшая частица асфальтена становится центром захвата следующих. Закупорка горла идет с ускорением (Onaka, Sato, 2021). В модели коэффициенты захвата (сужение и блокирование) растут с долей потерянного порового объема: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t> </m:t>
          </m:r>
          <m:r>
            <m:rPr>
              <m:sty m:val="p"/>
            </m:rPr>
            <m:t>→</m:t>
          </m:r>
          <m:r>
            <m:t> 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x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</w:p>
    <w:bookmarkEnd w:id="14"/>
    <w:bookmarkStart w:id="15" w:name="Xceedb93da4832b73b77e5f98619acd701f19361"/>
    <w:p>
      <w:pPr>
        <w:pStyle w:val="Heading2"/>
      </w:pPr>
      <w:r>
        <w:t xml:space="preserve">13.7. Адсорбция и удержание асфальтенов и смол (флаг</w:t>
      </w:r>
      <w:r>
        <w:t xml:space="preserve"> </w:t>
      </w:r>
      <w:r>
        <w:rPr>
          <w:rStyle w:val="VerbatimChar"/>
        </w:rPr>
        <w:t xml:space="preserve">adsorption</w:t>
      </w:r>
      <w:r>
        <w:t xml:space="preserve">)</w:t>
      </w:r>
    </w:p>
    <w:p>
      <w:pPr>
        <w:pStyle w:val="FirstParagraph"/>
      </w:pPr>
      <w:r>
        <w:t xml:space="preserve">Растворенные асфальтены и смолы адсорбируются на минеральной поверхности, на песчаниках — единицы мг/м² (Dubey, Waxman, 1991). Вместе с ними в горлах пор механически удерживаются агрегаты. Кинетика — линейная движущая сила к изотерме Ленгмюра, константа — по Вант-Гоффу: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Γ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  <m:r>
                <m:t>s</m:t>
              </m:r>
            </m:sub>
          </m:sSub>
          <m:r>
            <m:t> 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f>
            <m:fPr>
              <m:type m:val="bar"/>
            </m:fPr>
            <m:num>
              <m:r>
                <m:t>K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a</m:t>
                      </m:r>
                      <m:r>
                        <m:t>d</m:t>
                      </m:r>
                      <m:r>
                        <m:t>s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Γ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</m:sub>
        </m:sSub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пропорциональна удельной поверхности породы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∫</m:t>
        </m:r>
        <m:r>
          <m:t>r</m:t>
        </m:r>
        <m:sSub>
          <m:e>
            <m:r>
              <m:t>φ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r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paraphin.surf_0</w:t>
      </w:r>
      <w:r>
        <w:t xml:space="preserve">), а адсорбция экзотермична (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 Емкость берется по исходной поверхности, а не по поверхности текущих проводящих каналов: ее измеряют на единицу массы породы, и адсорбированное в канале, который потом заткнул парафин, остается на месте. Пока емкость считалась по проводящим каналам, она падала вместе с закупоркой парафином, смолы десорбировались, и на ступени 45 °C опыта Li et al. (2024) проницаемость к концу ступени росла (СКО 0.30 вместо 0.06 после исправления).</w:t>
      </w:r>
    </w:p>
    <w:p>
      <w:pPr>
        <w:pStyle w:val="BodyText"/>
      </w:pPr>
      <w:r>
        <w:t xml:space="preserve">Скорость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</m:oMath>
      <w:r>
        <w:t xml:space="preserve"> </w:t>
      </w:r>
      <w:r>
        <w:t xml:space="preserve">— массообмен к стенке (линейная движущая сила Глюкауфа),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∼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 Коэффициент молекулярной диффузии по Уилки–Чангу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∼</m:t>
        </m:r>
        <m:r>
          <m:t>T</m:t>
        </m:r>
        <m:r>
          <m:rPr>
            <m:sty m:val="p"/>
          </m:rPr>
          <m:t>/</m:t>
        </m:r>
        <m:r>
          <m:t>μ</m:t>
        </m:r>
      </m:oMath>
      <w:r>
        <w:t xml:space="preserve">, поэтому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μ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E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— энергия активации вязкого течения жидкой основы нефти (</w:t>
      </w:r>
      <w:r>
        <w:rPr>
          <w:rStyle w:val="VerbatimChar"/>
        </w:rPr>
        <w:t xml:space="preserve">E_activation</w:t>
      </w:r>
      <w:r>
        <w:t xml:space="preserve">). В нефти Жетыбая (</w:t>
      </w:r>
      <m:oMath>
        <m:sSub>
          <m:e>
            <m:r>
              <m:t>E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= 21.3 кДж/моль) скорость от 90 до 45 °C падает в 3.1 раза. В опыте Li et al. это видно: на 90 °C плато достигается за 1.5 PV, на 45 °C — за 2.3 PV при меньшем приросте удержания.</w:t>
      </w:r>
    </w:p>
    <w:p>
      <w:pPr>
        <w:pStyle w:val="BodyText"/>
      </w:pPr>
      <w:r>
        <w:t xml:space="preserve">За шаг удерживается не больше, чем растворено с учетом оттока.</w:t>
      </w:r>
    </w:p>
    <w:p>
      <w:pPr>
        <w:pStyle w:val="BodyText"/>
      </w:pPr>
      <w:r>
        <w:t xml:space="preserve">Где сидит удержанное, решает баланс массы. Равномерный слой на стенках всех каналов дает потерю проводимости, пропорциональную потере порового объема. В опыте Li et al. (2024) проницаемость керна выше WAT падает до 0.33, и для этого слоем пришлось бы удержать около 80 кг асфальтенов и смол на 1 м³ породы, тогда как за 2.4 PV их подводится не более 23 кг/м³. Поэтому удержанное сидит в горлах: малый объем дает большую потерю проводимости — структурный эффект обзора (разд. 4.1). В модели пучка проводимость умножается на функцию повреждения Civan (2015) по объему удержанного, а поровый объем уменьшается на этот объем: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  <m:r>
                <m:t>u</m:t>
              </m:r>
              <m:r>
                <m:t>n</m:t>
              </m:r>
              <m:r>
                <m:t>d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γ</m:t>
                  </m:r>
                </m:e>
                <m:sub>
                  <m:r>
                    <m:t>d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r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Смолы удерживаются с предельной емкостью, пропорциональной асфальтеновой (</w:t>
      </w:r>
      <w:r>
        <w:rPr>
          <w:rStyle w:val="VerbatimChar"/>
        </w:rPr>
        <w:t xml:space="preserve">ads_resin</w:t>
      </w:r>
      <w:r>
        <w:t xml:space="preserve">). Мономолекулярная адсорбция (несколько мг/м²) дает повреждение на порядки меньше наблюдаемого. Подобранная по опыту емкость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это удержание агрегатов, а не монослой; в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 </w:t>
      </w:r>
      <w:r>
        <w:t xml:space="preserve">это видно по величинам.</w:t>
      </w:r>
    </w:p>
    <w:bookmarkEnd w:id="15"/>
    <w:bookmarkStart w:id="16" w:name="смена-смачиваемости-флаг-wettability"/>
    <w:p>
      <w:pPr>
        <w:pStyle w:val="Heading2"/>
      </w:pPr>
      <w:r>
        <w:t xml:space="preserve">13.8. Смена смачиваемости (флаг</w:t>
      </w:r>
      <w:r>
        <w:t xml:space="preserve"> </w:t>
      </w:r>
      <w:r>
        <w:rPr>
          <w:rStyle w:val="VerbatimChar"/>
        </w:rPr>
        <w:t xml:space="preserve">wettability</w:t>
      </w:r>
      <w:r>
        <w:t xml:space="preserve">)</w:t>
      </w:r>
    </w:p>
    <w:p>
      <w:pPr>
        <w:pStyle w:val="FirstParagraph"/>
      </w:pPr>
      <w:r>
        <w:t xml:space="preserve">Адсорбированные асфальтены делают поверхность нефтесмачиваемой. Qin et al. (2000) показали, что учет изменения относительных проницаемостей из-за осевшего асфальтена меняет прогноз продуктивности кардинально (обзор 5.5). ОФП интерполируются между водосмачиваемым (базовая модель) и нефтесмачиваемым наборами по доле покрытия поверхности: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  <m:r>
                <m:t>α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)</m:t>
          </m:r>
          <m:r>
            <m:t> </m:t>
          </m:r>
          <m:sSubSup>
            <m:e>
              <m:r>
                <m:t>k</m:t>
              </m:r>
            </m:e>
            <m:sub>
              <m:r>
                <m:t>r</m:t>
              </m:r>
              <m:r>
                <m:t>α</m:t>
              </m:r>
            </m:sub>
            <m:sup>
              <m:r>
                <m:t>w</m:t>
              </m:r>
              <m:r>
                <m:t>w</m:t>
              </m:r>
            </m:sup>
          </m:sSub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ω</m:t>
          </m:r>
          <m:r>
            <m:t> </m:t>
          </m:r>
          <m:sSubSup>
            <m:e>
              <m:r>
                <m:t>k</m:t>
              </m:r>
            </m:e>
            <m:sub>
              <m:r>
                <m:t>r</m:t>
              </m:r>
              <m:r>
                <m:t>α</m:t>
              </m:r>
            </m:sub>
            <m:sup>
              <m:r>
                <m:t>o</m:t>
              </m:r>
              <m:r>
                <m:t>w</m:t>
              </m:r>
            </m:sup>
          </m:sSub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Нефтесмачиваемый набор имеет меньшую связанную воду и меньшую остаточную нефть, вода в нем подвижнее. Опытов для проверки в репозитории нет — только предельные случаи.</w:t>
      </w:r>
    </w:p>
    <w:bookmarkEnd w:id="16"/>
    <w:bookmarkStart w:id="17" w:name="X241f8eaf83bb166a4eb8eb2e912d5c2d7232368"/>
    <w:p>
      <w:pPr>
        <w:pStyle w:val="Heading2"/>
      </w:pPr>
      <w:r>
        <w:t xml:space="preserve">13.9. Гель-отложение и его старение (флаг</w:t>
      </w:r>
      <w:r>
        <w:t xml:space="preserve"> </w:t>
      </w:r>
      <w:r>
        <w:rPr>
          <w:rStyle w:val="VerbatimChar"/>
        </w:rPr>
        <w:t xml:space="preserve">deposit_aging</w:t>
      </w:r>
      <w:r>
        <w:t xml:space="preserve">)</w:t>
      </w:r>
    </w:p>
    <w:p>
      <w:pPr>
        <w:pStyle w:val="FirstParagraph"/>
      </w:pPr>
      <w:r>
        <w:t xml:space="preserve">Отложение парафина — не сплошной кристалл, а гель: трехмерная сетка кристаллов, в которой захвачена нефть. После образования молекулы воска продолжают диффундировать в гель, и доля твердого в нем растет. Это старение встречной диффузией с критическим углеродным числом (Singh et al., 2000; обзор 2.4). Молодой гель содержит несколько процентов парафина, состарившийся — десятки.</w:t>
      </w:r>
    </w:p>
    <w:p>
      <w:pPr>
        <w:pStyle w:val="BodyText"/>
      </w:pPr>
      <w:r>
        <w:t xml:space="preserve">В модели новое отложение — гель с долей парафина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. Сужение проводящих каналов идет по объему геля, то есть в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раз быстрее, чем по объему кристаллов: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g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l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Пористость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теряет только объем кристаллов. Захваченная нефть остается в поровом пространстве неподвижной — как нефть блокированных каналов (разд. 6). Проводящая пористость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φ</m:t>
        </m:r>
        <m:r>
          <m:t> </m:t>
        </m:r>
        <m:r>
          <m:t>d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r</m:t>
        </m:r>
      </m:oMath>
      <w:r>
        <w:t xml:space="preserve"> </w:t>
      </w:r>
      <w:r>
        <w:t xml:space="preserve">падает при этом много сильнее</w:t>
      </w:r>
      <w:r>
        <w:t xml:space="preserve"> </w:t>
      </w:r>
      <m:oMath>
        <m:r>
          <m:t>m</m:t>
        </m:r>
      </m:oMath>
      <w:r>
        <w:t xml:space="preserve">. Именно ее видит томография, для которой гель в порах — отложение: у Sandyga et al. (2020) пористость упала с 9 % до 2.1 % при объеме кристаллов в несколько раз меньшем.</w:t>
      </w:r>
    </w:p>
    <w:p>
      <w:pPr>
        <w:pStyle w:val="BodyText"/>
      </w:pPr>
      <w:r>
        <w:t xml:space="preserve">Старение — рост доли парафина в геле при постоянном объеме геля за счет растворенного парафина групп, насыщенных при местной температуре: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g</m:t>
              </m:r>
              <m:r>
                <m:t>e</m:t>
              </m:r>
            </m:sub>
          </m:sSub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</w:p>
    <w:bookmarkEnd w:id="17"/>
    <w:bookmarkStart w:id="18" w:name="X625957ef3b9a8cec32821979d697aaea9478fc1"/>
    <w:p>
      <w:pPr>
        <w:pStyle w:val="Heading2"/>
      </w:pPr>
      <w:r>
        <w:t xml:space="preserve">13.10. Глубинная фильтрация и корреляции проницаемости (</w:t>
      </w:r>
      <w:r>
        <w:rPr>
          <w:rStyle w:val="VerbatimChar"/>
        </w:rPr>
        <w:t xml:space="preserve">deposition_model = 'filtration'</w:t>
      </w:r>
      <w:r>
        <w:t xml:space="preserve">)</w:t>
      </w:r>
    </w:p>
    <w:p>
      <w:pPr>
        <w:pStyle w:val="FirstParagraph"/>
      </w:pPr>
      <w:r>
        <w:t xml:space="preserve">Наряду с пучком капилляров в литературе стандартна континуальная модель с раздельными балансами взвешенной и осевшей фаз (Gruesbeck, Collins, 1982; Civan, 2015; обзор 3.6, 5.4). Масса отложений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в единице объема породы: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σ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t> </m:t>
          </m:r>
          <m:r>
            <m:t>m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r>
            <m:t> </m:t>
          </m:r>
          <m:r>
            <m:t>c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l</m:t>
              </m:r>
            </m:sub>
          </m:sSub>
          <m:r>
            <m:t> </m:t>
          </m:r>
          <m:r>
            <m:rPr>
              <m:sty m:val="p"/>
            </m:rPr>
            <m:t>|</m:t>
          </m:r>
          <m:sSub>
            <m:e>
              <m:r>
                <m:t>u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|</m:t>
          </m:r>
          <m:r>
            <m:t> </m:t>
          </m:r>
          <m:r>
            <m:t>c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t> </m:t>
          </m:r>
          <m:r>
            <m:t>σ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u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c</m:t>
              </m:r>
              <m:r>
                <m:t>r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3"/>
        </w:numPr>
      </w:pPr>
      <m:oMath>
        <m:r>
          <m:t>c</m:t>
        </m:r>
      </m:oMath>
      <w:r>
        <w:t xml:space="preserve"> </w:t>
      </w:r>
      <w:r>
        <w:t xml:space="preserve">— масса взвеси (кристаллов или флокул) в 1 м³ нефти;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 коэффициент поверхностного осаждения;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p</m:t>
            </m:r>
            <m:r>
              <m:t>l</m:t>
            </m:r>
          </m:sub>
        </m:sSub>
      </m:oMath>
      <w:r>
        <w:t xml:space="preserve"> </w:t>
      </w:r>
      <w:r>
        <w:t xml:space="preserve">— коэффициент закупорки горл;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— коэффициент выноса.</w:t>
      </w:r>
    </w:p>
    <w:p>
      <w:pPr>
        <w:pStyle w:val="FirstParagraph"/>
      </w:pPr>
      <w:r>
        <w:t xml:space="preserve">Пористость — за вычетом объема отложений. Проницаемость задается одной из корреляций (обзор 4.2):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3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γ</m:t>
                  </m:r>
                </m:e>
                <m:sub>
                  <m:r>
                    <m:t>d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Это Козени–Карман, степенная поправка Krauss, Mays (2013) 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–</w:t>
      </w:r>
      <m:oMath>
        <m:r>
          <m:t>19</m:t>
        </m:r>
      </m:oMath>
      <w:r>
        <w:t xml:space="preserve">, функция повреждения Civan (2015) и Козени–Карман с ростом удельной поверхности отложениями. Модель глубинной фильтрации не требует распределения пор. Ее параметры подбираются по кривой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(PV) — так поступали Wang, Civan (2005) для опытов Sutton, Roberts.</w:t>
      </w:r>
    </w:p>
    <w:bookmarkEnd w:id="18"/>
    <w:bookmarkStart w:id="19" w:name="Xd07a3d4e573099f319837333e1eacc254adc97c"/>
    <w:p>
      <w:pPr>
        <w:pStyle w:val="Heading2"/>
      </w:pPr>
      <w:r>
        <w:t xml:space="preserve">13.11. Тепловое неравновесие и диффузия к холодной породе (флаг</w:t>
      </w:r>
      <w:r>
        <w:t xml:space="preserve"> </w:t>
      </w:r>
      <w:r>
        <w:rPr>
          <w:rStyle w:val="VerbatimChar"/>
        </w:rPr>
        <w:t xml:space="preserve">thermal_nonequilibrium</w:t>
      </w:r>
      <w:r>
        <w:t xml:space="preserve">)</w:t>
      </w:r>
    </w:p>
    <w:p>
      <w:pPr>
        <w:pStyle w:val="FirstParagraph"/>
      </w:pPr>
      <w:r>
        <w:t xml:space="preserve">У породы своя температура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, теплообмен с флюидами — с объемным коэффициентом по корреляции Wakao, Kaguei (1982):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u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N</m:t>
          </m:r>
          <m:r>
            <m:rPr>
              <m:sty m:val="p"/>
            </m:rPr>
            <m:t>u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1.1</m:t>
          </m:r>
          <m:r>
            <m:t> </m:t>
          </m:r>
          <m:sSup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e>
            <m:sup>
              <m:r>
                <m:t>0.6</m:t>
              </m:r>
            </m:sup>
          </m:sSup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Обмен жесткий: время релаксации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доли секунды для зерен 0.1–1 мм. Поэтому он берется точным решением за шаг, сохраняющим энергию: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t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Если порода холоднее нефти, у стенки нефть пересыщена относительно равновесия при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, и растворенный парафин диффундирует к стенке по Фику (обзор 2.2.1). Коэффициент массоотдачи — по той же корреляции с числом Шервуда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при малых числах Рейнольдса: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̇"/>
                </m:accPr>
                <m:e>
                  <m:r>
                    <m:t>w</m:t>
                  </m:r>
                </m:e>
              </m:acc>
            </m:e>
            <m:sub>
              <m:r>
                <m:t>k</m:t>
              </m:r>
            </m:sub>
            <m:sup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</m:den>
          </m:f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d</m:t>
                      </m:r>
                      <m:r>
                        <m:t>i</m:t>
                      </m:r>
                      <m:r>
                        <m:t>s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d</m:t>
                      </m:r>
                      <m:r>
                        <m:t>i</m:t>
                      </m:r>
                      <m:r>
                        <m:t>s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Модель проверяется решением Шумана (Schumann, 1929). Оценка времени релаксации показывает, насколько оправдано допущение о тепловом равновесии (разд. 1, допущение 1): в пласте разность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исчезает за доли секунды, и механизм (59) заметен только на фронте охлаждения при больших скоростях.</w:t>
      </w:r>
    </w:p>
    <w:bookmarkEnd w:id="19"/>
    <w:bookmarkStart w:id="20" w:name="скин-фактор-скважины"/>
    <w:p>
      <w:pPr>
        <w:pStyle w:val="Heading2"/>
      </w:pPr>
      <w:r>
        <w:t xml:space="preserve">13.12. Скин-фактор скважины</w:t>
      </w:r>
    </w:p>
    <w:p>
      <w:pPr>
        <w:pStyle w:val="FirstParagraph"/>
      </w:pPr>
      <w:r>
        <w:t xml:space="preserve">В выгрузку скважин добавлен скин-фактор ячейки скважины по схеме Хокинса (обзор 4.3). Поврежденная зона — ячейка скважины с эквивалентным радиусом Писмана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  <m:r>
                        <m:t>l</m:t>
                      </m:r>
                      <m:r>
                        <m:t>l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</w:p>
    <w:bookmarkEnd w:id="20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2026-09-27T19:05:32Z</dcterms:created>
  <dcterms:modified xsi:type="dcterms:W3CDTF">2026-09-27T19:05:32Z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