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7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Разделы 2–7 описывают,</w:t>
      </w:r>
      <w:r>
        <w:t xml:space="preserve"> </w:t>
      </w:r>
      <w:r>
        <w:rPr>
          <w:b/>
          <w:bCs/>
        </w:rPr>
        <w:t xml:space="preserve">сколько</w:t>
      </w:r>
      <w:r>
        <w:t xml:space="preserve"> </w:t>
      </w:r>
      <w:r>
        <w:t xml:space="preserve">твердой фазы образуется (равновесие) и как отложения меняют пористость, проницаемость и подвижность нефти. Здесь описано,</w:t>
      </w:r>
      <w:r>
        <w:t xml:space="preserve"> </w:t>
      </w:r>
      <w:r>
        <w:rPr>
          <w:b/>
          <w:bCs/>
        </w:rPr>
        <w:t xml:space="preserve">с какой скоростью и где</w:t>
      </w:r>
      <w:r>
        <w:t xml:space="preserve"> </w:t>
      </w:r>
      <w:r>
        <w:t xml:space="preserve">выпавшее оседает. Это кинетическая часть модели по обзору (</w:t>
      </w:r>
      <w:r>
        <w:rPr>
          <w:rStyle w:val="VerbatimChar"/>
        </w:rPr>
        <w:t xml:space="preserve">твт_статья/full_review.pdf</w:t>
      </w:r>
      <w:r>
        <w:t xml:space="preserve">, разд. 2, 3.6, 4, 5.4). Каждый механизм включается своим флагом в</w:t>
      </w:r>
      <w:r>
        <w:t xml:space="preserve"> </w:t>
      </w:r>
      <w:r>
        <w:rPr>
          <w:rStyle w:val="VerbatimChar"/>
        </w:rPr>
        <w:t xml:space="preserve">paraphin/constants.py</w:t>
      </w:r>
      <w:r>
        <w:t xml:space="preserve">; по умолчанию все выключены. Любой из флагов переводит расчет кольматации на ядро</w:t>
      </w:r>
      <w:r>
        <w:t xml:space="preserve"> </w:t>
      </w:r>
      <w:r>
        <w:rPr>
          <w:rStyle w:val="VerbatimChar"/>
        </w:rPr>
        <w:t xml:space="preserve">paraphin/equations/Deposition.py</w:t>
      </w:r>
      <w:r>
        <w:t xml:space="preserve">. Числовые параметры механизмов — начальные значения runtime-вектора</w:t>
      </w:r>
      <w:r>
        <w:t xml:space="preserve"> </w:t>
      </w:r>
      <w:r>
        <w:rPr>
          <w:rStyle w:val="VerbatimChar"/>
        </w:rPr>
        <w:t xml:space="preserve">solver.kin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paraphin/kinetics_params.py</w:t>
      </w:r>
      <w:r>
        <w:t xml:space="preserve">): калибровка по опытам меняет его без перекомпиляции.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Флаг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Формулы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wax_kinetics</w:t>
            </w:r>
          </w:p>
        </w:tc>
        <w:tc>
          <w:tcPr/>
          <w:p>
            <w:pPr>
              <w:pStyle w:val="Compact"/>
            </w:pPr>
            <w:r>
              <w:t xml:space="preserve">конечная скорость кристаллизации в объеме и на стенках пор</w:t>
            </w:r>
          </w:p>
        </w:tc>
        <w:tc>
          <w:tcPr/>
          <w:p>
            <w:pPr>
              <w:pStyle w:val="Compact"/>
            </w:pPr>
            <w:r>
              <w:t xml:space="preserve">Huang et al., 2011</w:t>
            </w:r>
          </w:p>
        </w:tc>
        <w:tc>
          <w:tcPr/>
          <w:p>
            <w:pPr>
              <w:pStyle w:val="Compact"/>
            </w:pPr>
            <w:r>
              <w:t xml:space="preserve">(39)–(41)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wall_transport</w:t>
            </w:r>
          </w:p>
        </w:tc>
        <w:tc>
          <w:tcPr/>
          <w:p>
            <w:pPr>
              <w:pStyle w:val="Compact"/>
            </w:pPr>
            <w:r>
              <w:t xml:space="preserve">перенос частиц к стенке: сдвиговая дисперсия, гравитационное оседание</w:t>
            </w:r>
          </w:p>
        </w:tc>
        <w:tc>
          <w:tcPr/>
          <w:p>
            <w:pPr>
              <w:pStyle w:val="Compact"/>
            </w:pPr>
            <w:r>
              <w:t xml:space="preserve">Burger et al., 1981; Leighton, Acrivos, 1987</w:t>
            </w:r>
          </w:p>
        </w:tc>
        <w:tc>
          <w:tcPr/>
          <w:p>
            <w:pPr>
              <w:pStyle w:val="Compact"/>
            </w:pPr>
            <w:r>
              <w:t xml:space="preserve">(42)–(44)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entrainment</w:t>
            </w:r>
          </w:p>
        </w:tc>
        <w:tc>
          <w:tcPr/>
          <w:p>
            <w:pPr>
              <w:pStyle w:val="Compact"/>
            </w:pPr>
            <w:r>
              <w:t xml:space="preserve">вынос отложений потоком</w:t>
            </w:r>
          </w:p>
        </w:tc>
        <w:tc>
          <w:tcPr/>
          <w:p>
            <w:pPr>
              <w:pStyle w:val="Compact"/>
            </w:pPr>
            <w:r>
              <w:t xml:space="preserve">Gruesbeck, Collins, 1982; Wang, Civan, 2001</w:t>
            </w:r>
          </w:p>
        </w:tc>
        <w:tc>
          <w:tcPr/>
          <w:p>
            <w:pPr>
              <w:pStyle w:val="Compact"/>
            </w:pPr>
            <w:r>
              <w:t xml:space="preserve">(45)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asph_aggregation</w:t>
            </w:r>
          </w:p>
        </w:tc>
        <w:tc>
          <w:tcPr/>
          <w:p>
            <w:pPr>
              <w:pStyle w:val="Compact"/>
            </w:pPr>
            <w:r>
              <w:t xml:space="preserve">агрегация флокул, закупорка горл флокулами</w:t>
            </w:r>
          </w:p>
        </w:tc>
        <w:tc>
          <w:tcPr/>
          <w:p>
            <w:pPr>
              <w:pStyle w:val="Compact"/>
            </w:pPr>
            <w:r>
              <w:t xml:space="preserve">Смолуховский; Maqbool et al., 2009</w:t>
            </w:r>
          </w:p>
        </w:tc>
        <w:tc>
          <w:tcPr/>
          <w:p>
            <w:pPr>
              <w:pStyle w:val="Compact"/>
            </w:pPr>
            <w:r>
              <w:t xml:space="preserve">(46)–(48)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snowball</w:t>
            </w:r>
          </w:p>
        </w:tc>
        <w:tc>
          <w:tcPr/>
          <w:p>
            <w:pPr>
              <w:pStyle w:val="Compact"/>
            </w:pPr>
            <w:r>
              <w:t xml:space="preserve">«снежный ком»</w:t>
            </w:r>
          </w:p>
        </w:tc>
        <w:tc>
          <w:tcPr/>
          <w:p>
            <w:pPr>
              <w:pStyle w:val="Compact"/>
            </w:pPr>
            <w:r>
              <w:t xml:space="preserve">Onaka, Sato, 2021</w:t>
            </w:r>
          </w:p>
        </w:tc>
        <w:tc>
          <w:tcPr/>
          <w:p>
            <w:pPr>
              <w:pStyle w:val="Compact"/>
            </w:pPr>
            <w:r>
              <w:t xml:space="preserve">(49)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adsorption</w:t>
            </w:r>
          </w:p>
        </w:tc>
        <w:tc>
          <w:tcPr/>
          <w:p>
            <w:pPr>
              <w:pStyle w:val="Compact"/>
            </w:pPr>
            <w:r>
              <w:t xml:space="preserve">адсорбция и удержание асфальтенов и смол в горлах</w:t>
            </w:r>
          </w:p>
        </w:tc>
        <w:tc>
          <w:tcPr/>
          <w:p>
            <w:pPr>
              <w:pStyle w:val="Compact"/>
            </w:pPr>
            <w:r>
              <w:t xml:space="preserve">Ленгмюр; Civan, 2015</w:t>
            </w:r>
          </w:p>
        </w:tc>
        <w:tc>
          <w:tcPr/>
          <w:p>
            <w:pPr>
              <w:pStyle w:val="Compact"/>
            </w:pPr>
            <w:r>
              <w:t xml:space="preserve">(50)–(51)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wettability</w:t>
            </w:r>
          </w:p>
        </w:tc>
        <w:tc>
          <w:tcPr/>
          <w:p>
            <w:pPr>
              <w:pStyle w:val="Compact"/>
            </w:pPr>
            <w:r>
              <w:t xml:space="preserve">смена смачиваемости</w:t>
            </w:r>
          </w:p>
        </w:tc>
        <w:tc>
          <w:tcPr/>
          <w:p>
            <w:pPr>
              <w:pStyle w:val="Compact"/>
            </w:pPr>
            <w:r>
              <w:t xml:space="preserve">Qin et al., 2000</w:t>
            </w:r>
          </w:p>
        </w:tc>
        <w:tc>
          <w:tcPr/>
          <w:p>
            <w:pPr>
              <w:pStyle w:val="Compact"/>
            </w:pPr>
            <w:r>
              <w:t xml:space="preserve">(52)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deposit_aging</w:t>
            </w:r>
          </w:p>
        </w:tc>
        <w:tc>
          <w:tcPr/>
          <w:p>
            <w:pPr>
              <w:pStyle w:val="Compact"/>
            </w:pPr>
            <w:r>
              <w:t xml:space="preserve">отложение — гель с захваченной нефтью, старение встречной диффузией</w:t>
            </w:r>
          </w:p>
        </w:tc>
        <w:tc>
          <w:tcPr/>
          <w:p>
            <w:pPr>
              <w:pStyle w:val="Compact"/>
            </w:pPr>
            <w:r>
              <w:t xml:space="preserve">Singh et al., 2000</w:t>
            </w:r>
          </w:p>
        </w:tc>
        <w:tc>
          <w:tcPr/>
          <w:p>
            <w:pPr>
              <w:pStyle w:val="Compact"/>
            </w:pPr>
            <w:r>
              <w:t xml:space="preserve">(53)–(54)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deposition_model = 'filtration'</w:t>
            </w:r>
          </w:p>
        </w:tc>
        <w:tc>
          <w:tcPr/>
          <w:p>
            <w:pPr>
              <w:pStyle w:val="Compact"/>
            </w:pPr>
            <w:r>
              <w:t xml:space="preserve">континуальная глубинная фильтрация и корреляции k(φ, σ)</w:t>
            </w:r>
          </w:p>
        </w:tc>
        <w:tc>
          <w:tcPr/>
          <w:p>
            <w:pPr>
              <w:pStyle w:val="Compact"/>
            </w:pPr>
            <w:r>
              <w:t xml:space="preserve">Civan, 2015; Krauss, Mays, 2013</w:t>
            </w:r>
          </w:p>
        </w:tc>
        <w:tc>
          <w:tcPr/>
          <w:p>
            <w:pPr>
              <w:pStyle w:val="Compact"/>
            </w:pPr>
            <w:r>
              <w:t xml:space="preserve">(55)–(56)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thermal_nonequilibrium</w:t>
            </w:r>
          </w:p>
        </w:tc>
        <w:tc>
          <w:tcPr/>
          <w:p>
            <w:pPr>
              <w:pStyle w:val="Compact"/>
            </w:pPr>
            <w:r>
              <w:t xml:space="preserve">локальное тепловое неравновесие и диффузия по Фику к холодной породе</w:t>
            </w:r>
          </w:p>
        </w:tc>
        <w:tc>
          <w:tcPr/>
          <w:p>
            <w:pPr>
              <w:pStyle w:val="Compact"/>
            </w:pPr>
            <w:r>
              <w:t xml:space="preserve">Wakao, Kaguei, 1982</w:t>
            </w:r>
          </w:p>
        </w:tc>
        <w:tc>
          <w:tcPr/>
          <w:p>
            <w:pPr>
              <w:pStyle w:val="Compact"/>
            </w:pPr>
            <w:r>
              <w:t xml:space="preserve">(57)–(59)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скин-фактор скважины</w:t>
            </w:r>
          </w:p>
        </w:tc>
        <w:tc>
          <w:tcPr/>
          <w:p>
            <w:pPr>
              <w:pStyle w:val="Compact"/>
            </w:pPr>
            <w:r>
              <w:t xml:space="preserve">Hawkins, 1956</w:t>
            </w:r>
          </w:p>
        </w:tc>
        <w:tc>
          <w:tcPr/>
          <w:p>
            <w:pPr>
              <w:pStyle w:val="Compact"/>
            </w:pPr>
            <w:r>
              <w:t xml:space="preserve">(60)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pore_network</w:t>
            </w:r>
          </w:p>
        </w:tc>
        <w:tc>
          <w:tcPr/>
          <w:p>
            <w:pPr>
              <w:pStyle w:val="Compact"/>
            </w:pPr>
            <w:r>
              <w:t xml:space="preserve">сеть пор и горл: проводимость по эффективной среде</w:t>
            </w:r>
          </w:p>
        </w:tc>
        <w:tc>
          <w:tcPr/>
          <w:p>
            <w:pPr>
              <w:pStyle w:val="Compact"/>
            </w:pPr>
            <w:r>
              <w:t xml:space="preserve">Fatt, 1956; Kirkpatrick, 1973</w:t>
            </w:r>
          </w:p>
        </w:tc>
        <w:tc>
          <w:tcPr/>
          <w:p>
            <w:pPr>
              <w:pStyle w:val="Compact"/>
            </w:pPr>
            <w:r>
              <w:t xml:space="preserve">(61)–(63)</w:t>
            </w:r>
          </w:p>
        </w:tc>
      </w:tr>
    </w:tbl>
    <w:bookmarkStart w:id="9" w:name="одна-схема-для-всех-механизмов"/>
    <w:p>
      <w:pPr>
        <w:pStyle w:val="Heading2"/>
      </w:pPr>
      <w:r>
        <w:t xml:space="preserve">13.1. Одна схема для всех механизмов</w:t>
      </w:r>
    </w:p>
    <w:p>
      <w:pPr>
        <w:pStyle w:val="FirstParagraph"/>
      </w:pPr>
      <w:r>
        <w:t xml:space="preserve">В модели пучка капилляров (разд. 6) все механизмы сводятся к двум величинам для каждого радиуса r:</w:t>
      </w:r>
    </w:p>
    <w:p>
      <w:pPr>
        <w:pStyle w:val="Compact"/>
        <w:numPr>
          <w:ilvl w:val="0"/>
          <w:numId w:val="1001"/>
        </w:numPr>
      </w:pPr>
      <w:r>
        <w:t xml:space="preserve">скорости изменения радиуса капилляра u(r) — сужение (u &lt; 0) или вынос (u &gt; 0);</w:t>
      </w:r>
    </w:p>
    <w:p>
      <w:pPr>
        <w:pStyle w:val="Compact"/>
        <w:numPr>
          <w:ilvl w:val="0"/>
          <w:numId w:val="1001"/>
        </w:numPr>
      </w:pPr>
      <w:r>
        <w:t xml:space="preserve">коэффициенту блокирования b(r).</w:t>
      </w:r>
    </w:p>
    <w:p>
      <w:pPr>
        <w:pStyle w:val="FirstParagraph"/>
      </w:pPr>
      <w:r>
        <w:t xml:space="preserve">Функция пор переносится по оси радиусов той же неявной схемой против потока, что и в базовой модели: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t> </m:t>
              </m:r>
              <m:r>
                <m:t>φ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t>φ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механизм, а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— ограничитель подводом. За шаг не может осесть больше частиц, чем останется в ячейке после оттока нефти через грани и скважину: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Q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)</m:t>
        </m:r>
        <m:r>
          <m:t> </m:t>
        </m:r>
        <m:sSub>
          <m:e>
            <m:r>
              <m:t>w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Убыль проводящих каналов за шаг делится между механизмами пропорционально их оценкам до прогонки. Вынос берется явно. Поэтому сумма скоростей потери порового объема по чистым материалам совпадает с изменением пористости: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  <m:r>
                <m:t>r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n</m:t>
              </m:r>
              <m:r>
                <m:t>e</m:t>
              </m:r>
              <m:r>
                <m:t>w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— осадок и пробки парафина;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— осадок асфальтенов со смолами;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— стеночная кристаллизация;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старение;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t xml:space="preserve">— адсорбция асфальтенов и смол.</w:t>
      </w:r>
    </w:p>
    <w:p>
      <w:pPr>
        <w:pStyle w:val="FirstParagraph"/>
      </w:pPr>
      <w:r>
        <w:t xml:space="preserve">На тождество (38b) опираются уравнения насыщенности, переноса компонентов и энергии, поэтому масса каждого компонента сохраняется до округления.</w:t>
      </w:r>
    </w:p>
    <w:p>
      <w:pPr>
        <w:pStyle w:val="BodyText"/>
      </w:pPr>
      <w:r>
        <w:t xml:space="preserve">Скорости переноса в кинетическом ядре считаются по текущему слою. В прежних ядрах они брались с прошлого шага, и запаздывание вместе с ограничителем подводом давало колебания доли флокул (разд. 12, п. 8).</w:t>
      </w:r>
    </w:p>
    <w:bookmarkEnd w:id="9"/>
    <w:bookmarkStart w:id="10" w:name="Xe4547ba143594493a8f9718504733fb4c397362"/>
    <w:p>
      <w:pPr>
        <w:pStyle w:val="Heading2"/>
      </w:pPr>
      <w:r>
        <w:t xml:space="preserve">13.2. Кинетика кристаллизации (флаг</w:t>
      </w:r>
      <w:r>
        <w:t xml:space="preserve"> </w:t>
      </w:r>
      <w:r>
        <w:rPr>
          <w:rStyle w:val="VerbatimChar"/>
        </w:rPr>
        <w:t xml:space="preserve">wax_kinetics</w:t>
      </w:r>
      <w:r>
        <w:t xml:space="preserve">)</w:t>
      </w:r>
    </w:p>
    <w:p>
      <w:pPr>
        <w:pStyle w:val="FirstParagraph"/>
      </w:pPr>
      <w:r>
        <w:t xml:space="preserve">Равновесная модель (разд. 3) предполагает, что пересыщение снимается мгновенно. Huang et al. (2011) показали, что обе предельные модели ошибаются: одна вообще не учитывает кристаллизации в потоке, другая предполагает мгновенную растворимость. Первая недооценивает толщину отложений, вторая переоценивает. Точный прогноз дает учет конечной скорости кристаллизации в объеме нефти, конкурирующей с отложением на стенке.</w:t>
      </w:r>
    </w:p>
    <w:p>
      <w:pPr>
        <w:pStyle w:val="BodyText"/>
      </w:pPr>
      <w:r>
        <w:t xml:space="preserve">В модели взвешенные кристаллы каждой группы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— отдельная переносимая величина, релаксирующая к равновесной взвеси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(6):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&gt;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— растворенный парафин сверх предела растворимости. Оно расходуется двумя параллельными путями первого порядка: рост кристаллов в объеме (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) и кристаллизация прямо на стенках пор (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t xml:space="preserve">). За шаг на стенки уходит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Кристаллизация на стенках сужает все проводящие каналы одинаково. Объем кристаллов за единицу времени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rPr>
                    <m:sty m:val="p"/>
                  </m:rPr>
                  <m:t>Δ</m:t>
                </m:r>
              </m:e>
              <m:sub>
                <m:r>
                  <m:t>k</m:t>
                </m:r>
              </m:sub>
              <m:sup>
                <m:r>
                  <m:t>w</m:t>
                </m:r>
                <m:r>
                  <m:t>a</m:t>
                </m:r>
                <m:r>
                  <m:t>l</m:t>
                </m:r>
                <m:r>
                  <m:t>l</m:t>
                </m:r>
              </m:sup>
            </m:sSub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распределяется по удельной поверхности каналов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r>
          <m:t>r</m:t>
        </m:r>
        <m:r>
          <m:t>φ</m:t>
        </m:r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t>a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принципиальное отличие от захвата взвеси: частицы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затыкают узкие каналы (</w:t>
      </w:r>
      <m:oMath>
        <m:r>
          <m:t>r</m:t>
        </m:r>
        <m:r>
          <m:rPr>
            <m:sty m:val="p"/>
          </m:rPr>
          <m:t>&lt;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2</m:t>
        </m:r>
        <m:r>
          <m:t>γ</m:t>
        </m:r>
      </m:oMath>
      <w:r>
        <w:t xml:space="preserve">) и оседают в широких, то есть сортируют поры по размеру. Кристаллизация на стенках от размера пор не зависит. Томография Sandyga et al. (2020) показала, что при охлаждении керна все классы пор потеряли 76–87 % объема. Такое равномерное повреждение — признак стеночной кристаллизации (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BodyText"/>
      </w:pPr>
      <w:r>
        <w:t xml:space="preserve">Равновесный предел: при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получается модель разд. 3. Скрытая теплота выделяется при любом уходе растворенного парафина — в объем или на стенку. Носитель</w:t>
      </w:r>
      <w:r>
        <w:t xml:space="preserve"> </w:t>
      </w:r>
      <m:oMath>
        <m:sSub>
          <m:e>
            <m:r>
              <m:t>H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(разд. 8) считается по фактически растворенному парафину.</w:t>
      </w:r>
    </w:p>
    <w:bookmarkEnd w:id="10"/>
    <w:bookmarkStart w:id="14" w:name="X604b0e33b1c4bf4641a580407d5a1406b1db4d5"/>
    <w:p>
      <w:pPr>
        <w:pStyle w:val="Heading2"/>
      </w:pPr>
      <w:r>
        <w:t xml:space="preserve">13.3. Перенос частиц к стенке (флаг</w:t>
      </w:r>
      <w:r>
        <w:t xml:space="preserve"> </w:t>
      </w:r>
      <w:r>
        <w:rPr>
          <w:rStyle w:val="VerbatimChar"/>
        </w:rPr>
        <w:t xml:space="preserve">wall_transport</w:t>
      </w:r>
      <w:r>
        <w:t xml:space="preserve">)</w:t>
      </w:r>
    </w:p>
    <w:p>
      <w:pPr>
        <w:pStyle w:val="FirstParagraph"/>
      </w:pPr>
      <w:r>
        <w:t xml:space="preserve">Burger et al. (1981) выделили механизмы переноса частиц воска к стенке: молекулярную диффузию, сдвиговую дисперсию и броуновскую диффузию. Позже к ним добавили гравитационное оседание (обзор 2.2).</w:t>
      </w:r>
    </w:p>
    <w:p>
      <w:pPr>
        <w:pStyle w:val="BodyText"/>
      </w:pPr>
      <w:r>
        <w:t xml:space="preserve">Базовая модель считает скорость осаждения частиц в широком капилляре по решению Левека для ламинарного течения с броуновской диффузией: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x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sSubSup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r</m:t>
                          </m:r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r>
                <m:t>μ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Коэффициент переноса частиц — сумма броуновской диффузии (Стокс–Эйнштейн) и сдвиговой дисперсии (Leighton, Acrivos, 1987; Eckstein et al., 1977):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μ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h</m:t>
              </m:r>
            </m:sub>
          </m:sSub>
          <m:r>
            <m:t> </m:t>
          </m:r>
          <m:sSubSup>
            <m:e>
              <m:r>
                <m:t>ϕ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t> </m:t>
          </m:r>
          <m:sSub>
            <m:e>
              <m:acc>
                <m:accPr>
                  <m:chr m:val="̇"/>
                </m:accPr>
                <m:e>
                  <m:r>
                    <m:t>γ</m:t>
                  </m:r>
                </m:e>
              </m:acc>
            </m:e>
            <m:sub>
              <m:r>
                <m:t>w</m:t>
              </m:r>
            </m:sub>
          </m:sSub>
          <m:r>
            <m:t> </m:t>
          </m:r>
          <m:sSubSup>
            <m:e>
              <m:r>
                <m:t>a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̇"/>
                </m:accPr>
                <m:e>
                  <m:r>
                    <m:t>γ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Гравитационное оседание — скорость Стокса: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a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|</m:t>
              </m:r>
              <m:sSub>
                <m:e>
                  <m:r>
                    <m:t>ρ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r>
                <m:t>g</m:t>
              </m:r>
            </m:num>
            <m:den>
              <m:r>
                <m:t>9</m:t>
              </m:r>
              <m:r>
                <m:t>μ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Поток на стенку горизонтального капилляра —</w:t>
      </w:r>
      <w:r>
        <w:t xml:space="preserve"> </w:t>
      </w:r>
      <m:oMath>
        <m:r>
          <m:t>c</m:t>
        </m:r>
        <m:r>
          <m:t> 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π</m:t>
        </m:r>
      </m:oMath>
      <w:r>
        <w:t xml:space="preserve">. Для изотропно ориентированного пучка среднее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отсюда</w:t>
      </w:r>
      <w:r>
        <w:t xml:space="preserve"> </w:t>
      </w:r>
      <m:oMath>
        <m:sSub>
          <m:e>
            <m:r>
              <m:t>ε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Сдвиговая дисперсия существенна только при заметной объемной доле частиц. Гравитационное оседание крупных кристаллов (15 мкм,</w:t>
      </w:r>
      <w:r>
        <w:t xml:space="preserve"> </w:t>
      </w:r>
      <m:oMath>
        <m:r>
          <m:rPr>
            <m:sty m:val="p"/>
          </m:rPr>
          <m:t>Δ</m:t>
        </m:r>
        <m:r>
          <m:t>ρ</m:t>
        </m:r>
        <m:r>
          <m:rPr>
            <m:sty m:val="p"/>
          </m:rPr>
          <m:t>=</m:t>
        </m:r>
        <m:r>
          <m:t>260</m:t>
        </m:r>
      </m:oMath>
      <w:r>
        <w:t xml:space="preserve"> </w:t>
      </w:r>
      <w:r>
        <w:t xml:space="preserve">кг/м³) дает скорость порядка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м/с и при медленном течении превосходит броуновский перенос на порядки. Это проверяется на керновых опытах.</w:t>
      </w:r>
    </w:p>
    <w:p>
      <w:pPr>
        <w:pStyle w:val="BodyText"/>
      </w:pPr>
      <w:r>
        <w:drawing>
          <wp:inline>
            <wp:extent cx="4604164" cy="31337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kin01_transpo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164" cy="3133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13.1. Скорость переноса частиц к стенке канала радиуса 10 мкм по формулам (42)–(44) (</w:t>
      </w:r>
      <w:r>
        <w:rPr>
          <w:rStyle w:val="VerbatimChar"/>
        </w:rPr>
        <w:t xml:space="preserve">docs/make_kinetics_figures.py</w:t>
      </w:r>
      <w:r>
        <w:t xml:space="preserve">). Броуновская диффузия доминирует для частиц мельче 1–2 мкм, сдвиговая дисперсия и оседание — для крупных кристаллов. У калиброванного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= 15 мкм оседание и сдвиговая дисперсия дают перенос в 25–60 раз быстрее броуновского.</w:t>
      </w:r>
    </w:p>
    <w:bookmarkEnd w:id="14"/>
    <w:bookmarkStart w:id="15" w:name="вынос-отложений-флаг-entrainment"/>
    <w:p>
      <w:pPr>
        <w:pStyle w:val="Heading2"/>
      </w:pPr>
      <w:r>
        <w:t xml:space="preserve">13.4. Вынос отложений (флаг</w:t>
      </w:r>
      <w:r>
        <w:t xml:space="preserve"> </w:t>
      </w:r>
      <w:r>
        <w:rPr>
          <w:rStyle w:val="VerbatimChar"/>
        </w:rPr>
        <w:t xml:space="preserve">entrainment</w:t>
      </w:r>
      <w:r>
        <w:t xml:space="preserve">)</w:t>
      </w:r>
    </w:p>
    <w:p>
      <w:pPr>
        <w:pStyle w:val="FirstParagraph"/>
      </w:pPr>
      <w:r>
        <w:t xml:space="preserve">Отложения — мягкий гель, и поток сдирает его, когда касательное напряжение на стенке превышает предел прочности. Баланс толщины отложения (обзор 2.2.5; Gruesbeck, Collins, 1982; Wang, Civan, 2001):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h</m:t>
              </m:r>
            </m:num>
            <m:den>
              <m:r>
                <m:t>d</m:t>
              </m:r>
              <m:r>
                <m:t>t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b>
              <m:r>
                <m:rPr>
                  <m:sty m:val="p"/>
                </m:rPr>
                <m:t>+</m:t>
              </m:r>
            </m:sub>
          </m:sSub>
          <m:r>
            <m:t>h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2</m:t>
              </m:r>
              <m:r>
                <m:t>η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Вынесенный осадок возвращается в нефть в своем составе: парафин — во взвесь, асфальтены и смолы — во флокулы. Толщина отложения в капилляре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копится как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t</m:t>
        </m:r>
      </m:oMath>
      <w:r>
        <w:t xml:space="preserve">. Совместно с осаждением вынос дает стационарное плато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. Такое плато наблюдается в опытах Sutton, Roberts (1974) и Li et al. (2024) при 45–90 °C, а у прежней модели его не было.</w:t>
      </w:r>
    </w:p>
    <w:bookmarkEnd w:id="15"/>
    <w:bookmarkStart w:id="19" w:name="X29808275e0a016c8721df680511d78b374d2fbf"/>
    <w:p>
      <w:pPr>
        <w:pStyle w:val="Heading2"/>
      </w:pPr>
      <w:r>
        <w:t xml:space="preserve">13.5. Агрегация асфальтенов и закупорка горл флокулами (флаг</w:t>
      </w:r>
      <w:r>
        <w:t xml:space="preserve"> </w:t>
      </w:r>
      <w:r>
        <w:rPr>
          <w:rStyle w:val="VerbatimChar"/>
        </w:rPr>
        <w:t xml:space="preserve">asph_aggregation</w:t>
      </w:r>
      <w:r>
        <w:t xml:space="preserve">)</w:t>
      </w:r>
    </w:p>
    <w:p>
      <w:pPr>
        <w:pStyle w:val="FirstParagraph"/>
      </w:pPr>
      <w:r>
        <w:t xml:space="preserve">Выпадающие асфальтены — первичные частицы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r>
          <m:t>0.1</m:t>
        </m:r>
      </m:oMath>
      <w:r>
        <w:t xml:space="preserve"> </w:t>
      </w:r>
      <w:r>
        <w:t xml:space="preserve">мкм. Они растут агрегацией до микрон за минуты и часы (Maqbool et al., 2009); рост определяется режимом столкновений (обзор 2.3.3, 5.2).</w:t>
      </w:r>
    </w:p>
    <w:p>
      <w:pPr>
        <w:pStyle w:val="BodyText"/>
      </w:pPr>
      <w:r>
        <w:t xml:space="preserve">Число флокул в единице объема нефти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переносится с нефтью. Оно меняется по уравнению Смолуховского с броуновским ядром: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</m:den>
          </m:f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acc>
                    <m:accPr>
                      <m:chr m:val="̇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a</m:t>
                  </m:r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μ</m:t>
              </m:r>
              <m:r>
                <m:t>W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Коэффициент устойчивости Фукса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соответствует диффузионно-лимитированной агрегации (DLCA),</w:t>
      </w:r>
      <w:r>
        <w:t xml:space="preserve"> </w:t>
      </w:r>
      <m:oMath>
        <m:r>
          <m:t>W</m:t>
        </m:r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t xml:space="preserve">— реакционно-лимитированной (RLCA). Размер флокулы — из массы фрактального агрегата: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a</m:t>
                          </m:r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–</w:t>
      </w:r>
      <m:oMath>
        <m:r>
          <m:t>2.1</m:t>
        </m:r>
      </m:oMath>
      <w:r>
        <w:t xml:space="preserve">. Флокула диаметра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проходит горло радиуса</w:t>
      </w:r>
      <w:r>
        <w:t xml:space="preserve"> </w:t>
      </w:r>
      <m:oMath>
        <m:r>
          <m:t>γ</m:t>
        </m:r>
        <m:r>
          <m:t>r</m:t>
        </m:r>
      </m:oMath>
      <w:r>
        <w:t xml:space="preserve"> </w:t>
      </w:r>
      <w:r>
        <w:t xml:space="preserve">только при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r>
          <m:t>2</m:t>
        </m:r>
        <m:r>
          <m:t>γ</m:t>
        </m:r>
      </m:oMath>
      <w:r>
        <w:t xml:space="preserve">, а более узкие каналы затыкает. Коэффициент блокирования и объем пробки такие же, как у кристаллов парафина (разд. 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6</m:t>
              </m:r>
              <m:r>
                <m:t>β</m:t>
              </m:r>
            </m:num>
            <m:den>
              <m:sSubSup>
                <m:e>
                  <m:r>
                    <m:t>d</m:t>
                  </m:r>
                </m:e>
                <m:sub>
                  <m:r>
                    <m:t>f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m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l</m:t>
              </m:r>
              <m:r>
                <m:t>u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d</m:t>
                  </m:r>
                </m:e>
                <m:sub>
                  <m:r>
                    <m:t>f</m:t>
                  </m:r>
                </m:sub>
                <m:sup>
                  <m:r>
                    <m:t>3</m:t>
                  </m:r>
                </m:sup>
              </m:sSub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Без агрегации флокулы имели постоянный размер</w:t>
      </w:r>
      <w:r>
        <w:t xml:space="preserve"> </w:t>
      </w:r>
      <w:r>
        <w:rPr>
          <w:rStyle w:val="VerbatimChar"/>
        </w:rPr>
        <w:t xml:space="preserve">D_asph</w:t>
      </w:r>
      <w:r>
        <w:t xml:space="preserve"> </w:t>
      </w:r>
      <w:r>
        <w:t xml:space="preserve">и только сужали каналы (разд. 12, п. 4).</w:t>
      </w:r>
    </w:p>
    <w:p>
      <w:pPr>
        <w:pStyle w:val="BodyText"/>
      </w:pPr>
      <w:r>
        <w:drawing>
          <wp:inline>
            <wp:extent cx="6108700" cy="270816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kin02_smoluchowski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08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13.2. Агрегация асфальтенов при объемной доле 0.1 % и 70 °C. Слева — число флокул: шаги схемы (46) совпадают с точным решением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K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t>t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при любом шаге. Справа — диаметр фрактальной флокулы (47). При DLCA флокулы вырастают до микрон за минуты, при RLCA (</w:t>
      </w:r>
      <m:oMath>
        <m:r>
          <m:t>W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— за часы, как в опытах Maqbool et al. (2009).</w:t>
      </w:r>
    </w:p>
    <w:bookmarkEnd w:id="19"/>
    <w:bookmarkStart w:id="20" w:name="снежный-ком-флаг-snowball"/>
    <w:p>
      <w:pPr>
        <w:pStyle w:val="Heading2"/>
      </w:pPr>
      <w:r>
        <w:t xml:space="preserve">13.6. «Снежный ком» (флаг</w:t>
      </w:r>
      <w:r>
        <w:t xml:space="preserve"> </w:t>
      </w:r>
      <w:r>
        <w:rPr>
          <w:rStyle w:val="VerbatimChar"/>
        </w:rPr>
        <w:t xml:space="preserve">snowball</w:t>
      </w:r>
      <w:r>
        <w:t xml:space="preserve">)</w:t>
      </w:r>
    </w:p>
    <w:p>
      <w:pPr>
        <w:pStyle w:val="FirstParagraph"/>
      </w:pPr>
      <w:r>
        <w:t xml:space="preserve">Опыты на стеклянных микромоделях показали, что осевшая частица асфальтена становится центром захвата следующих. Закупорка горла идет с ускорением (Onaka, Sato, 2021). В модели коэффициенты захвата (сужение и блокирование) растут с долей потерянного порового объема: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x</m:t>
              </m:r>
            </m:sub>
          </m:sSub>
          <m:r>
            <m:t> </m:t>
          </m:r>
          <m:r>
            <m:rPr>
              <m:sty m:val="p"/>
            </m:rPr>
            <m:t>→</m:t>
          </m:r>
          <m:r>
            <m:t> </m:t>
          </m:r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x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</w:p>
    <w:bookmarkEnd w:id="20"/>
    <w:bookmarkStart w:id="24" w:name="Xceedb93da4832b73b77e5f98619acd701f19361"/>
    <w:p>
      <w:pPr>
        <w:pStyle w:val="Heading2"/>
      </w:pPr>
      <w:r>
        <w:t xml:space="preserve">13.7. Адсорбция и удержание асфальтенов и смол (флаг</w:t>
      </w:r>
      <w:r>
        <w:t xml:space="preserve"> </w:t>
      </w:r>
      <w:r>
        <w:rPr>
          <w:rStyle w:val="VerbatimChar"/>
        </w:rPr>
        <w:t xml:space="preserve">adsorption</w:t>
      </w:r>
      <w:r>
        <w:t xml:space="preserve">)</w:t>
      </w:r>
    </w:p>
    <w:p>
      <w:pPr>
        <w:pStyle w:val="FirstParagraph"/>
      </w:pPr>
      <w:r>
        <w:t xml:space="preserve">Растворенные асфальтены и смолы адсорбируются на минеральной поверхности, на песчаниках — единицы мг/м² (Dubey, Waxman, 1991). Вместе с ними в горлах пор механически удерживаются агрегаты. Кинетика — линейная движущая сила к изотерме Ленгмюра, константа —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Γ</m:t>
            </m:r>
          </m:e>
          <m:sub>
            <m:r>
              <m:t>s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пропорциональна удельной поверхности породы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r>
          <m:t>r</m:t>
        </m:r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paraphin.surf_0</w:t>
      </w:r>
      <w:r>
        <w:t xml:space="preserve">), а адсорбция экзотермична (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). Емкость берется по исходной поверхности, а не по поверхности текущих проводящих каналов: ее измеряют на единицу массы породы, и адсорбированное в канале, который потом заткнул парафин, остается на месте. Пока емкость считалась по проводящим каналам, она падала вместе с закупоркой парафином, смолы десорбировались, и на ступени 45 °C опыта Li et al. (2024) проницаемость к концу ступени росла (СКО 0.30 вместо 0.06 после исправления).</w:t>
      </w:r>
    </w:p>
    <w:p>
      <w:pPr>
        <w:pStyle w:val="BodyText"/>
      </w:pPr>
      <w:r>
        <w:t xml:space="preserve">Скорость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— массообмен к стенке (линейная движущая сила Глюкауфа),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 Коэффициент молекулярной диффузии по Уилки–Чангу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∼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,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μ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t>а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E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— энергия активации вязкого течения жидкой основы нефти (</w:t>
      </w:r>
      <w:r>
        <w:rPr>
          <w:rStyle w:val="VerbatimChar"/>
        </w:rPr>
        <w:t xml:space="preserve">E_activation</w:t>
      </w:r>
      <w:r>
        <w:t xml:space="preserve">). В нефти Жетыбая (</w:t>
      </w:r>
      <m:oMath>
        <m:sSub>
          <m:e>
            <m:r>
              <m:t>E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= 21.3 кДж/моль) скорость от 90 до 45 °C падает в 3.1 раза. В опыте Li et al. это видно: на 90 °C плато достигается за 1.5 PV, на 45 °C — за 2.3 PV при меньшем приросте удержания.</w:t>
      </w:r>
    </w:p>
    <w:p>
      <w:pPr>
        <w:pStyle w:val="BodyText"/>
      </w:pPr>
      <w:r>
        <w:t xml:space="preserve">Уравнение (50) — линейная движущая сила со стороны твердой фазы: скорость пропорциональна недобору до равновесия, и удержание подходит к насыщению экспоненциально. Если лимитирует массообмен со стороны нефти (пленка у стенки), движущая сила — пересыщение раствора относительно равновесной концентрации при текущем удержании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— обратной изотермы Ленгмюра: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t> </m:t>
          </m:r>
          <m:r>
            <m:t>m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t>б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 линейной изотерме (</w:t>
      </w:r>
      <m:oMath>
        <m:r>
          <m:t>K</m:t>
        </m:r>
        <m:r>
          <m:t>c</m:t>
        </m:r>
        <m:r>
          <m:rPr>
            <m:sty m:val="p"/>
          </m:rPr>
          <m:t>≪</m:t>
        </m:r>
        <m:r>
          <m:t>1</m:t>
        </m:r>
      </m:oMath>
      <w:r>
        <w:t xml:space="preserve">) формы (50) и (50б) совпадают. При выпуклой (</w:t>
      </w:r>
      <m:oMath>
        <m:r>
          <m:t>K</m:t>
        </m:r>
        <m:r>
          <m:t>c</m:t>
        </m:r>
        <m:r>
          <m:rPr>
            <m:sty m:val="p"/>
          </m:rPr>
          <m:t>≫</m:t>
        </m:r>
        <m:r>
          <m:t>1</m:t>
        </m:r>
      </m:oMath>
      <w:r>
        <w:t xml:space="preserve">) они различаются качественно: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остается малой почти до насыщения, поэтому удержание по (50б) идет с постоянной скоростью и резко останавливается. Выбор формы — runtime-параметр</w:t>
      </w:r>
      <w:r>
        <w:t xml:space="preserve"> </w:t>
      </w:r>
      <w:r>
        <w:rPr>
          <w:rStyle w:val="VerbatimChar"/>
        </w:rPr>
        <w:t xml:space="preserve">ads_film</w:t>
      </w:r>
      <w:r>
        <w:t xml:space="preserve"> </w:t>
      </w:r>
      <w:r>
        <w:t xml:space="preserve">(0 — (50), 1 — (50б)). Уравнение (50б) жесткое при большой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и интегрируется неявным Эйлером: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— меньший корень квадратного уравнения, он всегда лежит в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Kinetics_math.langmuir_film_step</w:t>
      </w:r>
      <w:r>
        <w:t xml:space="preserve">).</w:t>
      </w:r>
    </w:p>
    <w:p>
      <w:pPr>
        <w:pStyle w:val="BodyText"/>
      </w:pPr>
      <w:r>
        <w:t xml:space="preserve">В опыте Li et al. (2024) различие между формами видно прямо. На ступенях 65 и 45 °C подобранная изотерма выпуклая (</w:t>
      </w:r>
      <m:oMath>
        <m:r>
          <m:t>K</m:t>
        </m:r>
        <m:r>
          <m:t>c</m:t>
        </m:r>
      </m:oMath>
      <w:r>
        <w:t xml:space="preserve"> </w:t>
      </w:r>
      <w:r>
        <w:t xml:space="preserve">= 2–20), и проницаемость падает почти линейно, а к 2.2 PV резко выходит на плато. На ступени 90 °C изотерма линейная (</w:t>
      </w:r>
      <m:oMath>
        <m:r>
          <m:t>K</m:t>
        </m:r>
        <m:r>
          <m:t>c</m:t>
        </m:r>
        <m:r>
          <m:rPr>
            <m:sty m:val="p"/>
          </m:rPr>
          <m:t>≈</m:t>
        </m:r>
        <m:r>
          <m:t>0.15</m:t>
        </m:r>
      </m:oMath>
      <w:r>
        <w:t xml:space="preserve">), и подход к плато экспоненциальный. Сравнение форм — в</w:t>
      </w:r>
      <w:r>
        <w:t xml:space="preserve"> </w:t>
      </w:r>
      <w:r>
        <w:rPr>
          <w:rStyle w:val="VerbatimChar"/>
        </w:rPr>
        <w:t xml:space="preserve">experiments/сравнение_с_опытами.md</w:t>
      </w:r>
      <w:r>
        <w:t xml:space="preserve">.</w:t>
      </w:r>
    </w:p>
    <w:p>
      <w:pPr>
        <w:pStyle w:val="BodyText"/>
      </w:pPr>
      <w:r>
        <w:t xml:space="preserve">За шаг удерживается не больше, чем растворено с учетом оттока.</w:t>
      </w:r>
    </w:p>
    <w:p>
      <w:pPr>
        <w:pStyle w:val="BodyText"/>
      </w:pPr>
      <w:r>
        <w:drawing>
          <wp:inline>
            <wp:extent cx="4181427" cy="289942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kin03_langmui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27" cy="2899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13.3. Равновесное удержание смол и асфальтенов от температуры — изотерма (50) при параметрах, подобранных по ступенчатому опыту Li et al. (2024) (</w:t>
      </w:r>
      <w:r>
        <w:rPr>
          <w:rStyle w:val="VerbatimChar"/>
        </w:rPr>
        <w:t xml:space="preserve">experiments/li2024.py</w:t>
      </w:r>
      <w:r>
        <w:t xml:space="preserve">), и накопленная проницаемость ступеней опыта. Удержание растет при охлаждении. При 65 и 45 °C равновесие лежит ниже плато опыта: за 5 PV ступени удержание до равновесия не доходит, его ограничивают подвод асфальтенов и смол и кинетика. Поэтому параметры подбираются прогонами всего протокола, а не по равновесным плато: такой подбор дает при 65 и 45 °C СКО 0.25 и 0.16 вместо 0.03 и 0.04.</w:t>
      </w:r>
    </w:p>
    <w:p>
      <w:pPr>
        <w:pStyle w:val="BodyText"/>
      </w:pPr>
      <w:r>
        <w:t xml:space="preserve">Где сидит удержанное, решает баланс массы. Равномерный слой на стенках всех каналов дает потерю проводимости, пропорциональную потере порового объема. В опыте Li et al. (2024) проницаемость керна выше WAT падает до 0.33, и для этого слоем пришлось бы удержать около 80 кг асфальтенов и смол на 1 м³ породы, тогда как за 2.4 PV их подводится не более 23 кг/м³. Поэтому удержанное сидит в горлах: малый объем дает большую потерю проводимости — структурный эффект обзора (разд. 4.1). В модели пучка проводимость умножается на функцию повреждения Civan (2015) по объему удержанного, а поровый объем уменьшается на этот объем: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  <m:r>
                <m:t>u</m:t>
              </m:r>
              <m:r>
                <m:t>n</m:t>
              </m:r>
              <m:r>
                <m:t>d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(</m:t>
          </m:r>
          <m:r>
            <m:t>φ</m:t>
          </m:r>
          <m:r>
            <m:rPr>
              <m:sty m:val="p"/>
            </m:rPr>
            <m:t>)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σ</m:t>
              </m:r>
            </m:e>
            <m:sub>
              <m:r>
                <m:t>r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Смолы удерживаются с предельной емкостью, пропорциональной асфальтеновой (</w:t>
      </w:r>
      <w:r>
        <w:rPr>
          <w:rStyle w:val="VerbatimChar"/>
        </w:rPr>
        <w:t xml:space="preserve">ads_resin</w:t>
      </w:r>
      <w:r>
        <w:t xml:space="preserve">). Мономолекулярная адсорбция (несколько мг/м²) дает повреждение на порядки меньше наблюдаемого. Подобранная по опыту емкость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это удержание агрегатов, а не монослой;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это видно по величинам.</w:t>
      </w:r>
    </w:p>
    <w:bookmarkEnd w:id="24"/>
    <w:bookmarkStart w:id="25" w:name="смена-смачиваемости-флаг-wettability"/>
    <w:p>
      <w:pPr>
        <w:pStyle w:val="Heading2"/>
      </w:pPr>
      <w:r>
        <w:t xml:space="preserve">13.8. Смена смачиваемости (флаг</w:t>
      </w:r>
      <w:r>
        <w:t xml:space="preserve"> </w:t>
      </w:r>
      <w:r>
        <w:rPr>
          <w:rStyle w:val="VerbatimChar"/>
        </w:rPr>
        <w:t xml:space="preserve">wettability</w:t>
      </w:r>
      <w:r>
        <w:t xml:space="preserve">)</w:t>
      </w:r>
    </w:p>
    <w:p>
      <w:pPr>
        <w:pStyle w:val="FirstParagraph"/>
      </w:pPr>
      <w:r>
        <w:t xml:space="preserve">Адсорбированные асфальтены делают поверхность нефтесмачиваемой. Qin et al. (2000) показали, что учет изменения относительных проницаемостей из-за осевшего асфальтена меняет прогноз продуктивности кардинально (обзор 5.5). ОФП интерполируются между водосмачиваемым (базовая модель) и нефтесмачиваемым наборами по доле покрытия поверхности: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ω</m:t>
          </m:r>
          <m:r>
            <m:rPr>
              <m:sty m:val="p"/>
            </m:rPr>
            <m:t>)</m:t>
          </m:r>
          <m:r>
            <m:t> </m:t>
          </m:r>
          <m:sSubSup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  <m:sup>
              <m:r>
                <m:t>w</m:t>
              </m:r>
              <m:r>
                <m:t>w</m:t>
              </m:r>
            </m:sup>
          </m:sSub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ω</m:t>
          </m:r>
          <m:r>
            <m:t> </m:t>
          </m:r>
          <m:sSubSup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  <m:sup>
              <m:r>
                <m:t>o</m:t>
              </m:r>
              <m:r>
                <m:t>w</m:t>
              </m:r>
            </m:sup>
          </m:sSub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Γ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sty m:val="p"/>
                        </m:rPr>
                        <m:t>Γ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Нефтесмачиваемый набор имеет меньшую связанную воду и меньшую остаточную нефть, вода в нем подвижнее. Опытов для проверки в репозитории нет — только предельные случаи.</w:t>
      </w:r>
    </w:p>
    <w:bookmarkEnd w:id="25"/>
    <w:bookmarkStart w:id="26" w:name="X241f8eaf83bb166a4eb8eb2e912d5c2d7232368"/>
    <w:p>
      <w:pPr>
        <w:pStyle w:val="Heading2"/>
      </w:pPr>
      <w:r>
        <w:t xml:space="preserve">13.9. Гель-отложение и его старение (флаг</w:t>
      </w:r>
      <w:r>
        <w:t xml:space="preserve"> </w:t>
      </w:r>
      <w:r>
        <w:rPr>
          <w:rStyle w:val="VerbatimChar"/>
        </w:rPr>
        <w:t xml:space="preserve">deposit_aging</w:t>
      </w:r>
      <w:r>
        <w:t xml:space="preserve">)</w:t>
      </w:r>
    </w:p>
    <w:p>
      <w:pPr>
        <w:pStyle w:val="FirstParagraph"/>
      </w:pPr>
      <w:r>
        <w:t xml:space="preserve">Отложение парафина — не сплошной кристалл, а гель: трехмерная сетка кристаллов, в которой захвачена нефть. После образования молекулы воска продолжают диффундировать в гель, и доля твердого в нем растет. Это старение встречной диффузией с критическим углеродным числом (Singh et al., 2000; обзор 2.4). Молодой гель содержит несколько процентов парафина, состарившийся — десятки.</w:t>
      </w:r>
    </w:p>
    <w:p>
      <w:pPr>
        <w:pStyle w:val="BodyText"/>
      </w:pPr>
      <w:r>
        <w:t xml:space="preserve">В модели новое отложение — гель с долей парафина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 Сужение проводящих каналов идет по объему геля, то есть в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раз быстрее, чем по объему кристаллов: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Пористость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теряет только объем кристаллов. Захваченная нефть остается в поровом пространстве неподвижной — как нефть блокированных каналов (разд. 6). Проводящая пористость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падает при этом много сильнее</w:t>
      </w:r>
      <w:r>
        <w:t xml:space="preserve"> </w:t>
      </w:r>
      <m:oMath>
        <m:r>
          <m:t>m</m:t>
        </m:r>
      </m:oMath>
      <w:r>
        <w:t xml:space="preserve">. Именно ее видит томография, для которой гель в порах — отложение: у Sandyga et al. (2020) пористость упала с 9 % до 2.1 % при объеме кристаллов в несколько раз меньшем.</w:t>
      </w:r>
    </w:p>
    <w:p>
      <w:pPr>
        <w:pStyle w:val="BodyText"/>
      </w:pPr>
      <w:r>
        <w:t xml:space="preserve">Старение — рост доли парафина в геле при постоянном объеме геля за счет растворенного парафина групп, насыщенных при местной температуре: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g</m:t>
              </m:r>
              <m:r>
                <m:t>e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w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</w:p>
    <w:bookmarkEnd w:id="26"/>
    <w:bookmarkStart w:id="30" w:name="X625957ef3b9a8cec32821979d697aaea9478fc1"/>
    <w:p>
      <w:pPr>
        <w:pStyle w:val="Heading2"/>
      </w:pPr>
      <w:r>
        <w:t xml:space="preserve">13.10. Глубинная фильтрация и корреляции проницаемости (</w:t>
      </w:r>
      <w:r>
        <w:rPr>
          <w:rStyle w:val="VerbatimChar"/>
        </w:rPr>
        <w:t xml:space="preserve">deposition_model = 'filtration'</w:t>
      </w:r>
      <w:r>
        <w:t xml:space="preserve">)</w:t>
      </w:r>
    </w:p>
    <w:p>
      <w:pPr>
        <w:pStyle w:val="FirstParagraph"/>
      </w:pPr>
      <w:r>
        <w:t xml:space="preserve">Наряду с пучком капилляров в литературе стандартна континуальная модель с раздельными балансами взвешенной и осевшей фаз (Gruesbeck, Collins, 1982; Civan, 2015; обзор 3.6, 5.4). Масса отложений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в единице объема породы: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σ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t> </m:t>
          </m:r>
          <m:r>
            <m:t>m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r>
            <m:t> </m:t>
          </m:r>
          <m:r>
            <m:t>c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l</m:t>
              </m:r>
            </m:sub>
          </m:sSub>
          <m:r>
            <m:t> </m:t>
          </m:r>
          <m:r>
            <m:rPr>
              <m:sty m:val="p"/>
            </m:rPr>
            <m:t>|</m:t>
          </m:r>
          <m:sSub>
            <m:e>
              <m:r>
                <m:t>u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t>c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σ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u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c</m:t>
              </m:r>
              <m:r>
                <m:t>r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t xml:space="preserve"> </w:t>
      </w:r>
      <w:r>
        <w:t xml:space="preserve">— масса взвеси (кристаллов или флокул) в 1 м³ нефти;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— коэффициент поверхностного осаждения;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 </w:t>
      </w:r>
      <w:r>
        <w:t xml:space="preserve">— коэффициент закупорки горл;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коэффициент выноса.</w:t>
      </w:r>
    </w:p>
    <w:p>
      <w:pPr>
        <w:pStyle w:val="FirstParagraph"/>
      </w:pPr>
      <w:r>
        <w:t xml:space="preserve">Пористость — за вычетом объема отложений. Проницаемость задается одной из корреляций (обзор 4.2):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3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Козени–Карман, степенная поправка Krauss, Mays (2013) с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19</m:t>
        </m:r>
      </m:oMath>
      <w:r>
        <w:t xml:space="preserve">, функция повреждения Civan (2015) и Козени–Карман с ростом удельной поверхности отложениями. Модель глубинной фильтрации не требует распределения пор. Ее параметры подбираются по кривой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(PV) — так поступали Wang, Civan (2005) для опытов Sutton, Roberts.</w:t>
      </w:r>
    </w:p>
    <w:p>
      <w:pPr>
        <w:pStyle w:val="BodyText"/>
      </w:pPr>
      <w:r>
        <w:drawing>
          <wp:inline>
            <wp:extent cx="4503075" cy="296375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kin04_permeabil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075" cy="296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13.4. Корреляции проницаемости (56) и пучок капилляров при равномерном сужении всех каналов. Пучок дает самую пологую связь: у широких каналов проводимость теряется медленнее объема.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кернов He et al. (2020) ложатся на степенной закон с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6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experiments/he2020.py</w:t>
      </w:r>
      <w:r>
        <w:t xml:space="preserve">), то есть ниже диапазона 8–19 из обзора.</w:t>
      </w:r>
    </w:p>
    <w:bookmarkEnd w:id="30"/>
    <w:bookmarkStart w:id="34" w:name="Xd07a3d4e573099f319837333e1eacc254adc97c"/>
    <w:p>
      <w:pPr>
        <w:pStyle w:val="Heading2"/>
      </w:pPr>
      <w:r>
        <w:t xml:space="preserve">13.11. Тепловое неравновесие и диффузия к холодной породе (флаг</w:t>
      </w:r>
      <w:r>
        <w:t xml:space="preserve"> </w:t>
      </w:r>
      <w:r>
        <w:rPr>
          <w:rStyle w:val="VerbatimChar"/>
        </w:rPr>
        <w:t xml:space="preserve">thermal_nonequilibrium</w:t>
      </w:r>
      <w:r>
        <w:t xml:space="preserve">)</w:t>
      </w:r>
    </w:p>
    <w:p>
      <w:pPr>
        <w:pStyle w:val="FirstParagraph"/>
      </w:pPr>
      <w:r>
        <w:t xml:space="preserve">У породы своя температура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, теплообмен с флюидами — с объемным коэффициентом по корреляции Wakao, Kaguei (1982):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N</m:t>
          </m:r>
          <m:r>
            <m:rPr>
              <m:sty m:val="p"/>
            </m:rPr>
            <m:t>u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1.1</m:t>
          </m:r>
          <m:r>
            <m:t> </m:t>
          </m:r>
          <m:s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</m:e>
            <m:sup>
              <m:r>
                <m:t>0.6</m:t>
              </m:r>
            </m:sup>
          </m:sSup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Обмен жесткий: время релаксации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доли секунды для зерен 0.1–1 мм. Поэтому он берется точным решением за шаг, сохраняющим энергию: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Если порода холоднее нефти, у стенки нефть пересыщена относительно равновесия при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, и растворенный парафин диффундирует к стенке по Фику (обзор 2.2.1). Коэффициент массоотдачи — по той же корреляции с числом Шервуда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при малых числах Рейнольдса: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Модель проверяется решением Шумана (Schumann, 1929). Оценка времени релаксации показывает, насколько оправдано допущение о тепловом равновесии (разд. 1, допущение 1): в пласте разность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исчезает за доли секунды, и механизм (59) заметен только на фронте охлаждения при больших скоростях.</w:t>
      </w:r>
    </w:p>
    <w:p>
      <w:pPr>
        <w:pStyle w:val="BodyText"/>
      </w:pPr>
      <w:r>
        <w:drawing>
          <wp:inline>
            <wp:extent cx="4181427" cy="288564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kin05_schuman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27" cy="2885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13.5. Температура флюида на выходе из слоя: схема (перенос с числом Куранта 1 и точный обмен (58) за шаг) против решения Шумана для трех значений безразмерной длины слоя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v</m:t>
            </m:r>
          </m:sub>
        </m:sSub>
        <m: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f</m:t>
            </m:r>
          </m:sub>
        </m:sSub>
        <m:r>
          <m:t>u</m:t>
        </m:r>
        <m:r>
          <m:rPr>
            <m:sty m:val="p"/>
          </m:rPr>
          <m:t>)</m:t>
        </m:r>
      </m:oMath>
      <w:r>
        <w:t xml:space="preserve">. Расхождение — меньше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tests/test_kinetics_math.py</w:t>
      </w:r>
      <w:r>
        <w:t xml:space="preserve">).</w:t>
      </w:r>
    </w:p>
    <w:bookmarkEnd w:id="34"/>
    <w:bookmarkStart w:id="35" w:name="скин-фактор-скважины"/>
    <w:p>
      <w:pPr>
        <w:pStyle w:val="Heading2"/>
      </w:pPr>
      <w:r>
        <w:t xml:space="preserve">13.12. Скин-фактор скважины</w:t>
      </w:r>
    </w:p>
    <w:p>
      <w:pPr>
        <w:pStyle w:val="FirstParagraph"/>
      </w:pPr>
      <w:r>
        <w:t xml:space="preserve">В выгрузку скважин добавлен скин-фактор ячейки скважины по схеме Хокинса (обзор 4.3). Поврежденная зона — ячейка скважины с эквивалентным радиусом Писмана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e</m:t>
                      </m:r>
                      <m:r>
                        <m:t>l</m:t>
                      </m:r>
                      <m:r>
                        <m:t>l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</w:p>
    <w:bookmarkEnd w:id="35"/>
    <w:bookmarkStart w:id="39" w:name="сеть-пор-и-горл-флаг-pore_network"/>
    <w:p>
      <w:pPr>
        <w:pStyle w:val="Heading2"/>
      </w:pPr>
      <w:r>
        <w:t xml:space="preserve">13.13. Сеть пор и горл (флаг</w:t>
      </w:r>
      <w:r>
        <w:t xml:space="preserve"> </w:t>
      </w:r>
      <w:r>
        <w:rPr>
          <w:rStyle w:val="VerbatimChar"/>
        </w:rPr>
        <w:t xml:space="preserve">pore_network</w:t>
      </w:r>
      <w:r>
        <w:t xml:space="preserve">)</w:t>
      </w:r>
    </w:p>
    <w:p>
      <w:pPr>
        <w:pStyle w:val="FirstParagraph"/>
      </w:pPr>
      <w:r>
        <w:t xml:space="preserve">Пучок капилляров — самая простая модель порового пространства: параллельные независимые каналы. В ней закупоренный канал выпадает из проводимости целиком, а обходного пути у потока нет. Проводимость пучка — сумма проводимостей каналов,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. Fatt (1956) показал, что пучок не воспроизводит наблюдаемых свойств пород, и предложил сеть: поры — узлы, соединенные горлами. Сетевые модели и их динамические варианты, где радиусы горл меняются по мере отложения (Nikooey et al., 2015 — для асфальтенов), в обзорах считаются наиболее физичными для кольматации. Там же отмечено, что пучок почти не видит главного для отложений: закупорки в горлах, связности и перераспределения потока (</w:t>
      </w:r>
      <w:r>
        <w:rPr>
          <w:rStyle w:val="VerbatimChar"/>
        </w:rPr>
        <w:t xml:space="preserve">resources/всякие статьи/модели ПС/</w:t>
      </w:r>
      <w:r>
        <w:t xml:space="preserve">).</w:t>
      </w:r>
    </w:p>
    <w:p>
      <w:pPr>
        <w:pStyle w:val="BodyText"/>
      </w:pPr>
      <w:r>
        <w:t xml:space="preserve">В модели функция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остается распределением пор по размерам, а сеть добавляет две вещи.</w:t>
      </w:r>
    </w:p>
    <w:p>
      <w:pPr>
        <w:pStyle w:val="BodyText"/>
      </w:pPr>
      <w:r>
        <w:rPr>
          <w:b/>
          <w:bCs/>
        </w:rPr>
        <w:t xml:space="preserve">Горла.</w:t>
      </w:r>
      <w:r>
        <w:t xml:space="preserve"> </w:t>
      </w:r>
      <w:r>
        <w:t xml:space="preserve">Проводимость дают горла, а не поры. Горло поры исходного радиуса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имеет радиус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 Тот же слой отложения толщины</w:t>
      </w:r>
      <w:r>
        <w:t xml:space="preserve"> </w:t>
      </w:r>
      <m:oMath>
        <m:r>
          <m:t>h</m:t>
        </m:r>
      </m:oMath>
      <w:r>
        <w:t xml:space="preserve">, который сужает пору до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</m:oMath>
      <w:r>
        <w:t xml:space="preserve">, сужает горло до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∼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4</m:t>
              </m:r>
            </m:sup>
          </m:sSubSup>
          <m:r>
            <m:t> 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слой закрывает горло раньше, чем заполняет пору: проводимость падает быстрее пористости. Толщина слоя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копится в ядре как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(разд. 13.4).</w:t>
      </w:r>
    </w:p>
    <w:p>
      <w:pPr>
        <w:pStyle w:val="BodyText"/>
      </w:pPr>
      <w:r>
        <w:rPr>
          <w:b/>
          <w:bCs/>
        </w:rPr>
        <w:t xml:space="preserve">Связность.</w:t>
      </w:r>
      <w:r>
        <w:t xml:space="preserve"> </w:t>
      </w:r>
      <w:r>
        <w:t xml:space="preserve">Горла соединены в сеть с координационным числом</w:t>
      </w:r>
      <w:r>
        <w:t xml:space="preserve"> </w:t>
      </w:r>
      <m:oMath>
        <m:r>
          <m:t>z</m:t>
        </m:r>
      </m:oMath>
      <w:r>
        <w:t xml:space="preserve">. Закрытое горло (отложением или блокированием частицей) не выключает путь: поток обходит его по соседним горлам. Эффективная проводимость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сети — по приближению эффективной среды (Kirkpatrick, 1973):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Δ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доля горл класса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среди исходных;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доля закрытых (блокированные каналы уходят из</w:t>
      </w:r>
      <w:r>
        <w:t xml:space="preserve"> </w:t>
      </w:r>
      <m:oMath>
        <m:r>
          <m:t>φ</m:t>
        </m:r>
      </m:oMath>
      <w:r>
        <w:t xml:space="preserve">);</w:t>
      </w:r>
    </w:p>
    <w:p>
      <w:pPr>
        <w:pStyle w:val="Compact"/>
        <w:numPr>
          <w:ilvl w:val="0"/>
          <w:numId w:val="1004"/>
        </w:numPr>
      </w:pPr>
      <m:oMath>
        <m:sSubSup>
          <m:e>
            <m:r>
              <m:t>g</m:t>
            </m:r>
          </m:e>
          <m:sub>
            <m:r>
              <m:t>m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— та же величина для исходной сети.</w:t>
      </w:r>
    </w:p>
    <w:p>
      <w:pPr>
        <w:pStyle w:val="FirstParagraph"/>
      </w:pPr>
      <w:r>
        <w:t xml:space="preserve">Для одинаковых горл, открытых с долей</w:t>
      </w:r>
      <w:r>
        <w:t xml:space="preserve"> </w:t>
      </w:r>
      <m:oMath>
        <m:r>
          <m:t>p</m:t>
        </m:r>
      </m:oMath>
      <w:r>
        <w:t xml:space="preserve">, из (62) следует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t> 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z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z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Проводимость исчезает на пороге протекания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z</m:t>
        </m:r>
      </m:oMath>
      <w:r>
        <w:t xml:space="preserve">, а не при закрытии всех каналов. При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сеть переходит в пучок: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среднее арифметическое. Корень (62) ищется бисекцией по</w:t>
      </w:r>
      <w:r>
        <w:t xml:space="preserve"> </w:t>
      </w:r>
      <m:oMath>
        <m:r>
          <m:rPr>
            <m:sty m:val="p"/>
          </m:rPr>
          <m:t>lg</m:t>
        </m:r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: левая часть монотонна по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Kinetics_math.ema_conductance</w:t>
      </w:r>
      <w:r>
        <w:t xml:space="preserve">, тесты —</w:t>
      </w:r>
      <w:r>
        <w:t xml:space="preserve"> </w:t>
      </w:r>
      <w:r>
        <w:rPr>
          <w:rStyle w:val="VerbatimChar"/>
        </w:rPr>
        <w:t xml:space="preserve">tests/test_kinetics_math.py</w:t>
      </w:r>
      <w:r>
        <w:t xml:space="preserve">).</w:t>
      </w:r>
    </w:p>
    <w:p>
      <w:pPr>
        <w:pStyle w:val="BodyText"/>
      </w:pPr>
      <w:r>
        <w:t xml:space="preserve">Параметры</w:t>
      </w:r>
      <w:r>
        <w:t xml:space="preserve"> </w:t>
      </w:r>
      <w:r>
        <w:rPr>
          <w:rStyle w:val="VerbatimChar"/>
        </w:rPr>
        <w:t xml:space="preserve">net_z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net_gamma</w:t>
      </w:r>
      <w:r>
        <w:t xml:space="preserve"> </w:t>
      </w:r>
      <w:r>
        <w:t xml:space="preserve">runtime-параметры, как и остальные параметры кинетики. Для песчаников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</m:oMath>
      <w:r>
        <w:t xml:space="preserve">–</w:t>
      </w:r>
      <m:oMath>
        <m:r>
          <m:t>6</m:t>
        </m:r>
      </m:oMath>
      <w:r>
        <w:t xml:space="preserve">, отношение радиусов горла и поры 0.3–0.6. Отношение горла к поре — та же величина</w:t>
      </w:r>
      <w:r>
        <w:t xml:space="preserve"> </w:t>
      </w:r>
      <m:oMath>
        <m:r>
          <m:t>γ</m:t>
        </m:r>
      </m:oMath>
      <w:r>
        <w:t xml:space="preserve">, что задает порог блокирования частицей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(разд. 6), поэтому по умолчанию</w:t>
      </w:r>
      <w:r>
        <w:t xml:space="preserve"> </w:t>
      </w:r>
      <w:r>
        <w:rPr>
          <w:rStyle w:val="VerbatimChar"/>
        </w:rPr>
        <w:t xml:space="preserve">net_gamma = gamma = 0.4</w:t>
      </w:r>
      <w:r>
        <w:t xml:space="preserve">. Пористость и тождество (qp1 + qp2 + …)</w:t>
      </w:r>
      <m:oMath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 </w:t>
      </w:r>
      <w:r>
        <w:t xml:space="preserve">сеть не меняет: объем отложения считается по порам, как в пучке.</w:t>
      </w:r>
    </w:p>
    <w:p>
      <w:pPr>
        <w:pStyle w:val="BodyText"/>
      </w:pPr>
      <w:r>
        <w:t xml:space="preserve">Проверка —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четырех кернов He et al. (2020) после отложения парафина (</w:t>
      </w:r>
      <w:r>
        <w:rPr>
          <w:rStyle w:val="VerbatimChar"/>
        </w:rPr>
        <w:t xml:space="preserve">experiments/he2020.py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пучок при сужении дает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0.28;</w:t>
      </w:r>
    </w:p>
    <w:p>
      <w:pPr>
        <w:pStyle w:val="Compact"/>
        <w:numPr>
          <w:ilvl w:val="0"/>
          <w:numId w:val="1005"/>
        </w:numPr>
      </w:pPr>
      <w:r>
        <w:t xml:space="preserve">сеть с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8</m:t>
        </m:r>
      </m:oMath>
      <w:r>
        <w:t xml:space="preserve"> </w:t>
      </w:r>
      <w:r>
        <w:t xml:space="preserve">и отношением горла к поре 0.40–0.49 дает 0.044–0.046;</w:t>
      </w:r>
    </w:p>
    <w:p>
      <w:pPr>
        <w:pStyle w:val="Compact"/>
        <w:numPr>
          <w:ilvl w:val="0"/>
          <w:numId w:val="1005"/>
        </w:numPr>
      </w:pPr>
      <w:r>
        <w:t xml:space="preserve">степенной закон с подобранным показателем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5.7</m:t>
        </m:r>
      </m:oMath>
      <w:r>
        <w:t xml:space="preserve"> </w:t>
      </w:r>
      <w:r>
        <w:t xml:space="preserve">дает 0.039.</w:t>
      </w:r>
    </w:p>
    <w:p>
      <w:pPr>
        <w:pStyle w:val="FirstParagraph"/>
      </w:pPr>
      <w:r>
        <w:t xml:space="preserve">У сети подобрано одно число (отношение горла к поре), показателя нет. Лучшее значение при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— 0.40, ровно отношение, откалиброванное для блокирования по Sutton &amp; Roberts.</w:t>
      </w:r>
    </w:p>
    <w:p>
      <w:pPr>
        <w:pStyle w:val="BodyText"/>
      </w:pPr>
      <w:r>
        <w:t xml:space="preserve">Все потомки пучка из обзора (</w:t>
      </w:r>
      <w:r>
        <w:rPr>
          <w:rStyle w:val="VerbatimChar"/>
        </w:rPr>
        <w:t xml:space="preserve">resources/всякие статьи/модели ПС/</w:t>
      </w:r>
      <w:r>
        <w:t xml:space="preserve">) сравниваются с теми же парами He et al. при одинаковом сужении слоем отложения (</w:t>
      </w:r>
      <w:r>
        <w:rPr>
          <w:rStyle w:val="VerbatimChar"/>
        </w:rPr>
        <w:t xml:space="preserve">experiments/pore_models.py</w:t>
      </w:r>
      <w:r>
        <w:t xml:space="preserve">).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СКО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Подобрано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капилляров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фрактальный пучок,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&gt;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(уходит на границу)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с периодическими сужениями (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горло 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эффективная среда,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горло 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стохастическая решетка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(прямой расчет)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— (горло то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степенной закон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5.7</m:t>
              </m:r>
            </m:oMath>
          </w:p>
        </w:tc>
      </w:tr>
    </w:tbl>
    <w:p>
      <w:pPr>
        <w:pStyle w:val="BodyText"/>
      </w:pPr>
      <w:r>
        <w:t xml:space="preserve">Итоги сравнения: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Фрактальное распределение не помогает.</w:t>
      </w:r>
      <w:r>
        <w:t xml:space="preserve"> </w:t>
      </w:r>
      <w:r>
        <w:t xml:space="preserve">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при сужении определяют горла, а не ширина распределения пор.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Горла решают дело.</w:t>
      </w:r>
      <w:r>
        <w:t xml:space="preserve"> </w:t>
      </w:r>
      <w:r>
        <w:t xml:space="preserve">Модели с горлами — сужения в пучке или сеть — попадают в разброс опыта. Им хватает одного геометрического числа, а степенному закону нужен подобранный показатель.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Эффективная среда проверена прямым расчетом.</w:t>
      </w:r>
      <w:r>
        <w:t xml:space="preserve"> </w:t>
      </w:r>
      <w:r>
        <w:t xml:space="preserve">Проводимость сети по (62) совпадает с прямым расчетом случайной решетки</w:t>
      </w:r>
      <w:r>
        <w:t xml:space="preserve"> </w:t>
      </w:r>
      <m:oMath>
        <m:sSup>
          <m:e>
            <m:r>
              <m:t>14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(разреженная СЛАУ, три реализации) до 0.008 по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Пучок с сужениями не видит порога протекания.</w:t>
      </w:r>
      <w:r>
        <w:t xml:space="preserve"> </w:t>
      </w:r>
      <w:r>
        <w:t xml:space="preserve">Он близок к сети по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но закупорка частицами у него выключает канал целиком. Порог протекания есть только у сети, и он проявляется в опытах с блокированием (Sutton &amp; Roberts, Sandyga).</w:t>
      </w:r>
    </w:p>
    <w:p>
      <w:pPr>
        <w:pStyle w:val="FirstParagraph"/>
      </w:pPr>
      <w:r>
        <w:drawing>
          <wp:inline>
            <wp:extent cx="6108700" cy="26347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kin06_network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34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13.6. Связь проницаемости с пористостью при равномерном сужении: пучок капилляров и сеть пор и горл с горлами 0.4 от пор при разном координационном числе. Слева — 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справа — проводимость сети одинаковых горл от доли открытых (63) с порогами протекания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z</m:t>
        </m:r>
      </m:oMath>
      <w:r>
        <w:t xml:space="preserve">.</w:t>
      </w:r>
    </w:p>
    <w:bookmarkEnd w:id="39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2026-09-27T23:48:01Z</dcterms:created>
  <dcterms:modified xsi:type="dcterms:W3CDTF">2026-09-27T23:48:01Z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