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Технологии контейнеризация и оркестрации</w:t>
      </w:r>
    </w:p>
    <w:tbl>
      <w:tblPr>
        <w:tblStyle w:val="afffff2"/>
        <w:tblW w:w="9776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00" w:noHBand="0" w:noVBand="1" w:firstColumn="0" w:lastRow="0" w:lastColumn="0" w:firstRow="0"/>
      </w:tblPr>
      <w:tblGrid>
        <w:gridCol w:w="5381"/>
        <w:gridCol w:w="4395"/>
      </w:tblGrid>
      <w:tr>
        <w:trPr>
          <w:tblHeader w:val="true"/>
          <w:trHeight w:val="20" w:hRule="atLeast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Технология</w:t>
            </w:r>
          </w:p>
        </w:tc>
      </w:tr>
      <w:tr>
        <w:trPr>
          <w:trHeight w:val="663" w:hRule="atLeast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Упаковки приложений и их зависимостей в изолированные контейнеры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Docker</w:t>
            </w:r>
          </w:p>
        </w:tc>
      </w:tr>
      <w:tr>
        <w:trPr/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Автоматическое развертывание, масштабирование и управление контейнеризированными приложениями, обеспечивающее отказоустойчивость и эффективное использование ресурсов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Kubernetes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Palati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29</Words>
  <Characters>283</Characters>
  <CharactersWithSpaces>305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2026-05-13T16:19:37Z</dcterms:modified>
  <cp:revision>8</cp:revision>
  <dc:subject/>
  <dc:title>reestr_uchastnikov.docx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